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B77C" w14:textId="77777777" w:rsidR="007C1761" w:rsidRPr="007C1761" w:rsidRDefault="007C1761" w:rsidP="007C1761">
      <w:pPr>
        <w:spacing w:after="0" w:line="480" w:lineRule="auto"/>
        <w:rPr>
          <w:b/>
          <w:sz w:val="20"/>
          <w:szCs w:val="20"/>
        </w:rPr>
      </w:pPr>
      <w:r w:rsidRPr="007C1761">
        <w:rPr>
          <w:b/>
          <w:sz w:val="20"/>
          <w:szCs w:val="20"/>
        </w:rPr>
        <w:t xml:space="preserve">S3 Table: </w:t>
      </w:r>
      <w:r w:rsidRPr="007C1761">
        <w:rPr>
          <w:sz w:val="20"/>
          <w:szCs w:val="20"/>
        </w:rPr>
        <w:t>Behavioural Economics Mechanism Table</w:t>
      </w:r>
      <w:r w:rsidRPr="007C1761">
        <w:rPr>
          <w:b/>
          <w:sz w:val="20"/>
          <w:szCs w:val="20"/>
        </w:rPr>
        <w:t xml:space="preserve"> </w:t>
      </w:r>
    </w:p>
    <w:p w14:paraId="2C8BF8CC" w14:textId="198093ED" w:rsidR="0067220F" w:rsidRDefault="007C1761" w:rsidP="2BD12D09">
      <w:pPr>
        <w:rPr>
          <w:sz w:val="20"/>
          <w:szCs w:val="20"/>
        </w:rPr>
      </w:pPr>
      <w:r w:rsidRPr="2BD12D09">
        <w:rPr>
          <w:sz w:val="20"/>
          <w:szCs w:val="20"/>
        </w:rPr>
        <w:t>* Examples marked with an asterisk are intended to assist with the systematic review protocol and are not reflections of published literature or even the opinions of the authors. Rather, they are propositions intended to clarify the mechanism and its definition.</w:t>
      </w:r>
    </w:p>
    <w:tbl>
      <w:tblPr>
        <w:tblStyle w:val="TableGrid"/>
        <w:tblW w:w="0" w:type="auto"/>
        <w:tblInd w:w="0" w:type="dxa"/>
        <w:tblLayout w:type="fixed"/>
        <w:tblLook w:val="04A0" w:firstRow="1" w:lastRow="0" w:firstColumn="1" w:lastColumn="0" w:noHBand="0" w:noVBand="1"/>
      </w:tblPr>
      <w:tblGrid>
        <w:gridCol w:w="2547"/>
        <w:gridCol w:w="1984"/>
        <w:gridCol w:w="4536"/>
        <w:gridCol w:w="4881"/>
      </w:tblGrid>
      <w:tr w:rsidR="007C1761" w:rsidRPr="00A378BB" w14:paraId="4AAFE147" w14:textId="77777777" w:rsidTr="2BD12D09">
        <w:tc>
          <w:tcPr>
            <w:tcW w:w="2547" w:type="dxa"/>
            <w:tcBorders>
              <w:top w:val="single" w:sz="4" w:space="0" w:color="auto"/>
              <w:left w:val="single" w:sz="4" w:space="0" w:color="auto"/>
              <w:bottom w:val="single" w:sz="4" w:space="0" w:color="auto"/>
              <w:right w:val="single" w:sz="4" w:space="0" w:color="auto"/>
            </w:tcBorders>
          </w:tcPr>
          <w:p w14:paraId="10D4818E" w14:textId="77777777" w:rsidR="007C1761" w:rsidRPr="00A378BB" w:rsidRDefault="007C1761" w:rsidP="00567BBA">
            <w:pPr>
              <w:rPr>
                <w:rFonts w:cstheme="minorHAnsi"/>
                <w:b/>
                <w:sz w:val="16"/>
                <w:szCs w:val="16"/>
              </w:rPr>
            </w:pPr>
            <w:r w:rsidRPr="590D11F9">
              <w:rPr>
                <w:b/>
                <w:bCs/>
                <w:sz w:val="16"/>
                <w:szCs w:val="16"/>
              </w:rPr>
              <w:t>Group</w:t>
            </w:r>
            <w:r>
              <w:rPr>
                <w:b/>
                <w:bCs/>
                <w:sz w:val="16"/>
                <w:szCs w:val="16"/>
              </w:rPr>
              <w:t>ing idea</w:t>
            </w:r>
          </w:p>
        </w:tc>
        <w:tc>
          <w:tcPr>
            <w:tcW w:w="1984" w:type="dxa"/>
            <w:tcBorders>
              <w:top w:val="single" w:sz="4" w:space="0" w:color="auto"/>
              <w:left w:val="single" w:sz="4" w:space="0" w:color="auto"/>
              <w:bottom w:val="single" w:sz="4" w:space="0" w:color="auto"/>
              <w:right w:val="single" w:sz="4" w:space="0" w:color="auto"/>
            </w:tcBorders>
            <w:hideMark/>
          </w:tcPr>
          <w:p w14:paraId="437AD716" w14:textId="77777777" w:rsidR="007C1761" w:rsidRPr="00A378BB" w:rsidRDefault="007C1761" w:rsidP="00567BBA">
            <w:pPr>
              <w:rPr>
                <w:rFonts w:cstheme="minorHAnsi"/>
                <w:b/>
                <w:bCs/>
                <w:sz w:val="16"/>
                <w:szCs w:val="16"/>
              </w:rPr>
            </w:pPr>
            <w:r w:rsidRPr="00A378BB">
              <w:rPr>
                <w:rFonts w:cstheme="minorHAnsi"/>
                <w:b/>
                <w:sz w:val="16"/>
                <w:szCs w:val="16"/>
              </w:rPr>
              <w:t>Mechanism/Driver</w:t>
            </w:r>
          </w:p>
        </w:tc>
        <w:tc>
          <w:tcPr>
            <w:tcW w:w="4536" w:type="dxa"/>
            <w:tcBorders>
              <w:top w:val="single" w:sz="4" w:space="0" w:color="auto"/>
              <w:left w:val="single" w:sz="4" w:space="0" w:color="auto"/>
              <w:bottom w:val="single" w:sz="4" w:space="0" w:color="auto"/>
              <w:right w:val="single" w:sz="4" w:space="0" w:color="auto"/>
            </w:tcBorders>
            <w:hideMark/>
          </w:tcPr>
          <w:p w14:paraId="5A9A512A" w14:textId="77777777" w:rsidR="007C1761" w:rsidRPr="00A378BB" w:rsidRDefault="007C1761" w:rsidP="00567BBA">
            <w:pPr>
              <w:rPr>
                <w:rFonts w:cstheme="minorHAnsi"/>
                <w:b/>
                <w:sz w:val="16"/>
                <w:szCs w:val="16"/>
              </w:rPr>
            </w:pPr>
            <w:r w:rsidRPr="00A378BB">
              <w:rPr>
                <w:rFonts w:cstheme="minorHAnsi"/>
                <w:b/>
                <w:sz w:val="16"/>
                <w:szCs w:val="16"/>
              </w:rPr>
              <w:t>Definition/explanation</w:t>
            </w:r>
          </w:p>
        </w:tc>
        <w:tc>
          <w:tcPr>
            <w:tcW w:w="4881" w:type="dxa"/>
            <w:tcBorders>
              <w:top w:val="single" w:sz="4" w:space="0" w:color="auto"/>
              <w:left w:val="single" w:sz="4" w:space="0" w:color="auto"/>
              <w:bottom w:val="single" w:sz="4" w:space="0" w:color="auto"/>
              <w:right w:val="single" w:sz="4" w:space="0" w:color="auto"/>
            </w:tcBorders>
            <w:hideMark/>
          </w:tcPr>
          <w:p w14:paraId="6D28A0DB" w14:textId="77777777" w:rsidR="007C1761" w:rsidRPr="00A378BB" w:rsidRDefault="007C1761" w:rsidP="00567BBA">
            <w:pPr>
              <w:rPr>
                <w:b/>
                <w:bCs/>
                <w:sz w:val="16"/>
                <w:szCs w:val="16"/>
              </w:rPr>
            </w:pPr>
            <w:r w:rsidRPr="590D11F9">
              <w:rPr>
                <w:b/>
                <w:bCs/>
                <w:sz w:val="16"/>
                <w:szCs w:val="16"/>
              </w:rPr>
              <w:t>Example in fisheries</w:t>
            </w:r>
          </w:p>
        </w:tc>
      </w:tr>
      <w:tr w:rsidR="007C1761" w:rsidRPr="00A378BB" w14:paraId="6C503536" w14:textId="77777777" w:rsidTr="2BD12D09">
        <w:tc>
          <w:tcPr>
            <w:tcW w:w="254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62340A" w14:textId="6EF22176" w:rsidR="007C1761" w:rsidRPr="00A378BB" w:rsidRDefault="007C1761" w:rsidP="00567BBA">
            <w:pPr>
              <w:rPr>
                <w:rFonts w:cstheme="minorHAnsi"/>
                <w:b/>
                <w:bCs/>
                <w:sz w:val="16"/>
                <w:szCs w:val="16"/>
              </w:rPr>
            </w:pPr>
            <w:r w:rsidRPr="00A378BB">
              <w:rPr>
                <w:rFonts w:cstheme="minorHAnsi"/>
                <w:b/>
                <w:bCs/>
                <w:sz w:val="16"/>
                <w:szCs w:val="16"/>
              </w:rPr>
              <w:t xml:space="preserve">Cognitive </w:t>
            </w:r>
            <w:r w:rsidR="00FD1B20">
              <w:rPr>
                <w:rFonts w:cstheme="minorHAnsi"/>
                <w:b/>
                <w:bCs/>
                <w:sz w:val="16"/>
                <w:szCs w:val="16"/>
              </w:rPr>
              <w:t>b</w:t>
            </w:r>
            <w:r w:rsidRPr="00A378BB">
              <w:rPr>
                <w:rFonts w:cstheme="minorHAnsi"/>
                <w:b/>
                <w:bCs/>
                <w:sz w:val="16"/>
                <w:szCs w:val="16"/>
              </w:rPr>
              <w:t xml:space="preserve">ias/ </w:t>
            </w:r>
            <w:r w:rsidR="00FD1B20">
              <w:rPr>
                <w:rFonts w:cstheme="minorHAnsi"/>
                <w:b/>
                <w:bCs/>
                <w:sz w:val="16"/>
                <w:szCs w:val="16"/>
              </w:rPr>
              <w:t>P</w:t>
            </w:r>
            <w:r w:rsidRPr="00A378BB">
              <w:rPr>
                <w:rFonts w:cstheme="minorHAnsi"/>
                <w:b/>
                <w:bCs/>
                <w:sz w:val="16"/>
                <w:szCs w:val="16"/>
              </w:rPr>
              <w:t>sychology</w:t>
            </w:r>
          </w:p>
          <w:p w14:paraId="4A7335E7" w14:textId="77777777" w:rsidR="007C1761" w:rsidRPr="7DB20FEA"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E7C9B1" w14:textId="77777777" w:rsidR="007C1761" w:rsidRPr="00A378BB" w:rsidRDefault="007C1761" w:rsidP="00567BBA">
            <w:pPr>
              <w:rPr>
                <w:b/>
                <w:bCs/>
                <w:sz w:val="16"/>
                <w:szCs w:val="16"/>
              </w:rPr>
            </w:pPr>
            <w:r w:rsidRPr="7DB20FEA">
              <w:rPr>
                <w:b/>
                <w:bCs/>
                <w:sz w:val="16"/>
                <w:szCs w:val="16"/>
              </w:rPr>
              <w:t>Reference dependence/Shifting baselines</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315EEC" w14:textId="5484CE14" w:rsidR="007C1761" w:rsidRPr="00A378BB" w:rsidRDefault="007C1761" w:rsidP="00567BBA">
            <w:pPr>
              <w:rPr>
                <w:sz w:val="16"/>
                <w:szCs w:val="16"/>
              </w:rPr>
            </w:pPr>
            <w:r w:rsidRPr="2BD12D09">
              <w:rPr>
                <w:sz w:val="16"/>
                <w:szCs w:val="16"/>
              </w:rPr>
              <w:t xml:space="preserve">The tendency for a reference or baseline to set the point against which changes are seen as ‘gains’ or </w:t>
            </w:r>
            <w:r w:rsidR="76399F66" w:rsidRPr="2BD12D09">
              <w:rPr>
                <w:sz w:val="16"/>
                <w:szCs w:val="16"/>
              </w:rPr>
              <w:t>‘</w:t>
            </w:r>
            <w:r w:rsidRPr="2BD12D09">
              <w:rPr>
                <w:sz w:val="16"/>
                <w:szCs w:val="16"/>
              </w:rPr>
              <w:t>losses’. Changing the reference point changes whether people perceive the change as a win or loss.</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13527C" w14:textId="77777777" w:rsidR="007C1761" w:rsidRPr="00A378BB" w:rsidRDefault="007C1761" w:rsidP="00567BBA">
            <w:pPr>
              <w:rPr>
                <w:sz w:val="16"/>
                <w:szCs w:val="16"/>
              </w:rPr>
            </w:pPr>
            <w:r w:rsidRPr="2CF8F96B">
              <w:rPr>
                <w:sz w:val="16"/>
                <w:szCs w:val="16"/>
              </w:rPr>
              <w:t xml:space="preserve">If North Sea cod is assessed only since 2000, it appears to be flourishing. Moving the baseline to 1970 reveals an overall decline (loosely interpreted from </w:t>
            </w:r>
            <w:proofErr w:type="spellStart"/>
            <w:r w:rsidRPr="2CF8F96B">
              <w:rPr>
                <w:sz w:val="16"/>
                <w:szCs w:val="16"/>
              </w:rPr>
              <w:t>Pauly</w:t>
            </w:r>
            <w:proofErr w:type="spellEnd"/>
            <w:r>
              <w:rPr>
                <w:sz w:val="16"/>
                <w:szCs w:val="16"/>
              </w:rPr>
              <w:t xml:space="preserve"> </w:t>
            </w:r>
            <w:r>
              <w:rPr>
                <w:sz w:val="16"/>
                <w:szCs w:val="16"/>
              </w:rPr>
              <w:fldChar w:fldCharType="begin"/>
            </w:r>
            <w:r>
              <w:rPr>
                <w:sz w:val="16"/>
                <w:szCs w:val="16"/>
              </w:rPr>
              <w:instrText xml:space="preserve"> ADDIN ZOTERO_ITEM CSL_CITATION {"citationID":"kivKSdUD","properties":{"formattedCitation":"[1]","plainCitation":"[1]","noteIndex":0},"citationItems":[{"id":560,"uris":["http://zotero.org/groups/2596527/items/RSXDUA7W"],"uri":["http://zotero.org/groups/2596527/items/RSXDUA7W"],"itemData":{"id":560,"type":"article-journal","container-title":"Trends in Ecology &amp; Evolution","DOI":"10.1016/s0169-5347(00)89171-5","ISSN":"0169-5347","issue":"10","journalAbbreviation":"Trends Ecol Evol","language":"eng","note":"PMID: 21237093","page":"430","source":"PubMed","title":"Anecdotes and the shifting baseline syndrome of fisheries","volume":"10","author":[{"family":"Pauly","given":"D."}],"issued":{"date-parts":[["1995",10]]}}}],"schema":"https://github.com/citation-style-language/schema/raw/master/csl-citation.json"} </w:instrText>
            </w:r>
            <w:r>
              <w:rPr>
                <w:sz w:val="16"/>
                <w:szCs w:val="16"/>
              </w:rPr>
              <w:fldChar w:fldCharType="separate"/>
            </w:r>
            <w:r w:rsidRPr="00843F08">
              <w:rPr>
                <w:rFonts w:ascii="Calibri" w:hAnsi="Calibri" w:cs="Calibri"/>
                <w:sz w:val="16"/>
              </w:rPr>
              <w:t>[1]</w:t>
            </w:r>
            <w:r>
              <w:rPr>
                <w:sz w:val="16"/>
                <w:szCs w:val="16"/>
              </w:rPr>
              <w:fldChar w:fldCharType="end"/>
            </w:r>
            <w:r w:rsidRPr="2CF8F96B">
              <w:rPr>
                <w:sz w:val="16"/>
                <w:szCs w:val="16"/>
              </w:rPr>
              <w:t xml:space="preserve"> on shifting baselines) which can affect </w:t>
            </w:r>
            <w:r>
              <w:rPr>
                <w:sz w:val="16"/>
                <w:szCs w:val="16"/>
              </w:rPr>
              <w:t>behavio</w:t>
            </w:r>
            <w:r w:rsidR="008F690F">
              <w:rPr>
                <w:sz w:val="16"/>
                <w:szCs w:val="16"/>
              </w:rPr>
              <w:t>u</w:t>
            </w:r>
            <w:r>
              <w:rPr>
                <w:sz w:val="16"/>
                <w:szCs w:val="16"/>
              </w:rPr>
              <w:t>r.</w:t>
            </w:r>
          </w:p>
        </w:tc>
      </w:tr>
      <w:tr w:rsidR="007C1761" w14:paraId="026AD4F3" w14:textId="77777777" w:rsidTr="2BD12D09">
        <w:tc>
          <w:tcPr>
            <w:tcW w:w="2547" w:type="dxa"/>
            <w:vMerge/>
            <w:tcBorders>
              <w:left w:val="single" w:sz="4" w:space="0" w:color="auto"/>
              <w:right w:val="single" w:sz="4" w:space="0" w:color="auto"/>
            </w:tcBorders>
            <w:shd w:val="clear" w:color="auto" w:fill="DEEAF6" w:themeFill="accent1" w:themeFillTint="33"/>
          </w:tcPr>
          <w:p w14:paraId="5C165479" w14:textId="77777777" w:rsidR="007C1761" w:rsidRPr="060BA5D7"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B38989" w14:textId="77777777" w:rsidR="007C1761" w:rsidRDefault="007C1761" w:rsidP="00567BBA">
            <w:pPr>
              <w:rPr>
                <w:b/>
                <w:bCs/>
                <w:sz w:val="16"/>
                <w:szCs w:val="16"/>
              </w:rPr>
            </w:pPr>
            <w:r w:rsidRPr="060BA5D7">
              <w:rPr>
                <w:b/>
                <w:bCs/>
                <w:sz w:val="16"/>
                <w:szCs w:val="16"/>
              </w:rPr>
              <w:t>Anchoring effect</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B035F9" w14:textId="77777777" w:rsidR="007C1761" w:rsidRDefault="007C1761" w:rsidP="00567BBA">
            <w:pPr>
              <w:rPr>
                <w:rStyle w:val="EndnoteReference"/>
                <w:sz w:val="16"/>
                <w:szCs w:val="16"/>
              </w:rPr>
            </w:pPr>
            <w:r>
              <w:rPr>
                <w:sz w:val="16"/>
                <w:szCs w:val="16"/>
              </w:rPr>
              <w:t>The tendency to be heavily influenced by</w:t>
            </w:r>
            <w:r w:rsidRPr="5AF69A88">
              <w:rPr>
                <w:sz w:val="16"/>
                <w:szCs w:val="16"/>
              </w:rPr>
              <w:t xml:space="preserve"> the initial piece of information offered when making decisions</w:t>
            </w:r>
            <w:r>
              <w:rPr>
                <w:sz w:val="16"/>
                <w:szCs w:val="16"/>
              </w:rPr>
              <w:t xml:space="preserve">, leading to insufficient adjustment to new information </w:t>
            </w:r>
            <w:r>
              <w:rPr>
                <w:sz w:val="16"/>
                <w:szCs w:val="16"/>
              </w:rPr>
              <w:fldChar w:fldCharType="begin"/>
            </w:r>
            <w:r>
              <w:rPr>
                <w:sz w:val="16"/>
                <w:szCs w:val="16"/>
              </w:rPr>
              <w:instrText xml:space="preserve"> ADDIN ZOTERO_ITEM CSL_CITATION {"citationID":"lesCQ8vF","properties":{"formattedCitation":"[2,3]","plainCitation":"[2,3]","noteIndex":0},"citationItems":[{"id":564,"uris":["http://zotero.org/groups/2596527/items/8M5GF6VH"],"uri":["http://zotero.org/groups/2596527/items/8M5GF6VH"],"itemData":{"id":564,"type":"article-journal","abstract":"This article described three heuristics that are employed in making judgements under uncertainty: (i) representativeness, which is usually employed when people are asked to judge the probability that an object or event A belongs to class or process B; (ii) availability of instances or scenarios, which is often employed when people are asked to assess the frequency of a class or the plausibility of a particular development; and (iii) adjustment from an anchor, which is usually employed in numerical prediction when a relevant value is available. These heuristics are highly economical and usually effective, but they lead to systematic and predictable errors. A better understanding of these heuristics and of the biases to which they lead could improve judgements and decisions in situations of uncertainty.","container-title":"Science","DOI":"10.1126/science.185.4157.1124","ISSN":"0036-8075, 1095-9203","issue":"4157","language":"en","note":"publisher: American Association for the Advancement of Science\nsection: Articles\nPMID: 17835457","page":"1124-1131","source":"science.sciencemag.org","title":"Judgment under Uncertainty: Heuristics and Biases","title-short":"Judgment under Uncertainty","volume":"185","author":[{"family":"Tversky","given":"Amos"},{"family":"Kahneman","given":"Daniel"}],"issued":{"date-parts":[["1974",9,27]]}}},{"id":567,"uris":["http://zotero.org/groups/2596527/items/DKE7H9XF"],"uri":["http://zotero.org/groups/2596527/items/DKE7H9XF"],"itemData":{"id":567,"type":"article-journal","abstract":"The anchoring effect is one of the most robust cognitive heuristics. This paper reviews the literature in this area including various different models, explanations and underlying mechanisms used to explain anchoring effects. The anchoring effect is both robust and has many implications in all decision making processes. This review paper documents the many different domains and tasks in which the effect has been shown. It also considers mood and individual difference (ability, personality, information styles) correlates of anchoring as well as the effect of motivation and knowledge on decisions affected by anchoring. Finally the review looks at the applicants of the anchoring effects in everyday life. (PsycINFO Database Record (c) 2016 APA, all rights reserved)","container-title":"The Journal of Socio-Economics","DOI":"10.1016/j.socec.2010.10.008","ISSN":"1053-5357(Print)","issue":"1","note":"publisher-place: Netherlands\npublisher: Elsevier Science","page":"35-42","source":"APA PsycNET","title":"A literature review of the anchoring effect","volume":"40","author":[{"family":"Furnham","given":"Adrian"},{"family":"Boo","given":"Hua Chu"}],"issued":{"date-parts":[["2011"]]}}}],"schema":"https://github.com/citation-style-language/schema/raw/master/csl-citation.json"} </w:instrText>
            </w:r>
            <w:r>
              <w:rPr>
                <w:sz w:val="16"/>
                <w:szCs w:val="16"/>
              </w:rPr>
              <w:fldChar w:fldCharType="separate"/>
            </w:r>
            <w:r w:rsidRPr="00843F08">
              <w:rPr>
                <w:rFonts w:ascii="Calibri" w:hAnsi="Calibri" w:cs="Calibri"/>
                <w:sz w:val="16"/>
              </w:rPr>
              <w:t>[2,3]</w:t>
            </w:r>
            <w:r>
              <w:rPr>
                <w:sz w:val="16"/>
                <w:szCs w:val="16"/>
              </w:rPr>
              <w:fldChar w:fldCharType="end"/>
            </w:r>
            <w:r>
              <w:rPr>
                <w:sz w:val="16"/>
                <w:szCs w:val="16"/>
              </w:rPr>
              <w:t>.</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1345D5" w14:textId="74B797C1" w:rsidR="007C1761" w:rsidRDefault="007C1761" w:rsidP="00567BBA">
            <w:pPr>
              <w:rPr>
                <w:sz w:val="16"/>
                <w:szCs w:val="16"/>
              </w:rPr>
            </w:pPr>
            <w:r w:rsidRPr="2BD12D09">
              <w:rPr>
                <w:sz w:val="16"/>
                <w:szCs w:val="16"/>
              </w:rPr>
              <w:t>If a preliminary TAC estimate is publicised, fishers and governments are likely to hold onto that initial number and have trouble adjusting to the updated figure, no matter whether it’s higher or lower.*</w:t>
            </w:r>
          </w:p>
        </w:tc>
      </w:tr>
      <w:tr w:rsidR="007C1761" w:rsidRPr="00A378BB" w14:paraId="514BF1DF" w14:textId="77777777" w:rsidTr="2BD12D09">
        <w:tc>
          <w:tcPr>
            <w:tcW w:w="2547" w:type="dxa"/>
            <w:vMerge/>
            <w:tcBorders>
              <w:left w:val="single" w:sz="4" w:space="0" w:color="auto"/>
              <w:right w:val="single" w:sz="4" w:space="0" w:color="auto"/>
            </w:tcBorders>
            <w:shd w:val="clear" w:color="auto" w:fill="DEEAF6" w:themeFill="accent1" w:themeFillTint="33"/>
          </w:tcPr>
          <w:p w14:paraId="57781637"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F90EB4" w14:textId="77777777" w:rsidR="007C1761" w:rsidRPr="00A378BB" w:rsidRDefault="007C1761" w:rsidP="00567BBA">
            <w:pPr>
              <w:rPr>
                <w:rFonts w:cstheme="minorHAnsi"/>
                <w:b/>
                <w:bCs/>
                <w:sz w:val="16"/>
                <w:szCs w:val="16"/>
              </w:rPr>
            </w:pPr>
            <w:r w:rsidRPr="00A378BB">
              <w:rPr>
                <w:rFonts w:cstheme="minorHAnsi"/>
                <w:b/>
                <w:bCs/>
                <w:sz w:val="16"/>
                <w:szCs w:val="16"/>
              </w:rPr>
              <w:t>Non-linear probability weighting</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B5EE40" w14:textId="77777777" w:rsidR="007C1761" w:rsidRPr="00A378BB" w:rsidRDefault="007C1761" w:rsidP="00567BBA">
            <w:pPr>
              <w:rPr>
                <w:rFonts w:cstheme="minorHAnsi"/>
                <w:bCs/>
                <w:sz w:val="16"/>
                <w:szCs w:val="16"/>
              </w:rPr>
            </w:pPr>
            <w:r>
              <w:rPr>
                <w:rFonts w:cstheme="minorHAnsi"/>
                <w:bCs/>
                <w:sz w:val="16"/>
                <w:szCs w:val="16"/>
              </w:rPr>
              <w:t>The tendency to</w:t>
            </w:r>
            <w:r w:rsidRPr="00A378BB">
              <w:rPr>
                <w:rFonts w:cstheme="minorHAnsi"/>
                <w:bCs/>
                <w:sz w:val="16"/>
                <w:szCs w:val="16"/>
              </w:rPr>
              <w:t xml:space="preserve"> overestimate low probability events and unde</w:t>
            </w:r>
            <w:r>
              <w:rPr>
                <w:rFonts w:cstheme="minorHAnsi"/>
                <w:bCs/>
                <w:sz w:val="16"/>
                <w:szCs w:val="16"/>
              </w:rPr>
              <w:t>restimate high probability ones.</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81E571" w14:textId="77777777" w:rsidR="007C1761" w:rsidRPr="00A378BB" w:rsidRDefault="007C1761" w:rsidP="00567BBA">
            <w:pPr>
              <w:rPr>
                <w:rFonts w:cstheme="minorHAnsi"/>
                <w:sz w:val="16"/>
                <w:szCs w:val="16"/>
              </w:rPr>
            </w:pPr>
            <w:r w:rsidRPr="00A378BB">
              <w:rPr>
                <w:rFonts w:cstheme="minorHAnsi"/>
                <w:sz w:val="16"/>
                <w:szCs w:val="16"/>
              </w:rPr>
              <w:t xml:space="preserve">Workers </w:t>
            </w:r>
            <w:r>
              <w:rPr>
                <w:rFonts w:cstheme="minorHAnsi"/>
                <w:sz w:val="16"/>
                <w:szCs w:val="16"/>
              </w:rPr>
              <w:t>in</w:t>
            </w:r>
            <w:r w:rsidRPr="00A378BB">
              <w:rPr>
                <w:rFonts w:cstheme="minorHAnsi"/>
                <w:sz w:val="16"/>
                <w:szCs w:val="16"/>
              </w:rPr>
              <w:t xml:space="preserve"> fisheries sector </w:t>
            </w:r>
            <w:r w:rsidR="003006D4">
              <w:rPr>
                <w:rFonts w:cstheme="minorHAnsi"/>
                <w:sz w:val="16"/>
                <w:szCs w:val="16"/>
              </w:rPr>
              <w:t xml:space="preserve">are </w:t>
            </w:r>
            <w:r w:rsidRPr="00A378BB">
              <w:rPr>
                <w:rFonts w:cstheme="minorHAnsi"/>
                <w:sz w:val="16"/>
                <w:szCs w:val="16"/>
              </w:rPr>
              <w:t xml:space="preserve">less risk averse </w:t>
            </w:r>
            <w:r>
              <w:rPr>
                <w:rFonts w:cstheme="minorHAnsi"/>
                <w:sz w:val="16"/>
                <w:szCs w:val="16"/>
              </w:rPr>
              <w:t xml:space="preserve">than the workers in other occupations </w:t>
            </w:r>
            <w:r w:rsidRPr="00A378BB">
              <w:rPr>
                <w:rFonts w:cstheme="minorHAnsi"/>
                <w:sz w:val="16"/>
                <w:szCs w:val="16"/>
              </w:rPr>
              <w:t xml:space="preserve">and may have gotten used to </w:t>
            </w:r>
            <w:r w:rsidR="003006D4">
              <w:rPr>
                <w:rFonts w:cstheme="minorHAnsi"/>
                <w:sz w:val="16"/>
                <w:szCs w:val="16"/>
              </w:rPr>
              <w:t xml:space="preserve">a </w:t>
            </w:r>
            <w:r w:rsidRPr="00A378BB">
              <w:rPr>
                <w:rFonts w:cstheme="minorHAnsi"/>
                <w:sz w:val="16"/>
                <w:szCs w:val="16"/>
              </w:rPr>
              <w:t>risky work environment</w:t>
            </w:r>
            <w:r>
              <w:rPr>
                <w:rFonts w:cstheme="minorHAnsi"/>
                <w:sz w:val="16"/>
                <w:szCs w:val="16"/>
              </w:rPr>
              <w:t xml:space="preserve"> </w:t>
            </w:r>
            <w:r w:rsidRPr="00A378BB">
              <w:rPr>
                <w:rFonts w:cstheme="minorHAnsi"/>
                <w:sz w:val="16"/>
                <w:szCs w:val="16"/>
              </w:rPr>
              <w:fldChar w:fldCharType="begin"/>
            </w:r>
            <w:r>
              <w:rPr>
                <w:rFonts w:cstheme="minorHAnsi"/>
                <w:sz w:val="16"/>
                <w:szCs w:val="16"/>
              </w:rPr>
              <w:instrText xml:space="preserve"> ADDIN ZOTERO_ITEM CSL_CITATION {"citationID":"xqQxgHmX","properties":{"formattedCitation":"[4]","plainCitation":"[4]","noteIndex":0},"citationItems":[{"id":228,"uris":["http://zotero.org/groups/2596527/items/FXZHNVYJ"],"uri":["http://zotero.org/groups/2596527/items/FXZHNVYJ"],"itemData":{"id":228,"type":"article-journal","abstract":"Field experiment and household survey data are combined to investigate whether working in a risky occupation such as fishing makes fishermen have different risk preferences than individuals in other occupations. Prospect theory is utilized as the main analytical framework and a structural model approach is developed to simultaneously correlate the parameters of the utility function under prospect theory with other socioeconomic variables. The key finding is that working in fishing makes economic agents less risk averse than others. Fishermen also tend to be less sensitive to probability weighting changes in the experiment. It is possible that fishermen have adapted to their unique environment by using specific heuristics for decision making under conditions of uncertainty.","container-title":"Journal of Agricultural and Resource Economics","ISSN":"1068-5502","issue":"3","journalAbbreviation":"J. Agric. Resour. Econ.","language":"English","note":"publisher-place: Logan\npublisher: Western Agricultural Economics Assoc\nWOS:000273311400010","page":"518-538","source":"Web of Science","title":"Do Fishermen Have Different Attitudes Toward Risk? An Application of Prospect Theory to the Study of Vietnamese Fishermen","title-short":"Do Fishermen Have Different Attitudes Toward Risk?","volume":"34","author":[{"family":"Nguyen","given":"Quang"},{"family":"Leung","given":"PingSun"}],"issued":{"date-parts":[["2009",12]]}}}],"schema":"https://github.com/citation-style-language/schema/raw/master/csl-citation.json"} </w:instrText>
            </w:r>
            <w:r w:rsidRPr="00A378BB">
              <w:rPr>
                <w:rFonts w:cstheme="minorHAnsi"/>
                <w:sz w:val="16"/>
                <w:szCs w:val="16"/>
              </w:rPr>
              <w:fldChar w:fldCharType="separate"/>
            </w:r>
            <w:r w:rsidRPr="00843F08">
              <w:rPr>
                <w:rFonts w:ascii="Calibri" w:hAnsi="Calibri" w:cs="Calibri"/>
                <w:sz w:val="16"/>
              </w:rPr>
              <w:t>[4]</w:t>
            </w:r>
            <w:r w:rsidRPr="00A378BB">
              <w:rPr>
                <w:rFonts w:cstheme="minorHAnsi"/>
                <w:sz w:val="16"/>
                <w:szCs w:val="16"/>
              </w:rPr>
              <w:fldChar w:fldCharType="end"/>
            </w:r>
            <w:r>
              <w:rPr>
                <w:rFonts w:cstheme="minorHAnsi"/>
                <w:sz w:val="16"/>
                <w:szCs w:val="16"/>
              </w:rPr>
              <w:t>.</w:t>
            </w:r>
          </w:p>
        </w:tc>
      </w:tr>
      <w:tr w:rsidR="007C1761" w:rsidRPr="00A378BB" w14:paraId="666FC617" w14:textId="77777777" w:rsidTr="2BD12D09">
        <w:tc>
          <w:tcPr>
            <w:tcW w:w="2547" w:type="dxa"/>
            <w:vMerge/>
            <w:tcBorders>
              <w:left w:val="single" w:sz="4" w:space="0" w:color="auto"/>
              <w:right w:val="single" w:sz="4" w:space="0" w:color="auto"/>
            </w:tcBorders>
            <w:shd w:val="clear" w:color="auto" w:fill="DEEAF6" w:themeFill="accent1" w:themeFillTint="33"/>
          </w:tcPr>
          <w:p w14:paraId="698ADF56"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A6D297" w14:textId="77777777" w:rsidR="007C1761" w:rsidRPr="00A378BB" w:rsidRDefault="007C1761" w:rsidP="00567BBA">
            <w:pPr>
              <w:rPr>
                <w:rFonts w:cstheme="minorHAnsi"/>
                <w:b/>
                <w:bCs/>
                <w:sz w:val="16"/>
                <w:szCs w:val="16"/>
              </w:rPr>
            </w:pPr>
            <w:r w:rsidRPr="00A378BB">
              <w:rPr>
                <w:rFonts w:cstheme="minorHAnsi"/>
                <w:b/>
                <w:bCs/>
                <w:sz w:val="16"/>
                <w:szCs w:val="16"/>
              </w:rPr>
              <w:t>Self-image</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9B75C" w14:textId="77777777" w:rsidR="007C1761" w:rsidRPr="00A378BB" w:rsidRDefault="007C1761" w:rsidP="00567BBA">
            <w:pPr>
              <w:rPr>
                <w:color w:val="020202"/>
                <w:sz w:val="16"/>
                <w:szCs w:val="16"/>
                <w:shd w:val="clear" w:color="auto" w:fill="FFFFFF"/>
              </w:rPr>
            </w:pPr>
            <w:r w:rsidRPr="007C1761">
              <w:rPr>
                <w:rFonts w:cstheme="minorHAnsi"/>
                <w:sz w:val="16"/>
                <w:szCs w:val="16"/>
              </w:rPr>
              <w:t>The tendency for one’s environmental self-identity to relate to one's obligation-based intrinsic motivation (that is, feelings of moral obligation) to act pro-environmentally, which in turn affects pro-environmental actions [5].</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2C095B" w14:textId="77777777" w:rsidR="007C1761" w:rsidRPr="007C1761" w:rsidRDefault="007C1761" w:rsidP="007C1761">
            <w:pPr>
              <w:rPr>
                <w:rFonts w:cstheme="minorHAnsi"/>
                <w:sz w:val="16"/>
                <w:szCs w:val="16"/>
              </w:rPr>
            </w:pPr>
            <w:r w:rsidRPr="007C1761">
              <w:rPr>
                <w:rFonts w:cstheme="minorHAnsi"/>
                <w:sz w:val="16"/>
                <w:szCs w:val="16"/>
              </w:rPr>
              <w:t>Influencing individual self-identities to align with sustainability can create conditions that incentivize a company, country, or individual to fish sustainably, curb illegal fishing, or create large marine reserves as steps to enhance reputation or self-image</w:t>
            </w:r>
            <w:r>
              <w:rPr>
                <w:rFonts w:cstheme="minorHAnsi"/>
                <w:sz w:val="16"/>
                <w:szCs w:val="16"/>
              </w:rPr>
              <w:t xml:space="preserve"> </w:t>
            </w:r>
            <w:r w:rsidRPr="007C1761">
              <w:rPr>
                <w:color w:val="020202"/>
                <w:sz w:val="16"/>
                <w:szCs w:val="16"/>
                <w:shd w:val="clear" w:color="auto" w:fill="FFFFFF"/>
              </w:rPr>
              <w:fldChar w:fldCharType="begin"/>
            </w:r>
            <w:r w:rsidRPr="007C1761">
              <w:rPr>
                <w:color w:val="020202"/>
                <w:sz w:val="16"/>
                <w:szCs w:val="16"/>
                <w:shd w:val="clear" w:color="auto" w:fill="FFFFFF"/>
              </w:rPr>
              <w:instrText xml:space="preserve"> ADDIN ZOTERO_ITEM CSL_CITATION {"citationID":"x3VkQT7o","properties":{"formattedCitation":"[5]","plainCitation":"[5]","noteIndex":0},"citationItems":[{"id":269,"uris":["http://zotero.org/groups/2596527/items/J4BHMZTL"],"uri":["http://zotero.org/groups/2596527/items/J4BHMZTL"],"itemData":{"id":269,"type":"article-journal","abstract":"In order to effectively mitigate climate change, people need to adopt environmentally-friendly actions. We argue that some people act in an environmentally-friendly manner without external incentives to do so, but rather because they are intrinsically motivated to do so. There is some initial evidence to suggest that this is particularly likely for people with a strong environmental self-identity. However, not much is known about how environmental self-identity influences pro-environmental actions. In this research, we aimed to test whether, and if so, via which process environmental self-identity is related to environmentally-friendly behaviour. We conducted three studies to test our hypotheses. In the first study, our hypotheses were confirmed in a sample of the general population using a correlational design. In the second study, we replicated our findings with a different indicator of moral obligation and with a different dependent variable. In the third study, we tested our model in an experimental design. Again, we found support for our hypotheses that environmental self-identity is related to one's obligation-based intrinsic motivation (that is, feelings of moral obligation) to act pro-environmentally, which in turn affects pro-environmental actions. As expected, the obligation-based intrinsic motivation mediates the relationship between environmental self-identity and environmentally-friendly behaviour. Our findings suggest that strengthening environmental self-identity may be a cost-effective way to promote pro-environmental actions, as people with a strong environmental self-identity are likely to act in an environmentally-friendly manner without an external incentive to do so.","container-title":"Global Environmental Change","DOI":"10.1016/j.gloenvcha.2013.07.018","ISSN":"0959-3780","issue":"5","journalAbbreviation":"Global Environmental Change","language":"en","page":"1258-1265","source":"ScienceDirect","title":"It is a moral issue: The relationship between environmental self-identity, obligation-based intrinsic motivation and pro-environmental behaviour","title-short":"It is a moral issue","volume":"23","author":[{"family":"Werff","given":"Ellen","non-dropping-particle":"van der"},{"family":"Steg","given":"Linda"},{"family":"Keizer","given":"Kees"}],"issued":{"date-parts":[["2013",10,1]]}}}],"schema":"https://github.com/citation-style-language/schema/raw/master/csl-citation.json"} </w:instrText>
            </w:r>
            <w:r w:rsidRPr="007C1761">
              <w:rPr>
                <w:color w:val="020202"/>
                <w:sz w:val="16"/>
                <w:szCs w:val="16"/>
                <w:shd w:val="clear" w:color="auto" w:fill="FFFFFF"/>
              </w:rPr>
              <w:fldChar w:fldCharType="separate"/>
            </w:r>
            <w:r w:rsidRPr="007C1761">
              <w:rPr>
                <w:rFonts w:ascii="Calibri" w:hAnsi="Calibri" w:cs="Calibri"/>
                <w:sz w:val="16"/>
              </w:rPr>
              <w:t>[5]</w:t>
            </w:r>
            <w:r w:rsidRPr="007C1761">
              <w:rPr>
                <w:color w:val="020202"/>
                <w:sz w:val="16"/>
                <w:szCs w:val="16"/>
                <w:shd w:val="clear" w:color="auto" w:fill="FFFFFF"/>
              </w:rPr>
              <w:fldChar w:fldCharType="end"/>
            </w:r>
            <w:r>
              <w:rPr>
                <w:rFonts w:cstheme="minorHAnsi"/>
                <w:sz w:val="16"/>
                <w:szCs w:val="16"/>
              </w:rPr>
              <w:t>.</w:t>
            </w:r>
          </w:p>
        </w:tc>
      </w:tr>
      <w:tr w:rsidR="007C1761" w:rsidRPr="00767F04" w14:paraId="4BEA01C5" w14:textId="77777777" w:rsidTr="2BD12D09">
        <w:tc>
          <w:tcPr>
            <w:tcW w:w="2547" w:type="dxa"/>
            <w:vMerge/>
            <w:tcBorders>
              <w:left w:val="single" w:sz="4" w:space="0" w:color="auto"/>
              <w:right w:val="single" w:sz="4" w:space="0" w:color="auto"/>
            </w:tcBorders>
            <w:shd w:val="clear" w:color="auto" w:fill="DEEAF6" w:themeFill="accent1" w:themeFillTint="33"/>
          </w:tcPr>
          <w:p w14:paraId="690F5EFB"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BBC257" w14:textId="77777777" w:rsidR="007C1761" w:rsidRPr="00A378BB" w:rsidRDefault="007C1761" w:rsidP="00567BBA">
            <w:pPr>
              <w:rPr>
                <w:rFonts w:cstheme="minorHAnsi"/>
                <w:b/>
                <w:bCs/>
                <w:sz w:val="16"/>
                <w:szCs w:val="16"/>
              </w:rPr>
            </w:pPr>
            <w:r w:rsidRPr="00A378BB">
              <w:rPr>
                <w:rFonts w:cstheme="minorHAnsi"/>
                <w:b/>
                <w:bCs/>
                <w:sz w:val="16"/>
                <w:szCs w:val="16"/>
              </w:rPr>
              <w:t>Priming</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1B4072" w14:textId="77777777" w:rsidR="007C1761" w:rsidRPr="007C1761" w:rsidRDefault="007C1761" w:rsidP="00567BBA">
            <w:pPr>
              <w:rPr>
                <w:color w:val="000000"/>
                <w:sz w:val="16"/>
                <w:szCs w:val="16"/>
                <w:shd w:val="clear" w:color="auto" w:fill="FFFFFF"/>
              </w:rPr>
            </w:pPr>
            <w:r w:rsidRPr="007C1761">
              <w:rPr>
                <w:sz w:val="16"/>
                <w:szCs w:val="16"/>
                <w:lang w:val="en-GB"/>
              </w:rPr>
              <w:t>The tendency to, when exposed to an external stimulus (e.g., a list of words describing old people), activate a mental construct associated with this stimulus (e.g., “being old”), which may in turn affect subsequent behavio</w:t>
            </w:r>
            <w:r w:rsidR="008F690F">
              <w:rPr>
                <w:sz w:val="16"/>
                <w:szCs w:val="16"/>
                <w:lang w:val="en-GB"/>
              </w:rPr>
              <w:t>u</w:t>
            </w:r>
            <w:r w:rsidRPr="007C1761">
              <w:rPr>
                <w:sz w:val="16"/>
                <w:szCs w:val="16"/>
                <w:lang w:val="en-GB"/>
              </w:rPr>
              <w:t xml:space="preserve">r without </w:t>
            </w:r>
            <w:r w:rsidR="003006D4">
              <w:rPr>
                <w:sz w:val="16"/>
                <w:szCs w:val="16"/>
                <w:lang w:val="en-GB"/>
              </w:rPr>
              <w:t xml:space="preserve">one </w:t>
            </w:r>
            <w:r w:rsidRPr="007C1761">
              <w:rPr>
                <w:sz w:val="16"/>
                <w:szCs w:val="16"/>
                <w:lang w:val="en-GB"/>
              </w:rPr>
              <w:t>necessarily being aware of this influence.</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844222" w14:textId="77777777" w:rsidR="007C1761" w:rsidRPr="007C1761" w:rsidRDefault="007C1761" w:rsidP="00567BBA">
            <w:pPr>
              <w:rPr>
                <w:sz w:val="16"/>
                <w:szCs w:val="16"/>
                <w:lang w:val="en-GB"/>
              </w:rPr>
            </w:pPr>
            <w:r w:rsidRPr="007C1761">
              <w:rPr>
                <w:sz w:val="16"/>
                <w:szCs w:val="16"/>
                <w:lang w:val="en-GB"/>
              </w:rPr>
              <w:t xml:space="preserve">Fishers misreported coin tosses to their economic advantage more strongly in a treatment where they were primed with the EU logo </w:t>
            </w:r>
            <w:r w:rsidRPr="007C1761">
              <w:rPr>
                <w:sz w:val="16"/>
                <w:szCs w:val="16"/>
                <w:lang w:val="en-GB"/>
              </w:rPr>
              <w:fldChar w:fldCharType="begin"/>
            </w:r>
            <w:r w:rsidRPr="007C1761">
              <w:rPr>
                <w:sz w:val="16"/>
                <w:szCs w:val="16"/>
                <w:lang w:val="en-GB"/>
              </w:rPr>
              <w:instrText xml:space="preserve"> ADDIN ZOTERO_ITEM CSL_CITATION {"citationID":"zQpWOnEw","properties":{"formattedCitation":"[6,7]","plainCitation":"[6,7]","noteIndex":0},"citationItems":[{"id":451,"uris":["http://zotero.org/groups/2596527/items/L93KLNDI"],"uri":["http://zotero.org/groups/2596527/items/L93KLNDI"],"itemData":{"id":451,"type":"chapter","abstract":"Fisheries regulations aim to maintain fishing mortality and fishing impacts within sustainable limits. Although sustainability is in the long-term interest of fishers, the regulations themselves are usually not in the short-term interest of the individual fisher because they restrict the fisher’s economic activity. Therefore, as is the case with all regulations, the temptation exists for non-compliance and dishonest reporting. In the EU and elsewhere, top-down, complex regulations, often leading to unintended consequences, with complex and non-transparent governance-science interactions, may decrease the credibility and legitimacy of fisheries management among fishers. This, in turn, may decrease the motivation to comply and report honestly. The Landing Obligation may make things worse because following the regulation to the letter would often strongly and negatively impact the individual fishers’ economic situation. Behavioural science suggests factors that may influence compliance and honesty. Compliance is not necessarily a function of the economic benefits and costs of rule violation: compliance may be more or less, depending on intrinsic motivations. An increased level of self-decision may lead to greater buy-in to sustainable fishing practices and voluntary compliance to catch limits and the Landing Obligation. All else being equal, people in small and self-selected groups are inherently more likely to behave “prosocially”. In this chapter, some key recommendations based on behavioural science are given for changes in institutional settings that may increase voluntary compliance and sustainable fishing practices. However, transition to a system allowing for more freedom from top-down regulation, with more self-governance, may be difficult due to institutional and cultural barriers and therefore may take many years.","container-title":"The European Landing Obligation: Reducing Discards in Complex, Multi-Species and Multi-Jurisdictional Fisheries","event-place":"Cham","ISBN":"978-3-030-03308-8","language":"en","note":"DOI: 10.1007/978-3-030-03308-8_11","page":"219-236","publisher":"Springer International Publishing","publisher-place":"Cham","source":"Springer Link","title":"Creating a Breeding Ground for Compliance and Honest Reporting Under the Landing Obligation: Insights from Behavioural Science","title-short":"Creating a Breeding Ground for Compliance and Honest Reporting Under the Landing Obligation","URL":"https://doi.org/10.1007/978-3-030-03308-8_11","author":[{"family":"Kraak","given":"Sarah B. M."},{"family":"Hart","given":"Paul J. B."}],"editor":[{"family":"Uhlmann","given":"Sven Sebastian"},{"family":"Ulrich","given":"Clara"},{"family":"Kennelly","given":"Steven J."}],"accessed":{"date-parts":[["2021",3,3]]},"issued":{"date-parts":[["2019"]]}}},{"id":238,"uris":["http://zotero.org/groups/2596527/items/RMWTPUGN"],"uri":["http://zotero.org/groups/2596527/items/RMWTPUGN"],"itemData":{"id":238,"type":"article-journal","abstract":"Understanding what determines the truth-telling of economic agents towards their regulator is of major economic importance from banking to the management of common-pool resources such as European fisheries. By enacting a discard-ban on unwanted fish-catches without increasing monitoring activities, the European Union (EU) depends on fishermen's truth-telling. Using a coin-tossing task in an artefactual mail field experiment with 120 German commercial fishermen, we test whether truth-telling in a baseline setting differs from behavior in two treatments that exploit fishermen's widespread ill-regard of their regulator, the EU. We find, first, that fishermen misreport coin tosses more strongly to their advantage in a treatment where they are faced with the EU flag, and, second, that misreporting is consistent with behavior in other hidden tasks. We also find some supportive evidence for our first result in a conceptual replication with 1200 UK citizens who voted ‘leave’ in the Brexit referendum. Our findings imply that lying is more extensive towards an ill-regarded regulator and that policy needs to account for this endogenously eroding honesty base.","container-title":"European Economic Review","DOI":"10.1016/j.euroecorev.2019.103310","ISSN":"0014-2921","journalAbbreviation":"European Economic Review","language":"en","page":"103310","source":"ScienceDirect","title":"Truth-telling and the regulator. Experimental evidence from commercial fishermen","volume":"120","author":[{"family":"Drupp","given":"Moritz A."},{"family":"Khadjavi","given":"Menusch"},{"family":"Quaas","given":"Martin F."}],"issued":{"date-parts":[["2019",11,1]]}}}],"schema":"https://github.com/citation-style-language/schema/raw/master/csl-citation.json"} </w:instrText>
            </w:r>
            <w:r w:rsidRPr="007C1761">
              <w:rPr>
                <w:sz w:val="16"/>
                <w:szCs w:val="16"/>
                <w:lang w:val="en-GB"/>
              </w:rPr>
              <w:fldChar w:fldCharType="separate"/>
            </w:r>
            <w:r w:rsidRPr="007C1761">
              <w:rPr>
                <w:rFonts w:ascii="Calibri" w:hAnsi="Calibri" w:cs="Calibri"/>
                <w:sz w:val="16"/>
              </w:rPr>
              <w:t>[6,7]</w:t>
            </w:r>
            <w:r w:rsidRPr="007C1761">
              <w:rPr>
                <w:sz w:val="16"/>
                <w:szCs w:val="16"/>
                <w:lang w:val="en-GB"/>
              </w:rPr>
              <w:fldChar w:fldCharType="end"/>
            </w:r>
            <w:r w:rsidRPr="007C1761">
              <w:rPr>
                <w:sz w:val="16"/>
                <w:szCs w:val="16"/>
                <w:lang w:val="en-GB"/>
              </w:rPr>
              <w:t xml:space="preserve">. </w:t>
            </w:r>
          </w:p>
        </w:tc>
      </w:tr>
      <w:tr w:rsidR="007C1761" w:rsidRPr="00A378BB" w14:paraId="2D5EF8D4" w14:textId="77777777" w:rsidTr="2BD12D09">
        <w:tc>
          <w:tcPr>
            <w:tcW w:w="2547" w:type="dxa"/>
            <w:vMerge/>
            <w:tcBorders>
              <w:left w:val="single" w:sz="4" w:space="0" w:color="auto"/>
              <w:right w:val="single" w:sz="4" w:space="0" w:color="auto"/>
            </w:tcBorders>
            <w:shd w:val="clear" w:color="auto" w:fill="DEEAF6" w:themeFill="accent1" w:themeFillTint="33"/>
          </w:tcPr>
          <w:p w14:paraId="6B52C04D"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A82CBA" w14:textId="77777777" w:rsidR="007C1761" w:rsidRPr="00A378BB" w:rsidRDefault="007C1761" w:rsidP="00567BBA">
            <w:pPr>
              <w:rPr>
                <w:rFonts w:cstheme="minorHAnsi"/>
                <w:b/>
                <w:bCs/>
                <w:sz w:val="16"/>
                <w:szCs w:val="16"/>
              </w:rPr>
            </w:pPr>
            <w:r w:rsidRPr="00A378BB">
              <w:rPr>
                <w:rFonts w:cstheme="minorHAnsi"/>
                <w:b/>
                <w:bCs/>
                <w:sz w:val="16"/>
                <w:szCs w:val="16"/>
              </w:rPr>
              <w:t>Framing</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8C4FF" w14:textId="0609887D" w:rsidR="007C1761" w:rsidRPr="00A378BB" w:rsidRDefault="007C1761" w:rsidP="00567BBA">
            <w:pPr>
              <w:rPr>
                <w:sz w:val="16"/>
                <w:szCs w:val="16"/>
              </w:rPr>
            </w:pPr>
            <w:r w:rsidRPr="2BD12D09">
              <w:rPr>
                <w:sz w:val="16"/>
                <w:szCs w:val="16"/>
              </w:rPr>
              <w:t>The tendency to decide on options based on whether the options are presented with positive or negative connotations (e.g., as a loss or as a gain).</w:t>
            </w:r>
            <w:r w:rsidR="7C1C03A8" w:rsidRPr="2BD12D09">
              <w:rPr>
                <w:sz w:val="16"/>
                <w:szCs w:val="16"/>
              </w:rPr>
              <w:t xml:space="preserve"> </w:t>
            </w:r>
            <w:r w:rsidRPr="2BD12D09">
              <w:rPr>
                <w:sz w:val="16"/>
                <w:szCs w:val="16"/>
              </w:rPr>
              <w:t>There is a related tendency to avoid risk when a positive frame is presented</w:t>
            </w:r>
            <w:r w:rsidR="22A10B71" w:rsidRPr="2BD12D09">
              <w:rPr>
                <w:sz w:val="16"/>
                <w:szCs w:val="16"/>
              </w:rPr>
              <w:t>,</w:t>
            </w:r>
            <w:r w:rsidRPr="2BD12D09">
              <w:rPr>
                <w:sz w:val="16"/>
                <w:szCs w:val="16"/>
              </w:rPr>
              <w:t xml:space="preserve"> but seek risks when a negative frame is presented.</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A33EA" w14:textId="77777777" w:rsidR="007C1761" w:rsidRDefault="007C1761" w:rsidP="00567BBA">
            <w:pPr>
              <w:rPr>
                <w:rFonts w:cstheme="minorHAnsi"/>
                <w:sz w:val="16"/>
                <w:szCs w:val="16"/>
              </w:rPr>
            </w:pPr>
            <w:r w:rsidRPr="00A378BB">
              <w:rPr>
                <w:rFonts w:cstheme="minorHAnsi"/>
                <w:sz w:val="16"/>
                <w:szCs w:val="16"/>
              </w:rPr>
              <w:t xml:space="preserve">Framing economic incentives differently </w:t>
            </w:r>
            <w:r>
              <w:rPr>
                <w:rFonts w:cstheme="minorHAnsi"/>
                <w:sz w:val="16"/>
                <w:szCs w:val="16"/>
              </w:rPr>
              <w:t>can have</w:t>
            </w:r>
            <w:r w:rsidRPr="00A378BB">
              <w:rPr>
                <w:rFonts w:cstheme="minorHAnsi"/>
                <w:sz w:val="16"/>
                <w:szCs w:val="16"/>
              </w:rPr>
              <w:t xml:space="preserve"> different </w:t>
            </w:r>
            <w:r>
              <w:rPr>
                <w:rFonts w:cstheme="minorHAnsi"/>
                <w:sz w:val="16"/>
                <w:szCs w:val="16"/>
              </w:rPr>
              <w:t xml:space="preserve">effects on fishing extraction and earnings </w:t>
            </w:r>
            <w:r w:rsidRPr="00A378BB">
              <w:rPr>
                <w:rFonts w:cstheme="minorHAnsi"/>
                <w:sz w:val="16"/>
                <w:szCs w:val="16"/>
              </w:rPr>
              <w:fldChar w:fldCharType="begin"/>
            </w:r>
            <w:r>
              <w:rPr>
                <w:rFonts w:cstheme="minorHAnsi"/>
                <w:sz w:val="16"/>
                <w:szCs w:val="16"/>
              </w:rPr>
              <w:instrText xml:space="preserve"> ADDIN ZOTERO_ITEM CSL_CITATION {"citationID":"6JnC9FYG","properties":{"formattedCitation":"[8]","plainCitation":"[8]","noteIndex":0},"citationItems":[{"id":245,"uris":["http://zotero.org/groups/2596527/items/WQ8JLXRJ"],"uri":["http://zotero.org/groups/2596527/items/WQ8JLXRJ"],"itemData":{"id":245,"type":"article-journal","abstract":"Although many formal and informal mechanisms have been proposed to avoid over-fishing, their relative effectiveness is relatively understudied. This paper investigates fisher behaviour subject to formal and informal institutions in an experimental field setting. Framed field experiments were conducted with 240 fishers to assess cooperation and compare the effectiveness of formal and informal institutions for small-scale fishers in Turkey. Turkish fisheries is characterized mainly as open-access, subject to immense competition between industrial, small-scale and recreational fishers, even though formal measures such as closed seasons and areas are prevalent. Extraction and earnings were measured under two formal institutions (monetary penalty versus purchase of fishing rights for every unit of catch beyond the quota) and were compared to an informal mechanism involving communication as well as a baseline representing open-access. While monetary penalty was effective to reduce extraction relative to baseline (open-access), the other formal institution, purchase of fishing rights, did not significantly reduce extraction, even though providing the same level of economic incentive. Communication was the most effective to increase earnings and improve income equality. This result supports the argument that community-based institutions and co-management in fisheries management (entailing communication) can improve sustainable resource use and livelihoods of small-scale fishers in developing countries. The results suggest that differently framed economic incentives may lead to differential outcomes in terms of cooperation, earnings and income distribution. These findings contribute to fisheries management in addressing unintended fisher behaviour, as well as to other sustainability policies in dealing with resource use conflicts in general.","container-title":"Marine Policy","DOI":"10.1016/j.marpol.2019.103673","ISSN":"0308-597X","journalAbbreviation":"Marine Policy","language":"en","page":"103673","source":"ScienceDirect","title":"Formal versus informal institutions: Extraction and earnings in framed field experiments with small-scale fishing communities in Turkey","title-short":"Formal versus informal institutions","volume":"109","author":[{"family":"Ertör-Akyazi","given":"Pinar"}],"issued":{"date-parts":[["2019",11,1]]}}}],"schema":"https://github.com/citation-style-language/schema/raw/master/csl-citation.json"} </w:instrText>
            </w:r>
            <w:r w:rsidRPr="00A378BB">
              <w:rPr>
                <w:rFonts w:cstheme="minorHAnsi"/>
                <w:sz w:val="16"/>
                <w:szCs w:val="16"/>
              </w:rPr>
              <w:fldChar w:fldCharType="separate"/>
            </w:r>
            <w:r w:rsidRPr="007476C3">
              <w:rPr>
                <w:rFonts w:ascii="Calibri" w:hAnsi="Calibri" w:cs="Calibri"/>
                <w:sz w:val="16"/>
              </w:rPr>
              <w:t>[8]</w:t>
            </w:r>
            <w:r w:rsidRPr="00A378BB">
              <w:rPr>
                <w:rFonts w:cstheme="minorHAnsi"/>
                <w:sz w:val="16"/>
                <w:szCs w:val="16"/>
              </w:rPr>
              <w:fldChar w:fldCharType="end"/>
            </w:r>
            <w:r>
              <w:rPr>
                <w:rFonts w:cstheme="minorHAnsi"/>
                <w:sz w:val="16"/>
                <w:szCs w:val="16"/>
              </w:rPr>
              <w:t>.</w:t>
            </w:r>
          </w:p>
          <w:p w14:paraId="3EE68A93" w14:textId="77777777" w:rsidR="007C1761" w:rsidRPr="00A378BB" w:rsidRDefault="007C1761" w:rsidP="00567BBA">
            <w:pPr>
              <w:rPr>
                <w:sz w:val="16"/>
                <w:szCs w:val="16"/>
              </w:rPr>
            </w:pPr>
            <w:r w:rsidRPr="007E7424">
              <w:rPr>
                <w:sz w:val="16"/>
                <w:szCs w:val="16"/>
                <w:u w:val="single"/>
              </w:rPr>
              <w:t>Note</w:t>
            </w:r>
            <w:r>
              <w:rPr>
                <w:sz w:val="16"/>
                <w:szCs w:val="16"/>
              </w:rPr>
              <w:t xml:space="preserve">: </w:t>
            </w:r>
            <w:r w:rsidRPr="590D11F9">
              <w:rPr>
                <w:sz w:val="16"/>
                <w:szCs w:val="16"/>
              </w:rPr>
              <w:t>This differs from priming in that it is a constant process (not just a single ‘priming moment’)</w:t>
            </w:r>
            <w:r w:rsidR="003006D4">
              <w:rPr>
                <w:sz w:val="16"/>
                <w:szCs w:val="16"/>
              </w:rPr>
              <w:t>.</w:t>
            </w:r>
          </w:p>
        </w:tc>
      </w:tr>
      <w:tr w:rsidR="007C1761" w:rsidRPr="00A378BB" w14:paraId="47512968" w14:textId="77777777" w:rsidTr="2BD12D09">
        <w:tc>
          <w:tcPr>
            <w:tcW w:w="2547" w:type="dxa"/>
            <w:vMerge/>
            <w:tcBorders>
              <w:left w:val="single" w:sz="4" w:space="0" w:color="auto"/>
              <w:right w:val="single" w:sz="4" w:space="0" w:color="auto"/>
            </w:tcBorders>
            <w:shd w:val="clear" w:color="auto" w:fill="DEEAF6" w:themeFill="accent1" w:themeFillTint="33"/>
          </w:tcPr>
          <w:p w14:paraId="2F7CA52C" w14:textId="77777777" w:rsidR="007C1761" w:rsidRPr="00A378BB" w:rsidRDefault="007C1761" w:rsidP="00567BBA">
            <w:pPr>
              <w:rPr>
                <w:rFonts w:cstheme="minorHAnsi"/>
                <w:b/>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D95FC0" w14:textId="77777777" w:rsidR="007C1761" w:rsidRPr="00A378BB" w:rsidRDefault="007C1761" w:rsidP="00567BBA">
            <w:pPr>
              <w:rPr>
                <w:rFonts w:cstheme="minorHAnsi"/>
                <w:b/>
                <w:bCs/>
                <w:sz w:val="16"/>
                <w:szCs w:val="16"/>
              </w:rPr>
            </w:pPr>
            <w:r w:rsidRPr="00A378BB">
              <w:rPr>
                <w:rFonts w:cstheme="minorHAnsi"/>
                <w:b/>
                <w:sz w:val="16"/>
                <w:szCs w:val="16"/>
              </w:rPr>
              <w:t>Hedonic Framing</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3B2FA1" w14:textId="77777777" w:rsidR="007C1761" w:rsidRPr="007C1761" w:rsidRDefault="007C1761" w:rsidP="00567BBA">
            <w:pPr>
              <w:rPr>
                <w:rFonts w:cstheme="minorHAnsi"/>
                <w:sz w:val="16"/>
                <w:szCs w:val="16"/>
              </w:rPr>
            </w:pPr>
            <w:r w:rsidRPr="007C1761">
              <w:rPr>
                <w:rFonts w:cstheme="minorHAnsi"/>
                <w:sz w:val="16"/>
                <w:szCs w:val="16"/>
              </w:rPr>
              <w:t>The tendency to split a gain into smaller gains to maximize the pleasure, but combine losses into a single loss to minimize pain. In other words, two individual gains are perceived to be more valuable than a single larger gain of the same value. Similarly, one big loss is easier to bear than two small ones [9].</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9EF607" w14:textId="77777777" w:rsidR="007C1761" w:rsidRPr="00A378BB" w:rsidRDefault="007C1761" w:rsidP="00567BBA">
            <w:pPr>
              <w:rPr>
                <w:rFonts w:cstheme="minorHAnsi"/>
                <w:sz w:val="16"/>
                <w:szCs w:val="16"/>
              </w:rPr>
            </w:pPr>
            <w:r>
              <w:rPr>
                <w:rFonts w:cstheme="minorHAnsi"/>
                <w:sz w:val="16"/>
                <w:szCs w:val="16"/>
              </w:rPr>
              <w:t>Following this theory, it would be expected that o</w:t>
            </w:r>
            <w:r w:rsidRPr="00A378BB">
              <w:rPr>
                <w:rFonts w:cstheme="minorHAnsi"/>
                <w:sz w:val="16"/>
                <w:szCs w:val="16"/>
              </w:rPr>
              <w:t xml:space="preserve">pening </w:t>
            </w:r>
            <w:r>
              <w:rPr>
                <w:rFonts w:cstheme="minorHAnsi"/>
                <w:sz w:val="16"/>
                <w:szCs w:val="16"/>
              </w:rPr>
              <w:t xml:space="preserve">restricted </w:t>
            </w:r>
            <w:r w:rsidRPr="00A378BB">
              <w:rPr>
                <w:rFonts w:cstheme="minorHAnsi"/>
                <w:sz w:val="16"/>
                <w:szCs w:val="16"/>
              </w:rPr>
              <w:t>fishing grounds for one week at a time twice a season</w:t>
            </w:r>
            <w:r>
              <w:rPr>
                <w:rFonts w:cstheme="minorHAnsi"/>
                <w:sz w:val="16"/>
                <w:szCs w:val="16"/>
              </w:rPr>
              <w:t xml:space="preserve"> would be more supported by fishers than opening for</w:t>
            </w:r>
            <w:r w:rsidRPr="00A378BB">
              <w:rPr>
                <w:rFonts w:cstheme="minorHAnsi"/>
                <w:sz w:val="16"/>
                <w:szCs w:val="16"/>
              </w:rPr>
              <w:t xml:space="preserve"> a single period of two weeks.</w:t>
            </w:r>
            <w:r>
              <w:rPr>
                <w:rFonts w:cstheme="minorHAnsi"/>
                <w:sz w:val="16"/>
                <w:szCs w:val="16"/>
              </w:rPr>
              <w:t>*</w:t>
            </w:r>
          </w:p>
        </w:tc>
      </w:tr>
      <w:tr w:rsidR="007C1761" w:rsidRPr="00A378BB" w14:paraId="1E9E256A" w14:textId="77777777" w:rsidTr="2BD12D09">
        <w:tc>
          <w:tcPr>
            <w:tcW w:w="2547" w:type="dxa"/>
            <w:vMerge/>
            <w:tcBorders>
              <w:left w:val="single" w:sz="4" w:space="0" w:color="auto"/>
              <w:right w:val="single" w:sz="4" w:space="0" w:color="auto"/>
            </w:tcBorders>
            <w:shd w:val="clear" w:color="auto" w:fill="DEEAF6" w:themeFill="accent1" w:themeFillTint="33"/>
          </w:tcPr>
          <w:p w14:paraId="0FAE63D6" w14:textId="77777777" w:rsidR="007C1761" w:rsidRPr="00A378BB" w:rsidRDefault="007C1761" w:rsidP="00567BBA">
            <w:pPr>
              <w:rPr>
                <w:rStyle w:val="CommentReference"/>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38AF2F" w14:textId="77777777" w:rsidR="007C1761" w:rsidRPr="00A378BB" w:rsidRDefault="007C1761" w:rsidP="00567BBA">
            <w:pPr>
              <w:rPr>
                <w:rStyle w:val="CommentReference"/>
                <w:rFonts w:cstheme="minorHAnsi"/>
                <w:b/>
              </w:rPr>
            </w:pPr>
            <w:r w:rsidRPr="00A378BB">
              <w:rPr>
                <w:rStyle w:val="CommentReference"/>
                <w:rFonts w:cstheme="minorHAnsi"/>
                <w:b/>
              </w:rPr>
              <w:t>Paradox of Choice</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A55886" w14:textId="18D4EBC8" w:rsidR="007C1761" w:rsidRPr="007C1761" w:rsidRDefault="007C1761" w:rsidP="008F690F">
            <w:pPr>
              <w:rPr>
                <w:sz w:val="16"/>
                <w:szCs w:val="16"/>
              </w:rPr>
            </w:pPr>
            <w:r>
              <w:rPr>
                <w:sz w:val="16"/>
                <w:szCs w:val="16"/>
              </w:rPr>
              <w:t>The tendency for</w:t>
            </w:r>
            <w:r w:rsidRPr="590D11F9">
              <w:rPr>
                <w:sz w:val="16"/>
                <w:szCs w:val="16"/>
              </w:rPr>
              <w:t xml:space="preserve"> more options or choices to make a decision</w:t>
            </w:r>
            <w:r>
              <w:rPr>
                <w:sz w:val="16"/>
                <w:szCs w:val="16"/>
              </w:rPr>
              <w:t xml:space="preserve"> more difficult to reach</w:t>
            </w:r>
            <w:r w:rsidRPr="590D11F9">
              <w:rPr>
                <w:sz w:val="16"/>
                <w:szCs w:val="16"/>
              </w:rPr>
              <w:t>, potentially hurting well-being in the process</w:t>
            </w:r>
            <w:r>
              <w:rPr>
                <w:sz w:val="16"/>
                <w:szCs w:val="16"/>
              </w:rPr>
              <w:t>. P</w:t>
            </w:r>
            <w:r w:rsidRPr="590D11F9">
              <w:rPr>
                <w:sz w:val="16"/>
                <w:szCs w:val="16"/>
              </w:rPr>
              <w:t>opularized by psychologist Barry Schwartz</w:t>
            </w:r>
            <w:r>
              <w:rPr>
                <w:sz w:val="16"/>
                <w:szCs w:val="16"/>
              </w:rPr>
              <w:t xml:space="preserve"> </w:t>
            </w:r>
            <w:r>
              <w:rPr>
                <w:sz w:val="16"/>
                <w:szCs w:val="16"/>
              </w:rPr>
              <w:fldChar w:fldCharType="begin"/>
            </w:r>
            <w:r w:rsidR="00E24BC5">
              <w:rPr>
                <w:sz w:val="16"/>
                <w:szCs w:val="16"/>
              </w:rPr>
              <w:instrText xml:space="preserve"> ADDIN ZOTERO_ITEM CSL_CITATION {"citationID":"S3KFhDmW","properties":{"formattedCitation":"[9]","plainCitation":"[9]","noteIndex":0},"citationItems":[{"id":574,"uris":["http://zotero.org/groups/2596527/items/VCZBJSL6"],"uri":["http://zotero.org/groups/2596527/items/VCZBJSL6"],"itemData":{"id":574,"type":"book","abstract":"This book is about the choices Americans face in almost all areas of life: education, career, friendship, sex, romance, parenting, religious observance. Part I discusses how the range of choices people face every day has increased in recent years. Part II discusses how we choose and shows how difficult and demanding it is to make wise choices. Choosing well is especially difficult for those determined to make only the best choices, individuals I refer to as \"maximizers.\" Part III is about how and why choice can make us suffer. It asks whether increased opportunities for choice actually make people happier, and concludes that often they do not. It also identifies several psychological processes that explain why added options do not make people better off: adaptation, regret, missed opportunities, raised expectations, and feelings of inadequacy in comparison with others. It concludes with the suggestion that increased choice may actually contribute to the recent epidemic of clinical depression affecting much of the Western world. Finally, in Part IV, I offer a series of recommendations for taking advantage of what is positive, and avoiding what is negative, in our modern freedom of choice. (PsycINFO Database Record (c) 2016 APA, all rights reserved)","collection-title":"The paradox of choice: Why more is less","event-place":"New York, NY, US","ISBN":"978-0-06-000568-9","note":"page: xi, 265","number-of-pages":"xi, 265","publisher":"HarperCollins Publishers","publisher-place":"New York, NY, US","source":"APA PsycNET","title":"The paradox of choice: Why more is less","title-short":"The paradox of choice","author":[{"family":"Schwartz","given":"Barry"}],"issued":{"date-parts":[["2004"]]}}}],"schema":"https://github.com/citation-style-language/schema/raw/master/csl-citation.json"} </w:instrText>
            </w:r>
            <w:r>
              <w:rPr>
                <w:sz w:val="16"/>
                <w:szCs w:val="16"/>
              </w:rPr>
              <w:fldChar w:fldCharType="separate"/>
            </w:r>
            <w:r w:rsidR="00E24BC5" w:rsidRPr="00E24BC5">
              <w:rPr>
                <w:rFonts w:ascii="Calibri" w:hAnsi="Calibri" w:cs="Calibri"/>
                <w:sz w:val="16"/>
              </w:rPr>
              <w:t>[9]</w:t>
            </w:r>
            <w:r>
              <w:rPr>
                <w:sz w:val="16"/>
                <w:szCs w:val="16"/>
              </w:rPr>
              <w:fldChar w:fldCharType="end"/>
            </w:r>
            <w:r>
              <w:rPr>
                <w:sz w:val="16"/>
                <w:szCs w:val="16"/>
              </w:rPr>
              <w:t>,</w:t>
            </w:r>
            <w:r w:rsidRPr="590D11F9">
              <w:rPr>
                <w:sz w:val="16"/>
                <w:szCs w:val="16"/>
              </w:rPr>
              <w:t xml:space="preserve"> </w:t>
            </w:r>
            <w:r>
              <w:rPr>
                <w:sz w:val="16"/>
                <w:szCs w:val="16"/>
              </w:rPr>
              <w:t>t</w:t>
            </w:r>
            <w:r w:rsidRPr="590D11F9">
              <w:rPr>
                <w:sz w:val="16"/>
                <w:szCs w:val="16"/>
              </w:rPr>
              <w:t>he theory has been tested and analy</w:t>
            </w:r>
            <w:r w:rsidR="008F690F">
              <w:rPr>
                <w:sz w:val="16"/>
                <w:szCs w:val="16"/>
              </w:rPr>
              <w:t>s</w:t>
            </w:r>
            <w:r w:rsidRPr="590D11F9">
              <w:rPr>
                <w:sz w:val="16"/>
                <w:szCs w:val="16"/>
              </w:rPr>
              <w:t>ed in many different ways over the years</w:t>
            </w:r>
            <w:r>
              <w:rPr>
                <w:sz w:val="16"/>
                <w:szCs w:val="16"/>
              </w:rPr>
              <w:t xml:space="preserve"> </w:t>
            </w:r>
            <w:r>
              <w:rPr>
                <w:sz w:val="16"/>
                <w:szCs w:val="16"/>
              </w:rPr>
              <w:fldChar w:fldCharType="begin"/>
            </w:r>
            <w:r w:rsidR="00E24BC5">
              <w:rPr>
                <w:sz w:val="16"/>
                <w:szCs w:val="16"/>
              </w:rPr>
              <w:instrText xml:space="preserve"> ADDIN ZOTERO_ITEM CSL_CITATION {"citationID":"raTvbOO3","properties":{"formattedCitation":"[10]","plainCitation":"[10]","noteIndex":0},"citationItems":[{"id":607,"uris":["http://zotero.org/groups/2596527/items/CB8CKJVW"],"uri":["http://zotero.org/groups/2596527/items/CB8CKJVW"],"itemData":{"id":607,"type":"article","title":"www.zachhellermarketing.com"}}],"schema":"https://github.com/citation-style-language/schema/raw/master/csl-citation.json"} </w:instrText>
            </w:r>
            <w:r>
              <w:rPr>
                <w:sz w:val="16"/>
                <w:szCs w:val="16"/>
              </w:rPr>
              <w:fldChar w:fldCharType="separate"/>
            </w:r>
            <w:r w:rsidR="00E24BC5" w:rsidRPr="00E24BC5">
              <w:rPr>
                <w:rFonts w:ascii="Calibri" w:hAnsi="Calibri" w:cs="Calibri"/>
                <w:sz w:val="16"/>
              </w:rPr>
              <w:t>[10]</w:t>
            </w:r>
            <w:r>
              <w:rPr>
                <w:sz w:val="16"/>
                <w:szCs w:val="16"/>
              </w:rPr>
              <w:fldChar w:fldCharType="end"/>
            </w:r>
            <w:r w:rsidRPr="590D11F9">
              <w:rPr>
                <w:sz w:val="16"/>
                <w:szCs w:val="16"/>
              </w:rPr>
              <w:t xml:space="preserve">.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41B3DE" w14:textId="77777777" w:rsidR="007C1761" w:rsidRPr="00A378BB" w:rsidRDefault="007C1761" w:rsidP="00567BBA">
            <w:pPr>
              <w:rPr>
                <w:rFonts w:cstheme="minorHAnsi"/>
                <w:sz w:val="16"/>
                <w:szCs w:val="16"/>
              </w:rPr>
            </w:pPr>
            <w:r w:rsidRPr="00A378BB">
              <w:rPr>
                <w:rFonts w:cstheme="minorHAnsi"/>
                <w:sz w:val="16"/>
                <w:szCs w:val="16"/>
              </w:rPr>
              <w:t>It is easier to choose from 3 options than 30</w:t>
            </w:r>
            <w:r>
              <w:rPr>
                <w:rFonts w:cstheme="minorHAnsi"/>
                <w:sz w:val="16"/>
                <w:szCs w:val="16"/>
              </w:rPr>
              <w:t>. *</w:t>
            </w:r>
          </w:p>
        </w:tc>
      </w:tr>
      <w:tr w:rsidR="007C1761" w:rsidRPr="00A378BB" w14:paraId="48DC32D2" w14:textId="77777777" w:rsidTr="2BD12D09">
        <w:tc>
          <w:tcPr>
            <w:tcW w:w="2547" w:type="dxa"/>
            <w:vMerge/>
            <w:tcBorders>
              <w:left w:val="single" w:sz="4" w:space="0" w:color="auto"/>
              <w:right w:val="single" w:sz="4" w:space="0" w:color="auto"/>
            </w:tcBorders>
            <w:shd w:val="clear" w:color="auto" w:fill="DEEAF6" w:themeFill="accent1" w:themeFillTint="33"/>
          </w:tcPr>
          <w:p w14:paraId="340E1E36" w14:textId="77777777" w:rsidR="007C1761" w:rsidRPr="00A378BB" w:rsidRDefault="007C1761" w:rsidP="00567BBA">
            <w:pPr>
              <w:rPr>
                <w:rStyle w:val="CommentReference"/>
                <w:rFonts w:cstheme="minorHAnsi"/>
                <w:b/>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A9DB21" w14:textId="77777777" w:rsidR="007C1761" w:rsidRPr="00A378BB" w:rsidRDefault="007C1761" w:rsidP="00567BBA">
            <w:pPr>
              <w:rPr>
                <w:rStyle w:val="CommentReference"/>
                <w:rFonts w:cstheme="minorHAnsi"/>
                <w:b/>
              </w:rPr>
            </w:pPr>
            <w:r w:rsidRPr="00A378BB">
              <w:rPr>
                <w:rStyle w:val="CommentReference"/>
                <w:rFonts w:cstheme="minorHAnsi"/>
                <w:b/>
              </w:rPr>
              <w:t>Ego depletion</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484ED7" w14:textId="77777777" w:rsidR="007C1761" w:rsidRPr="00A378BB" w:rsidRDefault="007C1761" w:rsidP="00567BBA">
            <w:pPr>
              <w:rPr>
                <w:rFonts w:cstheme="minorHAnsi"/>
                <w:sz w:val="16"/>
                <w:szCs w:val="16"/>
              </w:rPr>
            </w:pPr>
            <w:r>
              <w:rPr>
                <w:rFonts w:cstheme="minorHAnsi"/>
                <w:sz w:val="16"/>
                <w:szCs w:val="16"/>
              </w:rPr>
              <w:t>The tendency for the capacity to make</w:t>
            </w:r>
            <w:r w:rsidRPr="00A378BB">
              <w:rPr>
                <w:rFonts w:cstheme="minorHAnsi"/>
                <w:sz w:val="16"/>
                <w:szCs w:val="16"/>
              </w:rPr>
              <w:t xml:space="preserve"> good decisions </w:t>
            </w:r>
            <w:r>
              <w:rPr>
                <w:rFonts w:cstheme="minorHAnsi"/>
                <w:sz w:val="16"/>
                <w:szCs w:val="16"/>
              </w:rPr>
              <w:t>to be inhibited</w:t>
            </w:r>
            <w:r w:rsidRPr="00A378BB">
              <w:rPr>
                <w:rFonts w:cstheme="minorHAnsi"/>
                <w:sz w:val="16"/>
                <w:szCs w:val="16"/>
              </w:rPr>
              <w:t xml:space="preserve"> by both decision overload and external fatigue.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055D61" w14:textId="77777777" w:rsidR="007C1761" w:rsidRPr="007C1761" w:rsidRDefault="007C1761" w:rsidP="00567BBA">
            <w:pPr>
              <w:rPr>
                <w:sz w:val="16"/>
                <w:szCs w:val="16"/>
              </w:rPr>
            </w:pPr>
            <w:r>
              <w:rPr>
                <w:sz w:val="16"/>
                <w:szCs w:val="16"/>
              </w:rPr>
              <w:t xml:space="preserve">The practical reality of being at sea </w:t>
            </w:r>
            <w:r w:rsidRPr="4F8D9287">
              <w:rPr>
                <w:sz w:val="16"/>
                <w:szCs w:val="16"/>
              </w:rPr>
              <w:t xml:space="preserve">leads to extreme fatigue and fishers can </w:t>
            </w:r>
            <w:r>
              <w:rPr>
                <w:sz w:val="16"/>
                <w:szCs w:val="16"/>
              </w:rPr>
              <w:t>avoid making decisions</w:t>
            </w:r>
            <w:r w:rsidRPr="4F8D9287">
              <w:rPr>
                <w:sz w:val="16"/>
                <w:szCs w:val="16"/>
              </w:rPr>
              <w:t>. To change behaviour, the moment of decision needs to be moved to when they are rested</w:t>
            </w:r>
            <w:r>
              <w:rPr>
                <w:sz w:val="16"/>
                <w:szCs w:val="16"/>
              </w:rPr>
              <w:t>.*</w:t>
            </w:r>
          </w:p>
        </w:tc>
      </w:tr>
      <w:tr w:rsidR="007C1761" w:rsidRPr="00A378BB" w14:paraId="7F1AF919" w14:textId="77777777" w:rsidTr="2BD12D09">
        <w:tc>
          <w:tcPr>
            <w:tcW w:w="2547" w:type="dxa"/>
            <w:vMerge/>
            <w:tcBorders>
              <w:left w:val="single" w:sz="4" w:space="0" w:color="auto"/>
              <w:right w:val="single" w:sz="4" w:space="0" w:color="auto"/>
            </w:tcBorders>
            <w:shd w:val="clear" w:color="auto" w:fill="DEEAF6" w:themeFill="accent1" w:themeFillTint="33"/>
          </w:tcPr>
          <w:p w14:paraId="4296814C"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EB26BD" w14:textId="7F1B5221" w:rsidR="007C1761" w:rsidRPr="00A378BB" w:rsidRDefault="007C1761" w:rsidP="00567BBA">
            <w:pPr>
              <w:rPr>
                <w:rFonts w:cstheme="minorHAnsi"/>
                <w:b/>
                <w:bCs/>
                <w:sz w:val="16"/>
                <w:szCs w:val="16"/>
              </w:rPr>
            </w:pPr>
            <w:r w:rsidRPr="00A378BB">
              <w:rPr>
                <w:rFonts w:cstheme="minorHAnsi"/>
                <w:b/>
                <w:bCs/>
                <w:sz w:val="16"/>
                <w:szCs w:val="16"/>
              </w:rPr>
              <w:t>Effect of being watched</w:t>
            </w:r>
            <w:r w:rsidR="00FD1B20">
              <w:rPr>
                <w:rFonts w:cstheme="minorHAnsi"/>
                <w:b/>
                <w:bCs/>
                <w:sz w:val="16"/>
                <w:szCs w:val="16"/>
              </w:rPr>
              <w:t xml:space="preserve"> </w:t>
            </w:r>
            <w:r w:rsidRPr="00A378BB">
              <w:rPr>
                <w:rFonts w:cstheme="minorHAnsi"/>
                <w:b/>
                <w:bCs/>
                <w:sz w:val="16"/>
                <w:szCs w:val="16"/>
              </w:rPr>
              <w:t>/</w:t>
            </w:r>
            <w:r w:rsidR="00FD1B20">
              <w:rPr>
                <w:rFonts w:cstheme="minorHAnsi"/>
                <w:b/>
                <w:bCs/>
                <w:sz w:val="16"/>
                <w:szCs w:val="16"/>
              </w:rPr>
              <w:t xml:space="preserve"> </w:t>
            </w:r>
            <w:proofErr w:type="spellStart"/>
            <w:r>
              <w:rPr>
                <w:rFonts w:cstheme="minorHAnsi"/>
                <w:b/>
                <w:bCs/>
                <w:sz w:val="16"/>
                <w:szCs w:val="16"/>
              </w:rPr>
              <w:t>P</w:t>
            </w:r>
            <w:r w:rsidRPr="00A378BB">
              <w:rPr>
                <w:rFonts w:cstheme="minorHAnsi"/>
                <w:b/>
                <w:bCs/>
                <w:sz w:val="16"/>
                <w:szCs w:val="16"/>
              </w:rPr>
              <w:t>anopticism</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39EA3E" w14:textId="1AF151B0" w:rsidR="007C1761" w:rsidRPr="00A378BB" w:rsidRDefault="007C1761">
            <w:pPr>
              <w:rPr>
                <w:rFonts w:cstheme="minorHAnsi"/>
                <w:sz w:val="16"/>
                <w:szCs w:val="16"/>
              </w:rPr>
            </w:pPr>
            <w:r>
              <w:rPr>
                <w:rFonts w:cstheme="minorHAnsi"/>
                <w:sz w:val="16"/>
                <w:szCs w:val="16"/>
              </w:rPr>
              <w:t>The tendency for compliant behaviour to increase when one is aware that they are</w:t>
            </w:r>
            <w:r w:rsidRPr="00A378BB">
              <w:rPr>
                <w:rFonts w:cstheme="minorHAnsi"/>
                <w:sz w:val="16"/>
                <w:szCs w:val="16"/>
              </w:rPr>
              <w:t xml:space="preserve"> being watched, </w:t>
            </w:r>
            <w:r>
              <w:rPr>
                <w:rFonts w:cstheme="minorHAnsi"/>
                <w:sz w:val="16"/>
                <w:szCs w:val="16"/>
              </w:rPr>
              <w:t>even if it is not known</w:t>
            </w:r>
            <w:r w:rsidRPr="00A378BB">
              <w:rPr>
                <w:rFonts w:cstheme="minorHAnsi"/>
                <w:sz w:val="16"/>
                <w:szCs w:val="16"/>
              </w:rPr>
              <w:t xml:space="preserve"> when or by whom</w:t>
            </w:r>
            <w:r>
              <w:rPr>
                <w:rFonts w:cstheme="minorHAnsi"/>
                <w:sz w:val="16"/>
                <w:szCs w:val="16"/>
              </w:rPr>
              <w:t xml:space="preserve"> </w:t>
            </w:r>
            <w:r>
              <w:rPr>
                <w:rFonts w:cstheme="minorHAnsi"/>
                <w:sz w:val="16"/>
                <w:szCs w:val="16"/>
              </w:rPr>
              <w:fldChar w:fldCharType="begin"/>
            </w:r>
            <w:r w:rsidR="00E24BC5">
              <w:rPr>
                <w:rFonts w:cstheme="minorHAnsi"/>
                <w:sz w:val="16"/>
                <w:szCs w:val="16"/>
              </w:rPr>
              <w:instrText xml:space="preserve"> ADDIN ZOTERO_ITEM CSL_CITATION {"citationID":"1KdJBao1","properties":{"formattedCitation":"[11]","plainCitation":"[11]","noteIndex":0},"citationItems":[{"id":579,"uris":["http://zotero.org/groups/2596527/items/P6976KWF"],"uri":["http://zotero.org/groups/2596527/items/P6976KWF"],"itemData":{"id":579,"type":"book","abstract":"Pt. 1. Torture -- 1. The body of the condemned -- 2. The spectacle of the scaffold -- pt. 2. Punishment -- 1. Generalized punishment -- 2. The gentle way in punishment -- pt. 3. Discipline -- 1. Docile bodies -- The art of distributions -- The control of activity -- The organization of geneses -- The composition of forces -- 2. The means of correct training -- Hierarchical observation -- Normalizing judgement [sic] -- The examination -- 3. Panopticism -- pt. 4. Prison -- 1. Complete and austere institutions -- 2. Illegalities and delinquency -- 3. The carceral.","ISBN":"978-0-679-75255-4","language":"en","number-of-pages":"354","publisher":"Vintage Books","source":"Google Books","title":"Discipline and Punish: The Birth of the Prison","title-short":"Discipline and Punish","author":[{"family":"Foucault","given":"Michel"}],"issued":{"date-parts":[["1995"]]}}}],"schema":"https://github.com/citation-style-language/schema/raw/master/csl-citation.json"} </w:instrText>
            </w:r>
            <w:r>
              <w:rPr>
                <w:rFonts w:cstheme="minorHAnsi"/>
                <w:sz w:val="16"/>
                <w:szCs w:val="16"/>
              </w:rPr>
              <w:fldChar w:fldCharType="separate"/>
            </w:r>
            <w:r w:rsidR="00E24BC5" w:rsidRPr="00E24BC5">
              <w:rPr>
                <w:rFonts w:ascii="Calibri" w:hAnsi="Calibri" w:cs="Calibri"/>
                <w:sz w:val="16"/>
              </w:rPr>
              <w:t>[11]</w:t>
            </w:r>
            <w:r>
              <w:rPr>
                <w:rFonts w:cstheme="minorHAnsi"/>
                <w:sz w:val="16"/>
                <w:szCs w:val="16"/>
              </w:rPr>
              <w:fldChar w:fldCharType="end"/>
            </w:r>
            <w:r>
              <w:rPr>
                <w:rFonts w:cstheme="minorHAnsi"/>
                <w:sz w:val="16"/>
                <w:szCs w:val="16"/>
              </w:rPr>
              <w:t>.  In other words,</w:t>
            </w:r>
            <w:r w:rsidRPr="00A378BB">
              <w:rPr>
                <w:rFonts w:cstheme="minorHAnsi"/>
                <w:sz w:val="16"/>
                <w:szCs w:val="16"/>
              </w:rPr>
              <w:t xml:space="preserve"> the possibility of being watched makes people behave </w:t>
            </w:r>
            <w:r w:rsidRPr="00A378BB">
              <w:rPr>
                <w:rFonts w:cstheme="minorHAnsi"/>
                <w:i/>
                <w:iCs/>
                <w:sz w:val="16"/>
                <w:szCs w:val="16"/>
              </w:rPr>
              <w:t xml:space="preserve">as if </w:t>
            </w:r>
            <w:r w:rsidRPr="00A378BB">
              <w:rPr>
                <w:rFonts w:cstheme="minorHAnsi"/>
                <w:sz w:val="16"/>
                <w:szCs w:val="16"/>
              </w:rPr>
              <w:t>they are being watched (whether they are watched or not)</w:t>
            </w:r>
            <w:r>
              <w:rPr>
                <w:rFonts w:cstheme="minorHAnsi"/>
                <w:sz w:val="16"/>
                <w:szCs w:val="16"/>
              </w:rPr>
              <w:t>.</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DC0E3C" w14:textId="77777777" w:rsidR="007C1761" w:rsidRPr="00A378BB" w:rsidRDefault="007C1761" w:rsidP="00567BBA">
            <w:pPr>
              <w:rPr>
                <w:rFonts w:cstheme="minorHAnsi"/>
                <w:sz w:val="16"/>
                <w:szCs w:val="16"/>
              </w:rPr>
            </w:pPr>
            <w:r>
              <w:rPr>
                <w:rFonts w:cstheme="minorHAnsi"/>
                <w:sz w:val="16"/>
                <w:szCs w:val="16"/>
              </w:rPr>
              <w:t>Vessel monitoring systems, Automatic Identification System</w:t>
            </w:r>
            <w:r w:rsidRPr="00A378BB">
              <w:rPr>
                <w:rFonts w:cstheme="minorHAnsi"/>
                <w:sz w:val="16"/>
                <w:szCs w:val="16"/>
              </w:rPr>
              <w:t xml:space="preserve">, </w:t>
            </w:r>
            <w:r>
              <w:rPr>
                <w:rFonts w:cstheme="minorHAnsi"/>
                <w:sz w:val="16"/>
                <w:szCs w:val="16"/>
              </w:rPr>
              <w:t>d</w:t>
            </w:r>
            <w:r w:rsidRPr="00A378BB">
              <w:rPr>
                <w:rFonts w:cstheme="minorHAnsi"/>
                <w:sz w:val="16"/>
                <w:szCs w:val="16"/>
              </w:rPr>
              <w:t>rones, control vessels</w:t>
            </w:r>
            <w:r>
              <w:rPr>
                <w:rFonts w:cstheme="minorHAnsi"/>
                <w:sz w:val="16"/>
                <w:szCs w:val="16"/>
              </w:rPr>
              <w:t>, cameras on-board to monitor catches,</w:t>
            </w:r>
            <w:r w:rsidRPr="00A378BB">
              <w:rPr>
                <w:rFonts w:cstheme="minorHAnsi"/>
                <w:sz w:val="16"/>
                <w:szCs w:val="16"/>
              </w:rPr>
              <w:t xml:space="preserve"> etc. </w:t>
            </w:r>
            <w:r>
              <w:rPr>
                <w:rFonts w:cstheme="minorHAnsi"/>
                <w:sz w:val="16"/>
                <w:szCs w:val="16"/>
              </w:rPr>
              <w:fldChar w:fldCharType="begin"/>
            </w:r>
            <w:r>
              <w:rPr>
                <w:rFonts w:cstheme="minorHAnsi"/>
                <w:sz w:val="16"/>
                <w:szCs w:val="16"/>
              </w:rPr>
              <w:instrText xml:space="preserve"> ADDIN ZOTERO_ITEM CSL_CITATION {"citationID":"asl5vDza","properties":{"formattedCitation":"[6]","plainCitation":"[6]","noteIndex":0},"citationItems":[{"id":451,"uris":["http://zotero.org/groups/2596527/items/L93KLNDI"],"uri":["http://zotero.org/groups/2596527/items/L93KLNDI"],"itemData":{"id":451,"type":"chapter","abstract":"Fisheries regulations aim to maintain fishing mortality and fishing impacts within sustainable limits. Although sustainability is in the long-term interest of fishers, the regulations themselves are usually not in the short-term interest of the individual fisher because they restrict the fisher’s economic activity. Therefore, as is the case with all regulations, the temptation exists for non-compliance and dishonest reporting. In the EU and elsewhere, top-down, complex regulations, often leading to unintended consequences, with complex and non-transparent governance-science interactions, may decrease the credibility and legitimacy of fisheries management among fishers. This, in turn, may decrease the motivation to comply and report honestly. The Landing Obligation may make things worse because following the regulation to the letter would often strongly and negatively impact the individual fishers’ economic situation. Behavioural science suggests factors that may influence compliance and honesty. Compliance is not necessarily a function of the economic benefits and costs of rule violation: compliance may be more or less, depending on intrinsic motivations. An increased level of self-decision may lead to greater buy-in to sustainable fishing practices and voluntary compliance to catch limits and the Landing Obligation. All else being equal, people in small and self-selected groups are inherently more likely to behave “prosocially”. In this chapter, some key recommendations based on behavioural science are given for changes in institutional settings that may increase voluntary compliance and sustainable fishing practices. However, transition to a system allowing for more freedom from top-down regulation, with more self-governance, may be difficult due to institutional and cultural barriers and therefore may take many years.","container-title":"The European Landing Obligation: Reducing Discards in Complex, Multi-Species and Multi-Jurisdictional Fisheries","event-place":"Cham","ISBN":"978-3-030-03308-8","language":"en","note":"DOI: 10.1007/978-3-030-03308-8_11","page":"219-236","publisher":"Springer International Publishing","publisher-place":"Cham","source":"Springer Link","title":"Creating a Breeding Ground for Compliance and Honest Reporting Under the Landing Obligation: Insights from Behavioural Science","title-short":"Creating a Breeding Ground for Compliance and Honest Reporting Under the Landing Obligation","URL":"https://doi.org/10.1007/978-3-030-03308-8_11","author":[{"family":"Kraak","given":"Sarah B. M."},{"family":"Hart","given":"Paul J. B."}],"editor":[{"family":"Uhlmann","given":"Sven Sebastian"},{"family":"Ulrich","given":"Clara"},{"family":"Kennelly","given":"Steven J."}],"accessed":{"date-parts":[["2021",3,3]]},"issued":{"date-parts":[["2019"]]}}}],"schema":"https://github.com/citation-style-language/schema/raw/master/csl-citation.json"} </w:instrText>
            </w:r>
            <w:r>
              <w:rPr>
                <w:rFonts w:cstheme="minorHAnsi"/>
                <w:sz w:val="16"/>
                <w:szCs w:val="16"/>
              </w:rPr>
              <w:fldChar w:fldCharType="separate"/>
            </w:r>
            <w:r w:rsidRPr="007476C3">
              <w:rPr>
                <w:rFonts w:ascii="Calibri" w:hAnsi="Calibri" w:cs="Calibri"/>
                <w:sz w:val="16"/>
              </w:rPr>
              <w:t>[6]</w:t>
            </w:r>
            <w:r>
              <w:rPr>
                <w:rFonts w:cstheme="minorHAnsi"/>
                <w:sz w:val="16"/>
                <w:szCs w:val="16"/>
              </w:rPr>
              <w:fldChar w:fldCharType="end"/>
            </w:r>
            <w:r>
              <w:rPr>
                <w:rFonts w:cstheme="minorHAnsi"/>
                <w:sz w:val="16"/>
                <w:szCs w:val="16"/>
              </w:rPr>
              <w:t>.</w:t>
            </w:r>
          </w:p>
        </w:tc>
      </w:tr>
      <w:tr w:rsidR="007C1761" w:rsidRPr="00A378BB" w14:paraId="0001F5CD" w14:textId="77777777" w:rsidTr="2BD12D09">
        <w:tc>
          <w:tcPr>
            <w:tcW w:w="2547" w:type="dxa"/>
            <w:vMerge/>
            <w:tcBorders>
              <w:left w:val="single" w:sz="4" w:space="0" w:color="auto"/>
              <w:right w:val="single" w:sz="4" w:space="0" w:color="auto"/>
            </w:tcBorders>
            <w:shd w:val="clear" w:color="auto" w:fill="DEEAF6" w:themeFill="accent1" w:themeFillTint="33"/>
          </w:tcPr>
          <w:p w14:paraId="48D3241A" w14:textId="77777777" w:rsidR="007C1761" w:rsidRPr="4F8D9287" w:rsidRDefault="007C1761" w:rsidP="00567BBA">
            <w:pPr>
              <w:rPr>
                <w:rStyle w:val="CommentReference"/>
                <w:b/>
                <w:bCs/>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1CC233" w14:textId="77777777" w:rsidR="007C1761" w:rsidRPr="00A378BB" w:rsidRDefault="007C1761" w:rsidP="00567BBA">
            <w:pPr>
              <w:rPr>
                <w:b/>
                <w:bCs/>
                <w:sz w:val="16"/>
                <w:szCs w:val="16"/>
              </w:rPr>
            </w:pPr>
            <w:r w:rsidRPr="4F8D9287">
              <w:rPr>
                <w:rStyle w:val="CommentReference"/>
                <w:b/>
                <w:bCs/>
              </w:rPr>
              <w:t>Status-quo bias</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5306AD" w14:textId="225C195B" w:rsidR="007C1761" w:rsidRPr="007C1761" w:rsidRDefault="007C1761" w:rsidP="00567BBA">
            <w:pPr>
              <w:rPr>
                <w:sz w:val="16"/>
                <w:szCs w:val="16"/>
              </w:rPr>
            </w:pPr>
            <w:r>
              <w:rPr>
                <w:sz w:val="16"/>
                <w:szCs w:val="16"/>
              </w:rPr>
              <w:t>The tendency to</w:t>
            </w:r>
            <w:r w:rsidRPr="590D11F9">
              <w:rPr>
                <w:sz w:val="16"/>
                <w:szCs w:val="16"/>
              </w:rPr>
              <w:t xml:space="preserve"> prefer things to stay the same by doing nothing or by sticking with a decision made previously (Samuelson, &amp; </w:t>
            </w:r>
            <w:proofErr w:type="spellStart"/>
            <w:r w:rsidRPr="590D11F9">
              <w:rPr>
                <w:sz w:val="16"/>
                <w:szCs w:val="16"/>
              </w:rPr>
              <w:t>Zeckhauser</w:t>
            </w:r>
            <w:proofErr w:type="spellEnd"/>
            <w:r w:rsidRPr="590D11F9">
              <w:rPr>
                <w:sz w:val="16"/>
                <w:szCs w:val="16"/>
              </w:rPr>
              <w:t>, 1988). This may happen even when only small transition costs are involved and the importance of the decision is great</w:t>
            </w:r>
            <w:r>
              <w:rPr>
                <w:sz w:val="16"/>
                <w:szCs w:val="16"/>
              </w:rPr>
              <w:t xml:space="preserve"> </w:t>
            </w:r>
            <w:r>
              <w:rPr>
                <w:sz w:val="16"/>
                <w:szCs w:val="16"/>
              </w:rPr>
              <w:fldChar w:fldCharType="begin"/>
            </w:r>
            <w:r w:rsidR="00E24BC5">
              <w:rPr>
                <w:sz w:val="16"/>
                <w:szCs w:val="16"/>
              </w:rPr>
              <w:instrText xml:space="preserve"> ADDIN ZOTERO_ITEM CSL_CITATION {"citationID":"dtrH2aOa","properties":{"formattedCitation":"[12]","plainCitation":"[12]","noteIndex":0},"citationItems":[{"id":608,"uris":["http://zotero.org/groups/2596527/items/5VV49CGI"],"uri":["http://zotero.org/groups/2596527/items/5VV49CGI"],"itemData":{"id":608,"type":"article","title":"www.behavioraleconomics.com"}}],"schema":"https://github.com/citation-style-language/schema/raw/master/csl-citation.json"} </w:instrText>
            </w:r>
            <w:r>
              <w:rPr>
                <w:sz w:val="16"/>
                <w:szCs w:val="16"/>
              </w:rPr>
              <w:fldChar w:fldCharType="separate"/>
            </w:r>
            <w:r w:rsidR="00E24BC5" w:rsidRPr="00E24BC5">
              <w:rPr>
                <w:rFonts w:ascii="Calibri" w:hAnsi="Calibri" w:cs="Calibri"/>
                <w:sz w:val="16"/>
              </w:rPr>
              <w:t>[12]</w:t>
            </w:r>
            <w:r>
              <w:rPr>
                <w:sz w:val="16"/>
                <w:szCs w:val="16"/>
              </w:rPr>
              <w:fldChar w:fldCharType="end"/>
            </w:r>
            <w:r w:rsidRPr="590D11F9">
              <w:rPr>
                <w:sz w:val="16"/>
                <w:szCs w:val="16"/>
              </w:rPr>
              <w:t>.</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34071E" w14:textId="25AA3EE3" w:rsidR="007C1761" w:rsidRPr="00A378BB" w:rsidRDefault="7A6701F1" w:rsidP="004C5F3D">
            <w:pPr>
              <w:rPr>
                <w:sz w:val="16"/>
                <w:szCs w:val="16"/>
                <w:highlight w:val="lightGray"/>
              </w:rPr>
            </w:pPr>
            <w:r w:rsidRPr="2BD12D09">
              <w:rPr>
                <w:sz w:val="16"/>
                <w:szCs w:val="16"/>
              </w:rPr>
              <w:t>A group of</w:t>
            </w:r>
            <w:r w:rsidR="007C1761" w:rsidRPr="2BD12D09">
              <w:rPr>
                <w:sz w:val="16"/>
                <w:szCs w:val="16"/>
              </w:rPr>
              <w:t xml:space="preserve"> </w:t>
            </w:r>
            <w:r w:rsidR="3B4AF8D8" w:rsidRPr="2BD12D09">
              <w:rPr>
                <w:sz w:val="16"/>
                <w:szCs w:val="16"/>
              </w:rPr>
              <w:t>shrimp</w:t>
            </w:r>
            <w:r w:rsidR="007C1761" w:rsidRPr="2BD12D09">
              <w:rPr>
                <w:sz w:val="16"/>
                <w:szCs w:val="16"/>
              </w:rPr>
              <w:t xml:space="preserve"> fishers </w:t>
            </w:r>
            <w:r w:rsidR="3C31EA2F" w:rsidRPr="2BD12D09">
              <w:rPr>
                <w:sz w:val="16"/>
                <w:szCs w:val="16"/>
              </w:rPr>
              <w:t xml:space="preserve">are </w:t>
            </w:r>
            <w:r w:rsidR="5CF40080" w:rsidRPr="2BD12D09">
              <w:rPr>
                <w:sz w:val="16"/>
                <w:szCs w:val="16"/>
              </w:rPr>
              <w:t xml:space="preserve">offered </w:t>
            </w:r>
            <w:r w:rsidR="007C1761" w:rsidRPr="2BD12D09">
              <w:rPr>
                <w:sz w:val="16"/>
                <w:szCs w:val="16"/>
              </w:rPr>
              <w:t xml:space="preserve">an alternative way of commercialisation that would be more </w:t>
            </w:r>
            <w:r w:rsidR="683BA309" w:rsidRPr="2BD12D09">
              <w:rPr>
                <w:sz w:val="16"/>
                <w:szCs w:val="16"/>
              </w:rPr>
              <w:t xml:space="preserve">profitable and more </w:t>
            </w:r>
            <w:r w:rsidR="007C1761" w:rsidRPr="2BD12D09">
              <w:rPr>
                <w:sz w:val="16"/>
                <w:szCs w:val="16"/>
              </w:rPr>
              <w:t xml:space="preserve">resilient </w:t>
            </w:r>
            <w:r w:rsidR="73168758" w:rsidRPr="2BD12D09">
              <w:rPr>
                <w:sz w:val="16"/>
                <w:szCs w:val="16"/>
              </w:rPr>
              <w:t>to ecological shocks</w:t>
            </w:r>
            <w:r w:rsidR="007C1761" w:rsidRPr="2BD12D09">
              <w:rPr>
                <w:sz w:val="16"/>
                <w:szCs w:val="16"/>
              </w:rPr>
              <w:t>, but they nevertheless prefer the status quo</w:t>
            </w:r>
            <w:r w:rsidR="3B4AF8D8" w:rsidRPr="2BD12D09">
              <w:rPr>
                <w:rStyle w:val="CommentReference"/>
                <w:rFonts w:ascii="Verdana" w:hAnsi="Verdana"/>
                <w:lang w:val="en-US"/>
              </w:rPr>
              <w:t xml:space="preserve">. </w:t>
            </w:r>
            <w:r w:rsidR="3B4AF8D8" w:rsidRPr="2BD12D09">
              <w:rPr>
                <w:rStyle w:val="CommentReference"/>
                <w:rFonts w:ascii="Verdana" w:hAnsi="Verdana"/>
                <w:vertAlign w:val="superscript"/>
                <w:lang w:val="en-US"/>
              </w:rPr>
              <w:t>*</w:t>
            </w:r>
          </w:p>
        </w:tc>
      </w:tr>
      <w:tr w:rsidR="007C1761" w:rsidRPr="00A378BB" w14:paraId="62F81946" w14:textId="77777777" w:rsidTr="2BD12D09">
        <w:tc>
          <w:tcPr>
            <w:tcW w:w="2547" w:type="dxa"/>
            <w:vMerge/>
            <w:tcBorders>
              <w:left w:val="single" w:sz="4" w:space="0" w:color="auto"/>
              <w:right w:val="single" w:sz="4" w:space="0" w:color="auto"/>
            </w:tcBorders>
            <w:shd w:val="clear" w:color="auto" w:fill="DEEAF6" w:themeFill="accent1" w:themeFillTint="33"/>
          </w:tcPr>
          <w:p w14:paraId="663F5C2A" w14:textId="77777777" w:rsidR="007C1761" w:rsidRPr="2CF8F96B"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BF94EC" w14:textId="77777777" w:rsidR="007C1761" w:rsidRPr="00A378BB" w:rsidRDefault="007C1761" w:rsidP="00567BBA">
            <w:pPr>
              <w:rPr>
                <w:b/>
                <w:bCs/>
                <w:sz w:val="16"/>
                <w:szCs w:val="16"/>
              </w:rPr>
            </w:pPr>
            <w:r w:rsidRPr="2CF8F96B">
              <w:rPr>
                <w:b/>
                <w:bCs/>
                <w:sz w:val="16"/>
                <w:szCs w:val="16"/>
              </w:rPr>
              <w:t xml:space="preserve">Decoy effect </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C0E504" w14:textId="77777777" w:rsidR="007C1761" w:rsidRPr="00A378BB" w:rsidRDefault="007C1761" w:rsidP="00567BBA">
            <w:pPr>
              <w:rPr>
                <w:rFonts w:cstheme="minorHAnsi"/>
                <w:bCs/>
                <w:sz w:val="16"/>
                <w:szCs w:val="16"/>
              </w:rPr>
            </w:pPr>
            <w:r>
              <w:rPr>
                <w:rFonts w:cstheme="minorHAnsi"/>
                <w:bCs/>
                <w:sz w:val="16"/>
                <w:szCs w:val="16"/>
              </w:rPr>
              <w:t xml:space="preserve">The tendency to accept paying a higher price when </w:t>
            </w:r>
            <w:r w:rsidRPr="00A378BB">
              <w:rPr>
                <w:rFonts w:cstheme="minorHAnsi"/>
                <w:bCs/>
                <w:sz w:val="16"/>
                <w:szCs w:val="16"/>
              </w:rPr>
              <w:t xml:space="preserve">a </w:t>
            </w:r>
            <w:r>
              <w:rPr>
                <w:rFonts w:cstheme="minorHAnsi"/>
                <w:bCs/>
                <w:sz w:val="16"/>
                <w:szCs w:val="16"/>
              </w:rPr>
              <w:t>‘</w:t>
            </w:r>
            <w:r w:rsidRPr="00A378BB">
              <w:rPr>
                <w:rFonts w:cstheme="minorHAnsi"/>
                <w:bCs/>
                <w:sz w:val="16"/>
                <w:szCs w:val="16"/>
              </w:rPr>
              <w:t>bad choice</w:t>
            </w:r>
            <w:r>
              <w:rPr>
                <w:rFonts w:cstheme="minorHAnsi"/>
                <w:bCs/>
                <w:sz w:val="16"/>
                <w:szCs w:val="16"/>
              </w:rPr>
              <w:t>’</w:t>
            </w:r>
            <w:r w:rsidRPr="00A378BB">
              <w:rPr>
                <w:rFonts w:cstheme="minorHAnsi"/>
                <w:bCs/>
                <w:sz w:val="16"/>
                <w:szCs w:val="16"/>
              </w:rPr>
              <w:t xml:space="preserve"> </w:t>
            </w:r>
            <w:r>
              <w:rPr>
                <w:rFonts w:cstheme="minorHAnsi"/>
                <w:bCs/>
                <w:sz w:val="16"/>
                <w:szCs w:val="16"/>
              </w:rPr>
              <w:t xml:space="preserve">is offered </w:t>
            </w:r>
            <w:r w:rsidRPr="00A378BB">
              <w:rPr>
                <w:rFonts w:cstheme="minorHAnsi"/>
                <w:bCs/>
                <w:sz w:val="16"/>
                <w:szCs w:val="16"/>
              </w:rPr>
              <w:t>in the list of options</w:t>
            </w:r>
            <w:r>
              <w:rPr>
                <w:rFonts w:cstheme="minorHAnsi"/>
                <w:bCs/>
                <w:sz w:val="16"/>
                <w:szCs w:val="16"/>
              </w:rPr>
              <w:t>, making the others looks more attractive or reasonable.</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CF01" w14:textId="7B44B731" w:rsidR="007C1761" w:rsidRPr="00A378BB" w:rsidRDefault="007C1761" w:rsidP="00567BBA">
            <w:pPr>
              <w:rPr>
                <w:rFonts w:cstheme="minorHAnsi"/>
                <w:sz w:val="16"/>
                <w:szCs w:val="16"/>
              </w:rPr>
            </w:pPr>
            <w:r>
              <w:rPr>
                <w:rFonts w:cstheme="minorHAnsi"/>
                <w:sz w:val="16"/>
                <w:szCs w:val="16"/>
              </w:rPr>
              <w:t>The Economist offered subscriptions with the options</w:t>
            </w:r>
            <w:r w:rsidRPr="00A378BB">
              <w:rPr>
                <w:rFonts w:cstheme="minorHAnsi"/>
                <w:sz w:val="16"/>
                <w:szCs w:val="16"/>
              </w:rPr>
              <w:t xml:space="preserve"> a) ‘print &amp; web’ for $125 and b) ‘web only’ for $59. Most people chose web only. </w:t>
            </w:r>
            <w:r>
              <w:rPr>
                <w:rFonts w:cstheme="minorHAnsi"/>
                <w:sz w:val="16"/>
                <w:szCs w:val="16"/>
              </w:rPr>
              <w:t>When t</w:t>
            </w:r>
            <w:r w:rsidRPr="00A378BB">
              <w:rPr>
                <w:rFonts w:cstheme="minorHAnsi"/>
                <w:sz w:val="16"/>
                <w:szCs w:val="16"/>
              </w:rPr>
              <w:t>hey introduced a third option</w:t>
            </w:r>
            <w:r>
              <w:rPr>
                <w:rFonts w:cstheme="minorHAnsi"/>
                <w:sz w:val="16"/>
                <w:szCs w:val="16"/>
              </w:rPr>
              <w:t xml:space="preserve"> (a decoy)</w:t>
            </w:r>
            <w:r w:rsidRPr="00A378BB">
              <w:rPr>
                <w:rFonts w:cstheme="minorHAnsi"/>
                <w:sz w:val="16"/>
                <w:szCs w:val="16"/>
              </w:rPr>
              <w:t xml:space="preserve"> c) ‘print only’ for $125 most people chose </w:t>
            </w:r>
            <w:r>
              <w:rPr>
                <w:rFonts w:cstheme="minorHAnsi"/>
                <w:sz w:val="16"/>
                <w:szCs w:val="16"/>
              </w:rPr>
              <w:t xml:space="preserve">a) </w:t>
            </w:r>
            <w:r w:rsidRPr="00A378BB">
              <w:rPr>
                <w:rFonts w:cstheme="minorHAnsi"/>
                <w:sz w:val="16"/>
                <w:szCs w:val="16"/>
              </w:rPr>
              <w:t>print &amp; web ($125) because it seem</w:t>
            </w:r>
            <w:r>
              <w:rPr>
                <w:rFonts w:cstheme="minorHAnsi"/>
                <w:sz w:val="16"/>
                <w:szCs w:val="16"/>
              </w:rPr>
              <w:t>ed</w:t>
            </w:r>
            <w:r w:rsidRPr="00A378BB">
              <w:rPr>
                <w:rFonts w:cstheme="minorHAnsi"/>
                <w:sz w:val="16"/>
                <w:szCs w:val="16"/>
              </w:rPr>
              <w:t xml:space="preserve"> like the better deal compared to print only for the same price. The introduction of the unattractive ‘decoy’ option of print</w:t>
            </w:r>
            <w:r>
              <w:rPr>
                <w:rFonts w:cstheme="minorHAnsi"/>
                <w:sz w:val="16"/>
                <w:szCs w:val="16"/>
              </w:rPr>
              <w:t>-</w:t>
            </w:r>
            <w:r w:rsidRPr="00A378BB">
              <w:rPr>
                <w:rFonts w:cstheme="minorHAnsi"/>
                <w:sz w:val="16"/>
                <w:szCs w:val="16"/>
              </w:rPr>
              <w:t>only prompted more people to take the more expensive option</w:t>
            </w:r>
            <w:r>
              <w:rPr>
                <w:rFonts w:cstheme="minorHAnsi"/>
                <w:sz w:val="16"/>
                <w:szCs w:val="16"/>
              </w:rPr>
              <w:t xml:space="preserve"> </w:t>
            </w:r>
            <w:r>
              <w:rPr>
                <w:rFonts w:cstheme="minorHAnsi"/>
                <w:sz w:val="16"/>
                <w:szCs w:val="16"/>
              </w:rPr>
              <w:fldChar w:fldCharType="begin"/>
            </w:r>
            <w:r w:rsidR="00E24BC5">
              <w:rPr>
                <w:rFonts w:cstheme="minorHAnsi"/>
                <w:sz w:val="16"/>
                <w:szCs w:val="16"/>
              </w:rPr>
              <w:instrText xml:space="preserve"> ADDIN ZOTERO_ITEM CSL_CITATION {"citationID":"g8DBoVph","properties":{"formattedCitation":"[13]","plainCitation":"[13]","noteIndex":0},"citationItems":[{"id":581,"uris":["http://zotero.org/groups/2596527/items/QXMDWCRM"],"uri":["http://zotero.org/groups/2596527/items/QXMDWCRM"],"itemData":{"id":581,"type":"webpage","abstract":"The Predictably Irrational audiobook written by Dan Ariely. Narrated by Simon Jones. Get instant access to all your favourite books. No monthly commitment. Listen online or offline with Android, iOS, web, Chromecast and Google Assistant. Try Google Play Audiobooks today!","language":"en","title":"The Predictably Irrational by Dan Ariely – Audiobooks on Google Play","URL":"https://play.google.com/store/audiobooks/details/The_Predictably_Irrational?id=AQAAAAAUxnvGfM&amp;hl=en_GB&amp;gl=IE","accessed":{"date-parts":[["2021",3,11]]}}}],"schema":"https://github.com/citation-style-language/schema/raw/master/csl-citation.json"} </w:instrText>
            </w:r>
            <w:r>
              <w:rPr>
                <w:rFonts w:cstheme="minorHAnsi"/>
                <w:sz w:val="16"/>
                <w:szCs w:val="16"/>
              </w:rPr>
              <w:fldChar w:fldCharType="separate"/>
            </w:r>
            <w:r w:rsidR="00E24BC5" w:rsidRPr="00E24BC5">
              <w:rPr>
                <w:rFonts w:ascii="Calibri" w:hAnsi="Calibri" w:cs="Calibri"/>
                <w:sz w:val="16"/>
              </w:rPr>
              <w:t>[13]</w:t>
            </w:r>
            <w:r>
              <w:rPr>
                <w:rFonts w:cstheme="minorHAnsi"/>
                <w:sz w:val="16"/>
                <w:szCs w:val="16"/>
              </w:rPr>
              <w:fldChar w:fldCharType="end"/>
            </w:r>
            <w:r>
              <w:rPr>
                <w:rFonts w:cstheme="minorHAnsi"/>
                <w:sz w:val="16"/>
                <w:szCs w:val="16"/>
              </w:rPr>
              <w:t>.</w:t>
            </w:r>
          </w:p>
        </w:tc>
      </w:tr>
      <w:tr w:rsidR="007C1761" w14:paraId="69E4DE42" w14:textId="77777777" w:rsidTr="2BD12D09">
        <w:tc>
          <w:tcPr>
            <w:tcW w:w="2547" w:type="dxa"/>
            <w:vMerge/>
            <w:tcBorders>
              <w:left w:val="single" w:sz="4" w:space="0" w:color="auto"/>
              <w:right w:val="single" w:sz="4" w:space="0" w:color="auto"/>
            </w:tcBorders>
            <w:shd w:val="clear" w:color="auto" w:fill="DEEAF6" w:themeFill="accent1" w:themeFillTint="33"/>
          </w:tcPr>
          <w:p w14:paraId="62EE904F" w14:textId="77777777" w:rsidR="007C1761" w:rsidRPr="590D11F9" w:rsidRDefault="007C1761" w:rsidP="00567BBA">
            <w:pPr>
              <w:rPr>
                <w:rStyle w:val="CommentReference"/>
                <w:b/>
                <w:bCs/>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230688" w14:textId="77777777" w:rsidR="007C1761" w:rsidRDefault="007C1761" w:rsidP="00567BBA">
            <w:pPr>
              <w:rPr>
                <w:rStyle w:val="CommentReference"/>
                <w:b/>
                <w:bCs/>
              </w:rPr>
            </w:pPr>
            <w:r w:rsidRPr="590D11F9">
              <w:rPr>
                <w:rStyle w:val="CommentReference"/>
                <w:b/>
                <w:bCs/>
              </w:rPr>
              <w:t>Availability heuristic</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E7575" w14:textId="77777777" w:rsidR="007C1761" w:rsidRDefault="007C1761" w:rsidP="00567BBA">
            <w:pPr>
              <w:rPr>
                <w:sz w:val="16"/>
                <w:szCs w:val="16"/>
              </w:rPr>
            </w:pPr>
            <w:r>
              <w:rPr>
                <w:sz w:val="16"/>
                <w:szCs w:val="16"/>
              </w:rPr>
              <w:t>The tendency to o</w:t>
            </w:r>
            <w:r w:rsidRPr="590D11F9">
              <w:rPr>
                <w:sz w:val="16"/>
                <w:szCs w:val="16"/>
              </w:rPr>
              <w:t>verestimat</w:t>
            </w:r>
            <w:r>
              <w:rPr>
                <w:sz w:val="16"/>
                <w:szCs w:val="16"/>
              </w:rPr>
              <w:t>e</w:t>
            </w:r>
            <w:r w:rsidRPr="590D11F9">
              <w:rPr>
                <w:sz w:val="16"/>
                <w:szCs w:val="16"/>
              </w:rPr>
              <w:t xml:space="preserve"> the importance and likelihood of events given the greater availability of information.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ACF2A1" w14:textId="77777777"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The tendency for fishers </w:t>
            </w:r>
            <w:r w:rsidR="003006D4">
              <w:rPr>
                <w:rFonts w:eastAsiaTheme="minorEastAsia"/>
                <w:color w:val="000000" w:themeColor="text1"/>
                <w:sz w:val="16"/>
                <w:szCs w:val="16"/>
              </w:rPr>
              <w:t xml:space="preserve">to </w:t>
            </w:r>
            <w:r>
              <w:rPr>
                <w:rFonts w:eastAsiaTheme="minorEastAsia"/>
                <w:color w:val="000000" w:themeColor="text1"/>
                <w:sz w:val="16"/>
                <w:szCs w:val="16"/>
              </w:rPr>
              <w:t>attribute their hardship</w:t>
            </w:r>
            <w:r w:rsidR="003006D4">
              <w:rPr>
                <w:rFonts w:eastAsiaTheme="minorEastAsia"/>
                <w:color w:val="000000" w:themeColor="text1"/>
                <w:sz w:val="16"/>
                <w:szCs w:val="16"/>
              </w:rPr>
              <w:t>s</w:t>
            </w:r>
            <w:r>
              <w:rPr>
                <w:rFonts w:eastAsiaTheme="minorEastAsia"/>
                <w:color w:val="000000" w:themeColor="text1"/>
                <w:sz w:val="16"/>
                <w:szCs w:val="16"/>
              </w:rPr>
              <w:t xml:space="preserve"> to marine space allocation to windmills because opposition to windmills is a highly salient discourse in their networks compared to, for example, declining catches caused by climate change</w:t>
            </w:r>
            <w:r w:rsidR="003006D4">
              <w:rPr>
                <w:rFonts w:eastAsiaTheme="minorEastAsia"/>
                <w:color w:val="000000" w:themeColor="text1"/>
                <w:sz w:val="16"/>
                <w:szCs w:val="16"/>
              </w:rPr>
              <w:t>-driven</w:t>
            </w:r>
            <w:r>
              <w:rPr>
                <w:rFonts w:eastAsiaTheme="minorEastAsia"/>
                <w:color w:val="000000" w:themeColor="text1"/>
                <w:sz w:val="16"/>
                <w:szCs w:val="16"/>
              </w:rPr>
              <w:t xml:space="preserve"> species shifts. * </w:t>
            </w:r>
          </w:p>
        </w:tc>
      </w:tr>
      <w:tr w:rsidR="007C1761" w14:paraId="1AADDB5A" w14:textId="77777777" w:rsidTr="2BD12D09">
        <w:tc>
          <w:tcPr>
            <w:tcW w:w="2547" w:type="dxa"/>
            <w:vMerge/>
            <w:tcBorders>
              <w:left w:val="single" w:sz="4" w:space="0" w:color="auto"/>
              <w:right w:val="single" w:sz="4" w:space="0" w:color="auto"/>
            </w:tcBorders>
            <w:shd w:val="clear" w:color="auto" w:fill="DEEAF6" w:themeFill="accent1" w:themeFillTint="33"/>
          </w:tcPr>
          <w:p w14:paraId="0C2F66AB" w14:textId="77777777" w:rsidR="007C1761" w:rsidRPr="590D11F9" w:rsidRDefault="007C1761" w:rsidP="00567BBA">
            <w:pPr>
              <w:rPr>
                <w:rStyle w:val="CommentReference"/>
                <w:b/>
                <w:bCs/>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8255B0" w14:textId="77777777" w:rsidR="007C1761" w:rsidRDefault="007C1761" w:rsidP="00567BBA">
            <w:pPr>
              <w:rPr>
                <w:rStyle w:val="CommentReference"/>
                <w:b/>
                <w:bCs/>
              </w:rPr>
            </w:pPr>
            <w:r w:rsidRPr="590D11F9">
              <w:rPr>
                <w:rStyle w:val="CommentReference"/>
                <w:b/>
                <w:bCs/>
              </w:rPr>
              <w:t>Belief bias</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1DF0D1" w14:textId="77777777" w:rsidR="007C1761" w:rsidRDefault="007C1761" w:rsidP="00567BBA">
            <w:pPr>
              <w:rPr>
                <w:sz w:val="16"/>
                <w:szCs w:val="16"/>
              </w:rPr>
            </w:pPr>
            <w:r>
              <w:rPr>
                <w:sz w:val="16"/>
                <w:szCs w:val="16"/>
              </w:rPr>
              <w:t>The tendency to base</w:t>
            </w:r>
            <w:r w:rsidRPr="590D11F9">
              <w:rPr>
                <w:sz w:val="16"/>
                <w:szCs w:val="16"/>
              </w:rPr>
              <w:t xml:space="preserve"> the strength of an argument on the believability or plausibility of </w:t>
            </w:r>
            <w:r>
              <w:rPr>
                <w:sz w:val="16"/>
                <w:szCs w:val="16"/>
              </w:rPr>
              <w:t>its conclusion.</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AC5E64" w14:textId="77777777"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Beam trawl fishers may rely on an analogy between fishing and farming to argue that bottom trawling is good for the seabed because it ‘ploughs’ the bottom and encourages new growth. </w:t>
            </w:r>
          </w:p>
        </w:tc>
      </w:tr>
      <w:tr w:rsidR="007C1761" w14:paraId="548CB4AA" w14:textId="77777777" w:rsidTr="2BD12D09">
        <w:tc>
          <w:tcPr>
            <w:tcW w:w="2547" w:type="dxa"/>
            <w:vMerge/>
            <w:tcBorders>
              <w:left w:val="single" w:sz="4" w:space="0" w:color="auto"/>
              <w:right w:val="single" w:sz="4" w:space="0" w:color="auto"/>
            </w:tcBorders>
            <w:shd w:val="clear" w:color="auto" w:fill="DEEAF6" w:themeFill="accent1" w:themeFillTint="33"/>
          </w:tcPr>
          <w:p w14:paraId="1AC4C7F1" w14:textId="77777777" w:rsidR="007C1761" w:rsidRPr="590D11F9" w:rsidRDefault="007C1761" w:rsidP="00567BBA">
            <w:pPr>
              <w:rPr>
                <w:rStyle w:val="CommentReference"/>
                <w:b/>
                <w:bCs/>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371D87" w14:textId="77777777" w:rsidR="007C1761" w:rsidRDefault="007C1761" w:rsidP="00567BBA">
            <w:pPr>
              <w:rPr>
                <w:rStyle w:val="CommentReference"/>
                <w:b/>
                <w:bCs/>
              </w:rPr>
            </w:pPr>
            <w:r w:rsidRPr="590D11F9">
              <w:rPr>
                <w:rStyle w:val="CommentReference"/>
                <w:b/>
                <w:bCs/>
              </w:rPr>
              <w:t>Confirmation bias</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7487A0" w14:textId="2369A8CD" w:rsidR="007C1761" w:rsidRDefault="007C1761">
            <w:pPr>
              <w:rPr>
                <w:sz w:val="16"/>
                <w:szCs w:val="16"/>
              </w:rPr>
            </w:pPr>
            <w:r>
              <w:rPr>
                <w:sz w:val="16"/>
                <w:szCs w:val="16"/>
              </w:rPr>
              <w:t>The tendency to focus</w:t>
            </w:r>
            <w:r w:rsidRPr="590D11F9">
              <w:rPr>
                <w:sz w:val="16"/>
                <w:szCs w:val="16"/>
              </w:rPr>
              <w:t xml:space="preserve"> </w:t>
            </w:r>
            <w:r w:rsidR="003006D4" w:rsidRPr="590D11F9">
              <w:rPr>
                <w:sz w:val="16"/>
                <w:szCs w:val="16"/>
              </w:rPr>
              <w:t xml:space="preserve">only </w:t>
            </w:r>
            <w:r w:rsidRPr="590D11F9">
              <w:rPr>
                <w:sz w:val="16"/>
                <w:szCs w:val="16"/>
              </w:rPr>
              <w:t>on information that c</w:t>
            </w:r>
            <w:r>
              <w:rPr>
                <w:sz w:val="16"/>
                <w:szCs w:val="16"/>
              </w:rPr>
              <w:t>onfirms existing preconceptions.</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3FF2F" w14:textId="7909CB4E"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Young et al. </w:t>
            </w:r>
            <w:r>
              <w:rPr>
                <w:rFonts w:eastAsiaTheme="minorEastAsia"/>
                <w:color w:val="000000" w:themeColor="text1"/>
                <w:sz w:val="16"/>
                <w:szCs w:val="16"/>
              </w:rPr>
              <w:fldChar w:fldCharType="begin"/>
            </w:r>
            <w:r w:rsidR="00E24BC5">
              <w:rPr>
                <w:rFonts w:eastAsiaTheme="minorEastAsia"/>
                <w:color w:val="000000" w:themeColor="text1"/>
                <w:sz w:val="16"/>
                <w:szCs w:val="16"/>
              </w:rPr>
              <w:instrText xml:space="preserve"> ADDIN ZOTERO_ITEM CSL_CITATION {"citationID":"pSvjJb8R","properties":{"formattedCitation":"[14]","plainCitation":"[14]","noteIndex":0},"citationItems":[{"id":585,"uris":["http://zotero.org/groups/2596527/items/8M6MB96Z"],"uri":["http://zotero.org/groups/2596527/items/8M6MB96Z"],"itemData":{"id":585,"type":"article-journal","abstract":"In fisheries management—as in environmental governance more generally—regulatory arrangements that are thought to be helpful in some contexts frequently become panaceas or, in other words, simple formulaic policy prescriptions believed to solve a given problem in a wide range of contexts, regardless of their actual consequences. When this happens, management is likely to fail, and negative side effects are common. We focus on the case of individual transferable quotas to explore the panacea mindset, a set of factors that promote the spread and persistence of panaceas. These include conceptual narratives that make easy answers like panaceas seem plausible, power disconnects that create vested interests in panaceas, and heuristics and biases that prevent people from accurately assessing panaceas. Analysts have suggested many approaches to avoiding panaceas, but most fail to conquer the underlying panacea mindset. Here, we suggest the codevelopment of an institutional diagnostics toolkit to distill the vast amount of information on fisheries governance into an easily accessible, open, on-line database of checklists, case studies, and related resources. Toolkits like this could be used in many governance settings to challenge users’ understandings of a policy’s impacts and help them develop solutions better tailored to their particular context. They would not replace the more comprehensive approaches found in the literature but would rather be an intermediate step away from the problem of panaceas.","container-title":"Proceedings of the National Academy of Sciences","DOI":"10.1073/pnas.1716545115","ISSN":"0027-8424, 1091-6490","issue":"37","journalAbbreviation":"PNAS","language":"en","note":"publisher: National Academy of Sciences\nsection: Perspective\nPMID: 30139919","page":"9065-9073","source":"www.pnas.org","title":"Moving beyond panaceas in fisheries governance","volume":"115","author":[{"family":"Young","given":"Oran R."},{"family":"Webster","given":"D. G."},{"family":"Cox","given":"Michael E."},{"family":"Raakjær","given":"Jesper"},{"family":"Blaxekjær","given":"Lau Øfjord"},{"family":"Einarsson","given":"Níels"},{"family":"Virginia","given":"Ross A."},{"family":"Acheson","given":"James"},{"family":"Bromley","given":"Daniel"},{"family":"Cardwell","given":"Emma"},{"family":"Carothers","given":"Courtney"},{"family":"Eythórsson","given":"Einar"},{"family":"Howarth","given":"Richard B."},{"family":"Jentoft","given":"Svein"},{"family":"McCay","given":"Bonnie J."},{"family":"McCormack","given":"Fiona"},{"family":"Osherenko","given":"Gail"},{"family":"Pinkerton","given":"Evelyn"},{"family":"Ginkel","given":"Rob","dropping-particle":"van"},{"family":"Wilson","given":"James A."},{"family":"Rivers","given":"Louie"},{"family":"Wilson","given":"Robyn S."}],"issued":{"date-parts":[["2018",9,11]]}}}],"schema":"https://github.com/citation-style-language/schema/raw/master/csl-citation.json"} </w:instrText>
            </w:r>
            <w:r>
              <w:rPr>
                <w:rFonts w:eastAsiaTheme="minorEastAsia"/>
                <w:color w:val="000000" w:themeColor="text1"/>
                <w:sz w:val="16"/>
                <w:szCs w:val="16"/>
              </w:rPr>
              <w:fldChar w:fldCharType="separate"/>
            </w:r>
            <w:r w:rsidR="00E24BC5" w:rsidRPr="00E24BC5">
              <w:rPr>
                <w:rFonts w:ascii="Calibri" w:hAnsi="Calibri" w:cs="Calibri"/>
                <w:sz w:val="16"/>
              </w:rPr>
              <w:t>[14]</w:t>
            </w:r>
            <w:r>
              <w:rPr>
                <w:rFonts w:eastAsiaTheme="minorEastAsia"/>
                <w:color w:val="000000" w:themeColor="text1"/>
                <w:sz w:val="16"/>
                <w:szCs w:val="16"/>
              </w:rPr>
              <w:fldChar w:fldCharType="end"/>
            </w:r>
            <w:r>
              <w:rPr>
                <w:rFonts w:eastAsiaTheme="minorEastAsia"/>
                <w:color w:val="000000" w:themeColor="text1"/>
                <w:sz w:val="16"/>
                <w:szCs w:val="16"/>
              </w:rPr>
              <w:t xml:space="preserve"> identify the tendency for fisheries management science to rely on a small number of measures (e.g. ITQs) as panaceas. </w:t>
            </w:r>
          </w:p>
          <w:p w14:paraId="46E183DE" w14:textId="77777777" w:rsidR="007C1761" w:rsidRDefault="007C1761" w:rsidP="00567BBA">
            <w:pPr>
              <w:rPr>
                <w:rFonts w:eastAsiaTheme="minorEastAsia"/>
                <w:color w:val="000000" w:themeColor="text1"/>
                <w:sz w:val="16"/>
                <w:szCs w:val="16"/>
              </w:rPr>
            </w:pPr>
          </w:p>
        </w:tc>
      </w:tr>
      <w:tr w:rsidR="007C1761" w14:paraId="5D130FC1" w14:textId="77777777" w:rsidTr="2BD12D09">
        <w:tc>
          <w:tcPr>
            <w:tcW w:w="2547" w:type="dxa"/>
            <w:vMerge/>
            <w:tcBorders>
              <w:left w:val="single" w:sz="4" w:space="0" w:color="auto"/>
              <w:right w:val="single" w:sz="4" w:space="0" w:color="auto"/>
            </w:tcBorders>
            <w:shd w:val="clear" w:color="auto" w:fill="DEEAF6" w:themeFill="accent1" w:themeFillTint="33"/>
          </w:tcPr>
          <w:p w14:paraId="34FBAF81"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8C839" w14:textId="53CCB586" w:rsidR="007C1761" w:rsidRDefault="007C1761" w:rsidP="2BD12D09">
            <w:pPr>
              <w:rPr>
                <w:rFonts w:eastAsiaTheme="minorEastAsia"/>
                <w:b/>
                <w:bCs/>
                <w:sz w:val="16"/>
                <w:szCs w:val="16"/>
              </w:rPr>
            </w:pPr>
            <w:r w:rsidRPr="2BD12D09">
              <w:rPr>
                <w:rFonts w:eastAsiaTheme="minorEastAsia"/>
                <w:b/>
                <w:bCs/>
                <w:sz w:val="16"/>
                <w:szCs w:val="16"/>
              </w:rPr>
              <w:t>Gambler</w:t>
            </w:r>
            <w:r w:rsidR="3B1BA661" w:rsidRPr="2BD12D09">
              <w:rPr>
                <w:rFonts w:eastAsiaTheme="minorEastAsia"/>
                <w:b/>
                <w:bCs/>
                <w:sz w:val="16"/>
                <w:szCs w:val="16"/>
              </w:rPr>
              <w:t>’</w:t>
            </w:r>
            <w:r w:rsidRPr="2BD12D09">
              <w:rPr>
                <w:rFonts w:eastAsiaTheme="minorEastAsia"/>
                <w:b/>
                <w:bCs/>
                <w:sz w:val="16"/>
                <w:szCs w:val="16"/>
              </w:rPr>
              <w:t>s fallacy</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75FCD0" w14:textId="77777777" w:rsidR="007C1761" w:rsidRDefault="007C1761" w:rsidP="00567BBA">
            <w:pPr>
              <w:rPr>
                <w:sz w:val="16"/>
                <w:szCs w:val="16"/>
              </w:rPr>
            </w:pPr>
            <w:r>
              <w:rPr>
                <w:sz w:val="16"/>
                <w:szCs w:val="16"/>
              </w:rPr>
              <w:t>The tendency to believe</w:t>
            </w:r>
            <w:r w:rsidRPr="590D11F9">
              <w:rPr>
                <w:sz w:val="16"/>
                <w:szCs w:val="16"/>
              </w:rPr>
              <w:t xml:space="preserve"> that future probabilities are altered by past events when in fact they are unchanged. </w:t>
            </w:r>
            <w:r>
              <w:rPr>
                <w:sz w:val="16"/>
                <w:szCs w:val="16"/>
              </w:rPr>
              <w:t>These c</w:t>
            </w:r>
            <w:r w:rsidRPr="590D11F9">
              <w:rPr>
                <w:rFonts w:eastAsiaTheme="minorEastAsia"/>
                <w:color w:val="000000" w:themeColor="text1"/>
                <w:sz w:val="16"/>
                <w:szCs w:val="16"/>
              </w:rPr>
              <w:t>an be positive or negative assumptions.</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7083B1" w14:textId="77777777" w:rsidR="007C1761" w:rsidRDefault="007C1761" w:rsidP="00567BBA">
            <w:pPr>
              <w:rPr>
                <w:rFonts w:eastAsiaTheme="minorEastAsia"/>
                <w:color w:val="000000" w:themeColor="text1"/>
                <w:sz w:val="16"/>
                <w:szCs w:val="16"/>
              </w:rPr>
            </w:pPr>
            <w:r>
              <w:rPr>
                <w:rFonts w:eastAsiaTheme="minorEastAsia"/>
                <w:color w:val="000000" w:themeColor="text1"/>
                <w:sz w:val="16"/>
                <w:szCs w:val="16"/>
              </w:rPr>
              <w:t>“I’ve had three bad weeks fishing, so I’m bound to have a good catch this week</w:t>
            </w:r>
            <w:proofErr w:type="gramStart"/>
            <w:r>
              <w:rPr>
                <w:rFonts w:eastAsiaTheme="minorEastAsia"/>
                <w:color w:val="000000" w:themeColor="text1"/>
                <w:sz w:val="16"/>
                <w:szCs w:val="16"/>
              </w:rPr>
              <w:t>”.*</w:t>
            </w:r>
            <w:proofErr w:type="gramEnd"/>
          </w:p>
          <w:p w14:paraId="7478E5C1" w14:textId="77777777" w:rsidR="007C1761" w:rsidRDefault="007C1761" w:rsidP="00567BBA">
            <w:pPr>
              <w:rPr>
                <w:rFonts w:eastAsiaTheme="minorEastAsia"/>
                <w:color w:val="000000" w:themeColor="text1"/>
                <w:sz w:val="16"/>
                <w:szCs w:val="16"/>
              </w:rPr>
            </w:pPr>
          </w:p>
        </w:tc>
      </w:tr>
      <w:tr w:rsidR="007C1761" w14:paraId="6C980CAA" w14:textId="77777777" w:rsidTr="2BD12D09">
        <w:tc>
          <w:tcPr>
            <w:tcW w:w="2547" w:type="dxa"/>
            <w:vMerge/>
            <w:tcBorders>
              <w:left w:val="single" w:sz="4" w:space="0" w:color="auto"/>
              <w:right w:val="single" w:sz="4" w:space="0" w:color="auto"/>
            </w:tcBorders>
            <w:shd w:val="clear" w:color="auto" w:fill="DEEAF6" w:themeFill="accent1" w:themeFillTint="33"/>
          </w:tcPr>
          <w:p w14:paraId="3F5035A8"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274002" w14:textId="77777777" w:rsidR="007C1761" w:rsidRDefault="007C1761" w:rsidP="00567BBA">
            <w:pPr>
              <w:rPr>
                <w:rFonts w:eastAsiaTheme="minorEastAsia"/>
                <w:b/>
                <w:bCs/>
                <w:sz w:val="16"/>
                <w:szCs w:val="16"/>
              </w:rPr>
            </w:pPr>
            <w:r w:rsidRPr="590D11F9">
              <w:rPr>
                <w:rFonts w:eastAsiaTheme="minorEastAsia"/>
                <w:b/>
                <w:bCs/>
                <w:sz w:val="16"/>
                <w:szCs w:val="16"/>
              </w:rPr>
              <w:t>Illusion of validity</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F3544" w14:textId="77777777" w:rsidR="007C1761" w:rsidRDefault="007C1761" w:rsidP="00567BBA">
            <w:pPr>
              <w:rPr>
                <w:sz w:val="16"/>
                <w:szCs w:val="16"/>
              </w:rPr>
            </w:pPr>
            <w:r>
              <w:rPr>
                <w:sz w:val="16"/>
                <w:szCs w:val="16"/>
              </w:rPr>
              <w:t>The tendency to overestimate one’s</w:t>
            </w:r>
            <w:r w:rsidRPr="7DB20FEA">
              <w:rPr>
                <w:sz w:val="16"/>
                <w:szCs w:val="16"/>
              </w:rPr>
              <w:t xml:space="preserve"> ability to make accurate predictions, especially when </w:t>
            </w:r>
            <w:r w:rsidR="003006D4">
              <w:rPr>
                <w:sz w:val="16"/>
                <w:szCs w:val="16"/>
              </w:rPr>
              <w:t xml:space="preserve">the </w:t>
            </w:r>
            <w:r w:rsidRPr="7DB20FEA">
              <w:rPr>
                <w:sz w:val="16"/>
                <w:szCs w:val="16"/>
              </w:rPr>
              <w:t>data appears to tell a coherent ‘story'.</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3B2F73" w14:textId="330C434F"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Fisheries managers overestimating the certainty of their models and predictions </w:t>
            </w:r>
            <w:r>
              <w:rPr>
                <w:rFonts w:eastAsiaTheme="minorEastAsia"/>
                <w:color w:val="000000" w:themeColor="text1"/>
                <w:sz w:val="16"/>
                <w:szCs w:val="16"/>
              </w:rPr>
              <w:fldChar w:fldCharType="begin"/>
            </w:r>
            <w:r w:rsidR="00E24BC5">
              <w:rPr>
                <w:rFonts w:eastAsiaTheme="minorEastAsia"/>
                <w:color w:val="000000" w:themeColor="text1"/>
                <w:sz w:val="16"/>
                <w:szCs w:val="16"/>
              </w:rPr>
              <w:instrText xml:space="preserve"> ADDIN ZOTERO_ITEM CSL_CITATION {"citationID":"ShGn75gT","properties":{"formattedCitation":"[15,16]","plainCitation":"[15,16]","noteIndex":0},"citationItems":[{"id":593,"uris":["http://zotero.org/groups/2596527/items/8N7VLNNT"],"uri":["http://zotero.org/groups/2596527/items/8N7VLNNT"],"itemData":{"id":593,"type":"article-journal","abstract":"Dankel, D. J., Aps, R., Padda, G., Röckmann, C., van der Sluijs, J. P., Wilson, D. C., and Degnbol, P. 2012. Advice under uncertainty in the marine system. – ICES Journal of Marine Science, 69: 3–7.There is some uncertainty in the fisheries science–policy interface. Although progress has been made towards more transparency and participation in fisheries science in ICES Areas, routine use of state-of-the-art quantitative and qualitative tools to address uncertainty systematically is still lacking. Fisheries science that gives advice to policy-making is plagued by uncertainties; the stakes of the policies are high and value-laden and need therefore to be treated as an example of “post-normal science” (PNS). To achieve robust governance, understanding of the characteristics and implications of the scientific uncertainties for management strategies need to come to the centre of the table. This can be achieved using state-of-the-art tools such as pedigree matrices and uncertainty matrices, as developed by PNS scholars and used in similar science–policy arenas on other complex issues. An explicit extension of the peer community within maritime systems will be required to put these new tools in place. These new competences become even more important as many countries within the ICES Area are now embarking on new policies.","container-title":"ICES Journal of Marine Science","DOI":"10.1093/icesjms/fsr179","ISSN":"1054-3139","issue":"1","journalAbbreviation":"ICES Journal of Marine Science","page":"3-7","source":"Silverchair","title":"Advice under uncertainty in the marine system","volume":"69","author":[{"family":"Dankel","given":"Dorothy J."},{"family":"Aps","given":"Robert"},{"family":"Padda","given":"Gurpreet"},{"family":"Röckmann","given":"Christine"},{"family":"Sluijs","given":"Jeroen P.","non-dropping-particle":"van der"},{"family":"Wilson","given":"Douglas C."},{"family":"Degnbol","given":"Poul"}],"issued":{"date-parts":[["2012",1,1]]}}},{"id":590,"uris":["http://zotero.org/groups/2596527/items/HCNQ6N7G"],"uri":["http://zotero.org/groups/2596527/items/HCNQ6N7G"],"itemData":{"id":590,"type":"article-journal","abstract":"Rochet, M-J. and Rice, J. C. 2009. Simulation-based management strategy evaluation: ignorance disguised as mathematics? – ICES Journal of Marine Science, 66: 754–762. Simulation-based management strategy evaluations are increasingly developed and used for science advice in support of fisheries management, along with risk evaluation and decision analysis. These methods tackle the problem of uncertainty in fisheries systems and data by modelling uncertainty in two ways. For quantities that are difficult to measure accurately or are inherently variable, variables are replaced by probability distributions, and system dynamics are simulated by Monte Carlo simulations, drawing numbers from these distributions. For processes that are not fully understood, arrays of model formulations that might underlie the observed patterns are developed, each is assumed successively, and the results of the corresponding arrays of model results are then combined. We argue that these approaches have several paradoxical features. Stochastic modelling of uncertainty is paradoxical, because it implies knowing more than deterministic approaches: to know the distribution of a quantity requires more information than only estimating its expected value. To combine the results of Monte Carlo simulations with different model formulations may be paradoxical if outcomes of concern are unlikely under some formulations but very likely under others, whereas the reported uncertainty from combined results may produce a risk level that does not occur under any plausible assumed formulation. Moreover, risk estimates of the probability of undesirable outcomes are often statements about likelihood of events that were seldom observed and lie in the tails of the simulated distributions, where the results of Monte Carlo simulation are the least reliable. These potential paradoxes lead us to suggest that greater attention be given to alternative methods to evaluate risks or management strategies, such as qualitative methods and empirical post hoc analyses.","container-title":"ICES Journal of Marine Science","DOI":"10.1093/icesjms/fsp023","ISSN":"1054-3139","issue":"4","journalAbbreviation":"ICES Journal of Marine Science","page":"754-762","source":"Silverchair","title":"Simulation-based management strategy evaluation: ignorance disguised as mathematics?","title-short":"Simulation-based management strategy evaluation","volume":"66","author":[{"family":"Rochet","given":"Marie-Joëlle"},{"family":"Rice","given":"Jake C."}],"issued":{"date-parts":[["2009",5,1]]}}}],"schema":"https://github.com/citation-style-language/schema/raw/master/csl-citation.json"} </w:instrText>
            </w:r>
            <w:r>
              <w:rPr>
                <w:rFonts w:eastAsiaTheme="minorEastAsia"/>
                <w:color w:val="000000" w:themeColor="text1"/>
                <w:sz w:val="16"/>
                <w:szCs w:val="16"/>
              </w:rPr>
              <w:fldChar w:fldCharType="separate"/>
            </w:r>
            <w:r w:rsidR="00E24BC5" w:rsidRPr="00E24BC5">
              <w:rPr>
                <w:rFonts w:ascii="Calibri" w:hAnsi="Calibri" w:cs="Calibri"/>
                <w:sz w:val="16"/>
              </w:rPr>
              <w:t>[15,16]</w:t>
            </w:r>
            <w:r>
              <w:rPr>
                <w:rFonts w:eastAsiaTheme="minorEastAsia"/>
                <w:color w:val="000000" w:themeColor="text1"/>
                <w:sz w:val="16"/>
                <w:szCs w:val="16"/>
              </w:rPr>
              <w:fldChar w:fldCharType="end"/>
            </w:r>
            <w:r>
              <w:rPr>
                <w:rFonts w:eastAsiaTheme="minorEastAsia"/>
                <w:color w:val="000000" w:themeColor="text1"/>
                <w:sz w:val="16"/>
                <w:szCs w:val="16"/>
              </w:rPr>
              <w:t>.</w:t>
            </w:r>
          </w:p>
        </w:tc>
      </w:tr>
      <w:tr w:rsidR="007C1761" w14:paraId="63BE6B60" w14:textId="77777777" w:rsidTr="2BD12D09">
        <w:tc>
          <w:tcPr>
            <w:tcW w:w="2547" w:type="dxa"/>
            <w:vMerge/>
            <w:tcBorders>
              <w:left w:val="single" w:sz="4" w:space="0" w:color="auto"/>
              <w:right w:val="single" w:sz="4" w:space="0" w:color="auto"/>
            </w:tcBorders>
            <w:shd w:val="clear" w:color="auto" w:fill="DEEAF6" w:themeFill="accent1" w:themeFillTint="33"/>
          </w:tcPr>
          <w:p w14:paraId="202AD750"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92CDCA" w14:textId="77777777" w:rsidR="007C1761" w:rsidRDefault="007C1761" w:rsidP="00567BBA">
            <w:pPr>
              <w:rPr>
                <w:rFonts w:eastAsiaTheme="minorEastAsia"/>
                <w:b/>
                <w:bCs/>
                <w:sz w:val="16"/>
                <w:szCs w:val="16"/>
              </w:rPr>
            </w:pPr>
            <w:r w:rsidRPr="590D11F9">
              <w:rPr>
                <w:rFonts w:eastAsiaTheme="minorEastAsia"/>
                <w:b/>
                <w:bCs/>
                <w:sz w:val="16"/>
                <w:szCs w:val="16"/>
              </w:rPr>
              <w:t>Ostrich effect</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ED7AEC" w14:textId="77777777" w:rsidR="007C1761" w:rsidRDefault="007C1761" w:rsidP="00567BBA">
            <w:pPr>
              <w:rPr>
                <w:sz w:val="16"/>
                <w:szCs w:val="16"/>
              </w:rPr>
            </w:pPr>
            <w:r>
              <w:rPr>
                <w:sz w:val="16"/>
                <w:szCs w:val="16"/>
              </w:rPr>
              <w:t>The tendency to avoid</w:t>
            </w:r>
            <w:r w:rsidRPr="7DB20FEA">
              <w:rPr>
                <w:sz w:val="16"/>
                <w:szCs w:val="16"/>
              </w:rPr>
              <w:t xml:space="preserve"> negative information by pretending it doesn't exist.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91A6F1" w14:textId="0F3B5DCA" w:rsidR="007C1761" w:rsidRDefault="007C1761" w:rsidP="2BD12D09">
            <w:pPr>
              <w:rPr>
                <w:rFonts w:eastAsiaTheme="minorEastAsia"/>
                <w:color w:val="000000" w:themeColor="text1"/>
                <w:sz w:val="16"/>
                <w:szCs w:val="16"/>
              </w:rPr>
            </w:pPr>
            <w:r w:rsidRPr="2BD12D09">
              <w:rPr>
                <w:rFonts w:eastAsiaTheme="minorEastAsia"/>
                <w:color w:val="000000" w:themeColor="text1"/>
                <w:sz w:val="16"/>
                <w:szCs w:val="16"/>
              </w:rPr>
              <w:t>Wilful ignorance is a constitutive feature of policy processes [18].</w:t>
            </w:r>
          </w:p>
        </w:tc>
      </w:tr>
      <w:tr w:rsidR="007C1761" w14:paraId="6D37D2E2" w14:textId="77777777" w:rsidTr="2BD12D09">
        <w:tc>
          <w:tcPr>
            <w:tcW w:w="2547" w:type="dxa"/>
            <w:vMerge/>
            <w:tcBorders>
              <w:left w:val="single" w:sz="4" w:space="0" w:color="auto"/>
              <w:right w:val="single" w:sz="4" w:space="0" w:color="auto"/>
            </w:tcBorders>
            <w:shd w:val="clear" w:color="auto" w:fill="DEEAF6" w:themeFill="accent1" w:themeFillTint="33"/>
          </w:tcPr>
          <w:p w14:paraId="1B2A3D96"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8952B3" w14:textId="77777777" w:rsidR="007C1761" w:rsidRDefault="007C1761" w:rsidP="00567BBA">
            <w:pPr>
              <w:rPr>
                <w:rFonts w:eastAsiaTheme="minorEastAsia"/>
                <w:b/>
                <w:bCs/>
                <w:sz w:val="16"/>
                <w:szCs w:val="16"/>
              </w:rPr>
            </w:pPr>
            <w:r w:rsidRPr="590D11F9">
              <w:rPr>
                <w:rFonts w:eastAsiaTheme="minorEastAsia"/>
                <w:b/>
                <w:bCs/>
                <w:sz w:val="16"/>
                <w:szCs w:val="16"/>
              </w:rPr>
              <w:t>Post-purchase rationalization</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366123" w14:textId="77777777" w:rsidR="007C1761" w:rsidRDefault="007C1761" w:rsidP="00567BBA">
            <w:pPr>
              <w:rPr>
                <w:sz w:val="16"/>
                <w:szCs w:val="16"/>
              </w:rPr>
            </w:pPr>
            <w:r>
              <w:rPr>
                <w:sz w:val="16"/>
                <w:szCs w:val="16"/>
              </w:rPr>
              <w:t>The t</w:t>
            </w:r>
            <w:r w:rsidRPr="590D11F9">
              <w:rPr>
                <w:sz w:val="16"/>
                <w:szCs w:val="16"/>
              </w:rPr>
              <w:t xml:space="preserve">endency to retrospectively ascribe positive attributes to an option one has selected.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3959D4" w14:textId="7B09E16A"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Retroactively justifying </w:t>
            </w:r>
            <w:r w:rsidRPr="590D11F9">
              <w:rPr>
                <w:rFonts w:eastAsiaTheme="minorEastAsia"/>
                <w:color w:val="000000" w:themeColor="text1"/>
                <w:sz w:val="16"/>
                <w:szCs w:val="16"/>
              </w:rPr>
              <w:t xml:space="preserve">ITQs </w:t>
            </w:r>
            <w:r>
              <w:rPr>
                <w:rFonts w:eastAsiaTheme="minorEastAsia"/>
                <w:color w:val="000000" w:themeColor="text1"/>
                <w:sz w:val="16"/>
                <w:szCs w:val="16"/>
              </w:rPr>
              <w:t>as the</w:t>
            </w:r>
            <w:r w:rsidRPr="590D11F9">
              <w:rPr>
                <w:rFonts w:eastAsiaTheme="minorEastAsia"/>
                <w:color w:val="000000" w:themeColor="text1"/>
                <w:sz w:val="16"/>
                <w:szCs w:val="16"/>
              </w:rPr>
              <w:t xml:space="preserve"> best option </w:t>
            </w:r>
            <w:r>
              <w:rPr>
                <w:rFonts w:eastAsiaTheme="minorEastAsia"/>
                <w:color w:val="000000" w:themeColor="text1"/>
                <w:sz w:val="16"/>
                <w:szCs w:val="16"/>
              </w:rPr>
              <w:t xml:space="preserve">because they were the option that was implemented (see arguments in Bromley </w:t>
            </w:r>
            <w:r>
              <w:rPr>
                <w:rFonts w:eastAsiaTheme="minorEastAsia"/>
                <w:color w:val="000000" w:themeColor="text1"/>
                <w:sz w:val="16"/>
                <w:szCs w:val="16"/>
              </w:rPr>
              <w:fldChar w:fldCharType="begin"/>
            </w:r>
            <w:r w:rsidR="00E24BC5">
              <w:rPr>
                <w:rFonts w:eastAsiaTheme="minorEastAsia"/>
                <w:color w:val="000000" w:themeColor="text1"/>
                <w:sz w:val="16"/>
                <w:szCs w:val="16"/>
              </w:rPr>
              <w:instrText xml:space="preserve"> ADDIN ZOTERO_ITEM CSL_CITATION {"citationID":"XHb5WPFU","properties":{"formattedCitation":"[17]","plainCitation":"[17]","noteIndex":0},"citationItems":[{"id":597,"uris":["http://zotero.org/groups/2596527/items/6G9JTLZL"],"uri":["http://zotero.org/groups/2596527/items/6G9JTLZL"],"itemData":{"id":597,"type":"article-journal","abstract":"The imperiled status of global fish stocks offers clear evidence of the comprehensive failure of national governments to provide coherent management to protect those stocks. The universal policy response to this failure seems to consist of nothing more imaginative than the free gifting to the commercial fishing sector of permanent endowments of income and wealth under the utopian claims associated with individual transferable quotas (ITQs). It now seems that the fishing industry is to be entrusted to become exemplary stewards, to become efficient, to maximize resource rent, to stop racing for fish, and to make society better off. These exultant promises are rendered false by the incoherent models from fisheries economics that are confused about the essential concepts of:","container-title":"Fisheries","DOI":"https://doi.org/10.1577/1548-8446-34.6.280","ISSN":"1548-8446","issue":"6","language":"en","note":"_eprint: https://afspubs.onlinelibrary.wiley.com/doi/pdf/10.1577/1548-8446-34.6.280","page":"280-290","source":"Wiley Online Library","title":"Abdicating Responsibility: The Deceits of Fisheries Policy","title-short":"Abdicating Responsibility","volume":"34","author":[{"family":"Bromley","given":"Daniel W."}],"issued":{"date-parts":[["2009"]]}}}],"schema":"https://github.com/citation-style-language/schema/raw/master/csl-citation.json"} </w:instrText>
            </w:r>
            <w:r>
              <w:rPr>
                <w:rFonts w:eastAsiaTheme="minorEastAsia"/>
                <w:color w:val="000000" w:themeColor="text1"/>
                <w:sz w:val="16"/>
                <w:szCs w:val="16"/>
              </w:rPr>
              <w:fldChar w:fldCharType="separate"/>
            </w:r>
            <w:r w:rsidR="00E24BC5" w:rsidRPr="00E24BC5">
              <w:rPr>
                <w:rFonts w:ascii="Calibri" w:hAnsi="Calibri" w:cs="Calibri"/>
                <w:sz w:val="16"/>
              </w:rPr>
              <w:t>[17]</w:t>
            </w:r>
            <w:r>
              <w:rPr>
                <w:rFonts w:eastAsiaTheme="minorEastAsia"/>
                <w:color w:val="000000" w:themeColor="text1"/>
                <w:sz w:val="16"/>
                <w:szCs w:val="16"/>
              </w:rPr>
              <w:fldChar w:fldCharType="end"/>
            </w:r>
            <w:r>
              <w:rPr>
                <w:rFonts w:eastAsiaTheme="minorEastAsia"/>
                <w:color w:val="000000" w:themeColor="text1"/>
                <w:sz w:val="16"/>
                <w:szCs w:val="16"/>
              </w:rPr>
              <w:t>).</w:t>
            </w:r>
          </w:p>
        </w:tc>
      </w:tr>
      <w:tr w:rsidR="007C1761" w14:paraId="73250A5E" w14:textId="77777777" w:rsidTr="2BD12D09">
        <w:tc>
          <w:tcPr>
            <w:tcW w:w="2547" w:type="dxa"/>
            <w:vMerge/>
            <w:tcBorders>
              <w:left w:val="single" w:sz="4" w:space="0" w:color="auto"/>
              <w:right w:val="single" w:sz="4" w:space="0" w:color="auto"/>
            </w:tcBorders>
            <w:shd w:val="clear" w:color="auto" w:fill="DEEAF6" w:themeFill="accent1" w:themeFillTint="33"/>
          </w:tcPr>
          <w:p w14:paraId="11A22324"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2ACA03" w14:textId="77777777" w:rsidR="007C1761" w:rsidRDefault="007C1761" w:rsidP="00567BBA">
            <w:pPr>
              <w:rPr>
                <w:rFonts w:eastAsiaTheme="minorEastAsia"/>
                <w:b/>
                <w:bCs/>
                <w:sz w:val="16"/>
                <w:szCs w:val="16"/>
              </w:rPr>
            </w:pPr>
            <w:r w:rsidRPr="590D11F9">
              <w:rPr>
                <w:rFonts w:eastAsiaTheme="minorEastAsia"/>
                <w:b/>
                <w:bCs/>
                <w:sz w:val="16"/>
                <w:szCs w:val="16"/>
              </w:rPr>
              <w:t>Risk compensation</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9495D4" w14:textId="277D8290" w:rsidR="007C1761" w:rsidRDefault="007C1761" w:rsidP="00567BBA">
            <w:pPr>
              <w:rPr>
                <w:sz w:val="16"/>
                <w:szCs w:val="16"/>
              </w:rPr>
            </w:pPr>
            <w:r>
              <w:rPr>
                <w:sz w:val="16"/>
                <w:szCs w:val="16"/>
              </w:rPr>
              <w:t>The tendency to take</w:t>
            </w:r>
            <w:r w:rsidRPr="590D11F9">
              <w:rPr>
                <w:sz w:val="16"/>
                <w:szCs w:val="16"/>
              </w:rPr>
              <w:t xml:space="preserve"> bigger risks when perceived safety increases, </w:t>
            </w:r>
            <w:r>
              <w:rPr>
                <w:sz w:val="16"/>
                <w:szCs w:val="16"/>
              </w:rPr>
              <w:t xml:space="preserve">and the tendency to be </w:t>
            </w:r>
            <w:r w:rsidRPr="590D11F9">
              <w:rPr>
                <w:sz w:val="16"/>
                <w:szCs w:val="16"/>
              </w:rPr>
              <w:t xml:space="preserve">more careful when perceived risk increases. </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44BD76" w14:textId="150689BC" w:rsidR="007C1761" w:rsidRDefault="007C1761" w:rsidP="00567BBA">
            <w:pPr>
              <w:rPr>
                <w:rFonts w:eastAsiaTheme="minorEastAsia"/>
                <w:color w:val="000000" w:themeColor="text1"/>
                <w:sz w:val="16"/>
                <w:szCs w:val="16"/>
              </w:rPr>
            </w:pPr>
            <w:r w:rsidRPr="590D11F9">
              <w:rPr>
                <w:rFonts w:eastAsiaTheme="minorEastAsia"/>
                <w:color w:val="000000" w:themeColor="text1"/>
                <w:sz w:val="16"/>
                <w:szCs w:val="16"/>
              </w:rPr>
              <w:t>“Now</w:t>
            </w:r>
            <w:r w:rsidR="003006D4">
              <w:rPr>
                <w:rFonts w:eastAsiaTheme="minorEastAsia"/>
                <w:color w:val="000000" w:themeColor="text1"/>
                <w:sz w:val="16"/>
                <w:szCs w:val="16"/>
              </w:rPr>
              <w:t xml:space="preserve"> that</w:t>
            </w:r>
            <w:r w:rsidRPr="590D11F9">
              <w:rPr>
                <w:rFonts w:eastAsiaTheme="minorEastAsia"/>
                <w:color w:val="000000" w:themeColor="text1"/>
                <w:sz w:val="16"/>
                <w:szCs w:val="16"/>
              </w:rPr>
              <w:t xml:space="preserve"> we’ve got the new equipment</w:t>
            </w:r>
            <w:r w:rsidR="003006D4">
              <w:rPr>
                <w:rFonts w:eastAsiaTheme="minorEastAsia"/>
                <w:color w:val="000000" w:themeColor="text1"/>
                <w:sz w:val="16"/>
                <w:szCs w:val="16"/>
              </w:rPr>
              <w:t>,</w:t>
            </w:r>
            <w:r w:rsidRPr="590D11F9">
              <w:rPr>
                <w:rFonts w:eastAsiaTheme="minorEastAsia"/>
                <w:color w:val="000000" w:themeColor="text1"/>
                <w:sz w:val="16"/>
                <w:szCs w:val="16"/>
              </w:rPr>
              <w:t xml:space="preserve"> we can cut the time spent on maintenance”</w:t>
            </w:r>
            <w:r>
              <w:rPr>
                <w:rFonts w:eastAsiaTheme="minorEastAsia"/>
                <w:color w:val="000000" w:themeColor="text1"/>
                <w:sz w:val="16"/>
                <w:szCs w:val="16"/>
              </w:rPr>
              <w:t xml:space="preserve"> or “</w:t>
            </w:r>
            <w:r w:rsidR="003006D4">
              <w:rPr>
                <w:rFonts w:eastAsiaTheme="minorEastAsia"/>
                <w:color w:val="000000" w:themeColor="text1"/>
                <w:sz w:val="16"/>
                <w:szCs w:val="16"/>
              </w:rPr>
              <w:t>T</w:t>
            </w:r>
            <w:r>
              <w:rPr>
                <w:rFonts w:eastAsiaTheme="minorEastAsia"/>
                <w:color w:val="000000" w:themeColor="text1"/>
                <w:sz w:val="16"/>
                <w:szCs w:val="16"/>
              </w:rPr>
              <w:t>he weather is calm today, I don’t have to wear my life jacket”. *</w:t>
            </w:r>
          </w:p>
        </w:tc>
      </w:tr>
      <w:tr w:rsidR="007C1761" w14:paraId="7D2D69C8" w14:textId="77777777" w:rsidTr="2BD12D09">
        <w:tc>
          <w:tcPr>
            <w:tcW w:w="2547" w:type="dxa"/>
            <w:vMerge/>
            <w:tcBorders>
              <w:left w:val="single" w:sz="4" w:space="0" w:color="auto"/>
              <w:right w:val="single" w:sz="4" w:space="0" w:color="auto"/>
            </w:tcBorders>
            <w:shd w:val="clear" w:color="auto" w:fill="DEEAF6" w:themeFill="accent1" w:themeFillTint="33"/>
          </w:tcPr>
          <w:p w14:paraId="6F0BA252"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5F0C77" w14:textId="77777777" w:rsidR="007C1761" w:rsidRDefault="007C1761" w:rsidP="00567BBA">
            <w:pPr>
              <w:rPr>
                <w:rFonts w:eastAsiaTheme="minorEastAsia"/>
                <w:b/>
                <w:bCs/>
                <w:sz w:val="16"/>
                <w:szCs w:val="16"/>
              </w:rPr>
            </w:pPr>
            <w:r w:rsidRPr="590D11F9">
              <w:rPr>
                <w:rFonts w:eastAsiaTheme="minorEastAsia"/>
                <w:b/>
                <w:bCs/>
                <w:sz w:val="16"/>
                <w:szCs w:val="16"/>
              </w:rPr>
              <w:t xml:space="preserve">Clustering illusion </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E01A1" w14:textId="77777777" w:rsidR="007C1761" w:rsidRDefault="007C1761" w:rsidP="00567BBA">
            <w:pPr>
              <w:rPr>
                <w:sz w:val="16"/>
                <w:szCs w:val="16"/>
              </w:rPr>
            </w:pPr>
            <w:r>
              <w:rPr>
                <w:sz w:val="16"/>
                <w:szCs w:val="16"/>
              </w:rPr>
              <w:t>The tendency to incorrectly overestimate</w:t>
            </w:r>
            <w:r w:rsidRPr="590D11F9">
              <w:rPr>
                <w:sz w:val="16"/>
                <w:szCs w:val="16"/>
              </w:rPr>
              <w:t xml:space="preserve"> the importance of small patterns (in data).</w:t>
            </w:r>
            <w:r>
              <w:rPr>
                <w:sz w:val="16"/>
                <w:szCs w:val="16"/>
              </w:rPr>
              <w:t xml:space="preserve"> D</w:t>
            </w:r>
            <w:r w:rsidRPr="590D11F9">
              <w:rPr>
                <w:sz w:val="16"/>
                <w:szCs w:val="16"/>
              </w:rPr>
              <w:t>ata here can also be mental data</w:t>
            </w:r>
            <w:r>
              <w:rPr>
                <w:sz w:val="16"/>
                <w:szCs w:val="16"/>
              </w:rPr>
              <w:t>.</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415381" w14:textId="77777777" w:rsidR="007C1761" w:rsidRDefault="007C1761" w:rsidP="00567BBA">
            <w:pPr>
              <w:rPr>
                <w:rFonts w:eastAsiaTheme="minorEastAsia"/>
                <w:color w:val="000000" w:themeColor="text1"/>
                <w:sz w:val="16"/>
                <w:szCs w:val="16"/>
              </w:rPr>
            </w:pPr>
            <w:r w:rsidRPr="590D11F9">
              <w:rPr>
                <w:rFonts w:eastAsiaTheme="minorEastAsia"/>
                <w:color w:val="000000" w:themeColor="text1"/>
                <w:sz w:val="16"/>
                <w:szCs w:val="16"/>
              </w:rPr>
              <w:t>“Last week I had a catch full of rays so they must be doing well.”</w:t>
            </w:r>
            <w:r>
              <w:rPr>
                <w:rFonts w:eastAsiaTheme="minorEastAsia"/>
                <w:color w:val="000000" w:themeColor="text1"/>
                <w:sz w:val="16"/>
                <w:szCs w:val="16"/>
              </w:rPr>
              <w:t>*</w:t>
            </w:r>
          </w:p>
        </w:tc>
      </w:tr>
      <w:tr w:rsidR="007C1761" w:rsidRPr="590D11F9" w14:paraId="549D6EE2" w14:textId="77777777" w:rsidTr="2BD12D09">
        <w:tc>
          <w:tcPr>
            <w:tcW w:w="2547" w:type="dxa"/>
            <w:vMerge/>
            <w:tcBorders>
              <w:left w:val="single" w:sz="4" w:space="0" w:color="auto"/>
              <w:bottom w:val="single" w:sz="4" w:space="0" w:color="auto"/>
              <w:right w:val="single" w:sz="4" w:space="0" w:color="auto"/>
            </w:tcBorders>
            <w:shd w:val="clear" w:color="auto" w:fill="DEEAF6" w:themeFill="accent1" w:themeFillTint="33"/>
          </w:tcPr>
          <w:p w14:paraId="5240097A"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B875D8" w14:textId="77777777" w:rsidR="007C1761" w:rsidRPr="590D11F9" w:rsidRDefault="007C1761" w:rsidP="00567BBA">
            <w:pPr>
              <w:rPr>
                <w:rFonts w:eastAsiaTheme="minorEastAsia"/>
                <w:b/>
                <w:bCs/>
                <w:sz w:val="16"/>
                <w:szCs w:val="16"/>
              </w:rPr>
            </w:pPr>
            <w:r>
              <w:rPr>
                <w:rFonts w:eastAsiaTheme="minorEastAsia"/>
                <w:b/>
                <w:bCs/>
                <w:sz w:val="16"/>
                <w:szCs w:val="16"/>
              </w:rPr>
              <w:t>Informational influence</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8DC838" w14:textId="527FBD90" w:rsidR="007C1761" w:rsidRPr="00F918D7" w:rsidRDefault="007C1761" w:rsidP="00567BBA">
            <w:pPr>
              <w:pStyle w:val="CommentText"/>
            </w:pPr>
            <w:r>
              <w:rPr>
                <w:rFonts w:asciiTheme="minorHAnsi" w:eastAsiaTheme="minorEastAsia" w:hAnsiTheme="minorHAnsi"/>
                <w:sz w:val="16"/>
                <w:szCs w:val="16"/>
              </w:rPr>
              <w:t>The tendency for</w:t>
            </w:r>
            <w:r w:rsidRPr="0C326D27">
              <w:rPr>
                <w:rFonts w:asciiTheme="minorHAnsi" w:eastAsiaTheme="minorEastAsia" w:hAnsiTheme="minorHAnsi"/>
                <w:sz w:val="16"/>
                <w:szCs w:val="16"/>
              </w:rPr>
              <w:t xml:space="preserve"> new information or arguments provided in a group discussion </w:t>
            </w:r>
            <w:r>
              <w:rPr>
                <w:rFonts w:asciiTheme="minorHAnsi" w:eastAsiaTheme="minorEastAsia" w:hAnsiTheme="minorHAnsi"/>
                <w:sz w:val="16"/>
                <w:szCs w:val="16"/>
              </w:rPr>
              <w:t>to</w:t>
            </w:r>
            <w:r w:rsidRPr="0C326D27">
              <w:rPr>
                <w:rFonts w:asciiTheme="minorHAnsi" w:eastAsiaTheme="minorEastAsia" w:hAnsiTheme="minorHAnsi"/>
                <w:sz w:val="16"/>
                <w:szCs w:val="16"/>
              </w:rPr>
              <w:t xml:space="preserve"> change a group member’s attitudes, beliefs, or behavior. Informational influence is likely to be stronger when </w:t>
            </w:r>
            <w:r w:rsidRPr="0C326D27">
              <w:rPr>
                <w:rFonts w:asciiTheme="minorHAnsi" w:eastAsiaTheme="minorEastAsia" w:hAnsiTheme="minorHAnsi"/>
                <w:sz w:val="16"/>
                <w:szCs w:val="16"/>
              </w:rPr>
              <w:lastRenderedPageBreak/>
              <w:t>a person is uncertain about the correct interpretation of reality and/or the correct behavior in a given context and therefore looks to other group members for guidance</w:t>
            </w:r>
            <w:r>
              <w:rPr>
                <w:rFonts w:ascii="Arial" w:hAnsi="Arial" w:cs="Arial"/>
                <w:color w:val="222222"/>
              </w:rPr>
              <w:t xml:space="preserve"> </w:t>
            </w:r>
            <w:r w:rsidRPr="004F2695">
              <w:rPr>
                <w:rFonts w:asciiTheme="minorHAnsi" w:hAnsiTheme="minorHAnsi" w:cstheme="minorHAnsi"/>
                <w:color w:val="222222"/>
                <w:sz w:val="16"/>
              </w:rPr>
              <w:fldChar w:fldCharType="begin"/>
            </w:r>
            <w:r w:rsidR="00E24BC5">
              <w:rPr>
                <w:rFonts w:asciiTheme="minorHAnsi" w:hAnsiTheme="minorHAnsi" w:cstheme="minorHAnsi"/>
                <w:color w:val="222222"/>
                <w:sz w:val="16"/>
              </w:rPr>
              <w:instrText xml:space="preserve"> ADDIN ZOTERO_ITEM CSL_CITATION {"citationID":"Kh2kFsQi","properties":{"formattedCitation":"[18]","plainCitation":"[18]","noteIndex":0},"citationItems":[{"id":609,"uris":["http://zotero.org/groups/2596527/items/HT4IHAK7"],"uri":["http://zotero.org/groups/2596527/items/HT4IHAK7"],"itemData":{"id":609,"type":"article","title":"www.psychology.iresearchnet.com"}}],"schema":"https://github.com/citation-style-language/schema/raw/master/csl-citation.json"} </w:instrText>
            </w:r>
            <w:r w:rsidRPr="004F2695">
              <w:rPr>
                <w:rFonts w:asciiTheme="minorHAnsi" w:hAnsiTheme="minorHAnsi" w:cstheme="minorHAnsi"/>
                <w:color w:val="222222"/>
                <w:sz w:val="16"/>
              </w:rPr>
              <w:fldChar w:fldCharType="separate"/>
            </w:r>
            <w:r w:rsidR="00E24BC5" w:rsidRPr="00E24BC5">
              <w:rPr>
                <w:rFonts w:ascii="Calibri" w:hAnsi="Calibri" w:cs="Calibri"/>
                <w:sz w:val="16"/>
              </w:rPr>
              <w:t>[18]</w:t>
            </w:r>
            <w:r w:rsidRPr="004F2695">
              <w:rPr>
                <w:rFonts w:asciiTheme="minorHAnsi" w:hAnsiTheme="minorHAnsi" w:cstheme="minorHAnsi"/>
                <w:color w:val="222222"/>
                <w:sz w:val="16"/>
              </w:rPr>
              <w:fldChar w:fldCharType="end"/>
            </w:r>
            <w:r>
              <w:rPr>
                <w:rFonts w:asciiTheme="minorHAnsi" w:hAnsiTheme="minorHAnsi" w:cstheme="minorHAnsi"/>
                <w:color w:val="222222"/>
                <w:sz w:val="16"/>
              </w:rPr>
              <w:t>.</w:t>
            </w:r>
          </w:p>
        </w:tc>
        <w:tc>
          <w:tcPr>
            <w:tcW w:w="4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6E3C9" w14:textId="77777777" w:rsidR="007C1761" w:rsidRPr="590D11F9" w:rsidRDefault="007C1761" w:rsidP="00567BBA">
            <w:pPr>
              <w:rPr>
                <w:rFonts w:eastAsiaTheme="minorEastAsia"/>
                <w:color w:val="000000" w:themeColor="text1"/>
                <w:sz w:val="16"/>
                <w:szCs w:val="16"/>
              </w:rPr>
            </w:pPr>
            <w:r>
              <w:rPr>
                <w:rFonts w:eastAsiaTheme="minorEastAsia"/>
                <w:color w:val="000000" w:themeColor="text1"/>
                <w:sz w:val="16"/>
                <w:szCs w:val="16"/>
              </w:rPr>
              <w:lastRenderedPageBreak/>
              <w:t>Members of co-operatives or producer organisations will tend to follow the majority opinion on issues that they personally are not informed about.*</w:t>
            </w:r>
          </w:p>
        </w:tc>
      </w:tr>
      <w:tr w:rsidR="007C1761" w:rsidRPr="00A378BB" w14:paraId="33687AFE" w14:textId="77777777" w:rsidTr="2BD12D09">
        <w:tc>
          <w:tcPr>
            <w:tcW w:w="2547"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B3BE47" w14:textId="77777777" w:rsidR="007C1761" w:rsidRPr="00A378BB" w:rsidRDefault="007C1761" w:rsidP="00567BBA">
            <w:pPr>
              <w:rPr>
                <w:rFonts w:cstheme="minorHAnsi"/>
                <w:b/>
                <w:bCs/>
                <w:sz w:val="16"/>
                <w:szCs w:val="16"/>
              </w:rPr>
            </w:pPr>
            <w:r w:rsidRPr="00A378BB">
              <w:rPr>
                <w:rFonts w:cstheme="minorHAnsi"/>
                <w:b/>
                <w:bCs/>
                <w:sz w:val="16"/>
                <w:szCs w:val="16"/>
              </w:rPr>
              <w:lastRenderedPageBreak/>
              <w:t>Loss aversion</w:t>
            </w:r>
          </w:p>
          <w:p w14:paraId="28976C08" w14:textId="47E7C5CE" w:rsidR="007C1761" w:rsidRPr="00A378BB" w:rsidRDefault="007C1761" w:rsidP="00567BBA">
            <w:pPr>
              <w:rPr>
                <w:rFonts w:cstheme="minorHAnsi"/>
                <w:sz w:val="16"/>
                <w:szCs w:val="16"/>
              </w:rPr>
            </w:pPr>
            <w:r w:rsidRPr="00A378BB">
              <w:rPr>
                <w:rFonts w:cstheme="minorHAnsi"/>
                <w:sz w:val="16"/>
                <w:szCs w:val="16"/>
              </w:rPr>
              <w:t xml:space="preserve">“Losses loom larger than </w:t>
            </w:r>
            <w:r w:rsidR="00E24BC5">
              <w:rPr>
                <w:rFonts w:cstheme="minorHAnsi"/>
                <w:sz w:val="16"/>
                <w:szCs w:val="16"/>
              </w:rPr>
              <w:t>gains” (</w:t>
            </w:r>
            <w:proofErr w:type="spellStart"/>
            <w:r w:rsidR="00E24BC5">
              <w:rPr>
                <w:rFonts w:cstheme="minorHAnsi"/>
                <w:sz w:val="16"/>
                <w:szCs w:val="16"/>
              </w:rPr>
              <w:t>Kahneman</w:t>
            </w:r>
            <w:proofErr w:type="spellEnd"/>
            <w:r w:rsidR="00E24BC5">
              <w:rPr>
                <w:rFonts w:cstheme="minorHAnsi"/>
                <w:sz w:val="16"/>
                <w:szCs w:val="16"/>
              </w:rPr>
              <w:t xml:space="preserve"> &amp; </w:t>
            </w:r>
            <w:proofErr w:type="spellStart"/>
            <w:r w:rsidR="00E24BC5">
              <w:rPr>
                <w:rFonts w:cstheme="minorHAnsi"/>
                <w:sz w:val="16"/>
                <w:szCs w:val="16"/>
              </w:rPr>
              <w:t>Tversky</w:t>
            </w:r>
            <w:proofErr w:type="spellEnd"/>
            <w:r w:rsidR="00E24BC5">
              <w:rPr>
                <w:rFonts w:cstheme="minorHAnsi"/>
                <w:sz w:val="16"/>
                <w:szCs w:val="16"/>
              </w:rPr>
              <w:t xml:space="preserve">, </w:t>
            </w:r>
            <w:r w:rsidR="00E24BC5">
              <w:rPr>
                <w:rFonts w:cstheme="minorHAnsi"/>
                <w:sz w:val="16"/>
                <w:szCs w:val="16"/>
              </w:rPr>
              <w:fldChar w:fldCharType="begin"/>
            </w:r>
            <w:r w:rsidR="00E24BC5">
              <w:rPr>
                <w:rFonts w:cstheme="minorHAnsi"/>
                <w:sz w:val="16"/>
                <w:szCs w:val="16"/>
              </w:rPr>
              <w:instrText xml:space="preserve"> ADDIN ZOTERO_ITEM CSL_CITATION {"citationID":"eplyksIP","properties":{"formattedCitation":"[19]","plainCitation":"[19]","noteIndex":0},"citationItems":[{"id":620,"uris":["http://zotero.org/groups/2596527/items/VJSGLJAF"],"uri":["http://zotero.org/groups/2596527/items/VJSGLJAF"],"itemData":{"id":620,"type":"book","abstract":"describes several classes of choice problems in which preferences systematically violate the axioms of expected utility theory  certainty, probability, and possibility / reflection effect / probabilistic insurance / prospect theory  show how prospect theory accounts for observed attitudes toward risk, discuss alternative representations of choice problems induced by shifts of reference point, and sketch several extensions of the present treatment (PsycINFO Database Record (c) 2019 APA, all rights reserved)","collection-title":"Decision, probability, and utility:  Selected readings","event-place":"New York, NY, US","ISBN":"978-0-521-33391-7","note":"page: 214\nDOI: 10.1017/CBO9780511609220.014","number-of-pages":"183","publisher":"Cambridge University Press","publisher-place":"New York, NY, US","source":"APA PsycNET","title":"Prospect theory:  An analysis of decision under risk","title-short":"Prospect theory","author":[{"family":"Kahneman","given":"Daniel"},{"family":"Tversky","given":"Amos"}],"issued":{"date-parts":[["1988"]]}}}],"schema":"https://github.com/citation-style-language/schema/raw/master/csl-citation.json"} </w:instrText>
            </w:r>
            <w:r w:rsidR="00E24BC5">
              <w:rPr>
                <w:rFonts w:cstheme="minorHAnsi"/>
                <w:sz w:val="16"/>
                <w:szCs w:val="16"/>
              </w:rPr>
              <w:fldChar w:fldCharType="separate"/>
            </w:r>
            <w:r w:rsidR="00E24BC5" w:rsidRPr="00E24BC5">
              <w:rPr>
                <w:rFonts w:ascii="Calibri" w:hAnsi="Calibri" w:cs="Calibri"/>
                <w:sz w:val="16"/>
              </w:rPr>
              <w:t>[19]</w:t>
            </w:r>
            <w:r w:rsidR="00E24BC5">
              <w:rPr>
                <w:rFonts w:cstheme="minorHAnsi"/>
                <w:sz w:val="16"/>
                <w:szCs w:val="16"/>
              </w:rPr>
              <w:fldChar w:fldCharType="end"/>
            </w:r>
            <w:r w:rsidRPr="00A378BB">
              <w:rPr>
                <w:rFonts w:cstheme="minorHAnsi"/>
                <w:sz w:val="16"/>
                <w:szCs w:val="16"/>
              </w:rPr>
              <w:t>). It is thought that the pain of losing is psychologically about twice as powerful as the pleasure of gaining</w:t>
            </w:r>
            <w:r w:rsidR="00E24BC5">
              <w:rPr>
                <w:rFonts w:cstheme="minorHAnsi"/>
                <w:sz w:val="16"/>
                <w:szCs w:val="16"/>
              </w:rPr>
              <w:t xml:space="preserve"> </w:t>
            </w:r>
            <w:r w:rsidR="00E24BC5">
              <w:rPr>
                <w:rFonts w:cstheme="minorHAnsi"/>
                <w:sz w:val="16"/>
                <w:szCs w:val="16"/>
              </w:rPr>
              <w:fldChar w:fldCharType="begin"/>
            </w:r>
            <w:r w:rsidR="00E24BC5">
              <w:rPr>
                <w:rFonts w:cstheme="minorHAnsi"/>
                <w:sz w:val="16"/>
                <w:szCs w:val="16"/>
              </w:rPr>
              <w:instrText xml:space="preserve"> ADDIN ZOTERO_ITEM CSL_CITATION {"citationID":"WO8lzdAG","properties":{"formattedCitation":"[12]","plainCitation":"[12]","noteIndex":0},"citationItems":[{"id":608,"uris":["http://zotero.org/groups/2596527/items/5VV49CGI"],"uri":["http://zotero.org/groups/2596527/items/5VV49CGI"],"itemData":{"id":608,"type":"article","title":"www.behavioraleconomics.com"}}],"schema":"https://github.com/citation-style-language/schema/raw/master/csl-citation.json"} </w:instrText>
            </w:r>
            <w:r w:rsidR="00E24BC5">
              <w:rPr>
                <w:rFonts w:cstheme="minorHAnsi"/>
                <w:sz w:val="16"/>
                <w:szCs w:val="16"/>
              </w:rPr>
              <w:fldChar w:fldCharType="separate"/>
            </w:r>
            <w:r w:rsidR="00E24BC5" w:rsidRPr="00E24BC5">
              <w:rPr>
                <w:rFonts w:ascii="Calibri" w:hAnsi="Calibri" w:cs="Calibri"/>
                <w:sz w:val="16"/>
                <w:szCs w:val="16"/>
              </w:rPr>
              <w:t>[12]</w:t>
            </w:r>
            <w:r w:rsidR="00E24BC5">
              <w:rPr>
                <w:rFonts w:cstheme="minorHAnsi"/>
                <w:sz w:val="16"/>
                <w:szCs w:val="16"/>
              </w:rPr>
              <w:fldChar w:fldCharType="end"/>
            </w:r>
            <w:r w:rsidRPr="00A378BB">
              <w:rPr>
                <w:rFonts w:cstheme="minorHAnsi"/>
                <w:sz w:val="16"/>
                <w:szCs w:val="16"/>
              </w:rPr>
              <w:t xml:space="preserve">. </w:t>
            </w:r>
          </w:p>
          <w:p w14:paraId="40333583" w14:textId="77777777" w:rsidR="007C1761" w:rsidRPr="7DB20FEA" w:rsidRDefault="007C1761" w:rsidP="00E24BC5">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798ADE6" w14:textId="77777777" w:rsidR="007C1761" w:rsidRPr="00A378BB" w:rsidRDefault="007C1761" w:rsidP="00567BBA">
            <w:pPr>
              <w:rPr>
                <w:b/>
                <w:bCs/>
                <w:sz w:val="16"/>
                <w:szCs w:val="16"/>
              </w:rPr>
            </w:pPr>
            <w:r w:rsidRPr="7DB20FEA">
              <w:rPr>
                <w:b/>
                <w:bCs/>
                <w:sz w:val="16"/>
                <w:szCs w:val="16"/>
              </w:rPr>
              <w:t xml:space="preserve">Endowment Effect </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753F2BA" w14:textId="77777777" w:rsidR="007C1761" w:rsidRPr="00A378BB" w:rsidRDefault="007C1761" w:rsidP="00567BBA">
            <w:pPr>
              <w:rPr>
                <w:rFonts w:cstheme="minorHAnsi"/>
                <w:sz w:val="16"/>
                <w:szCs w:val="16"/>
              </w:rPr>
            </w:pPr>
            <w:r w:rsidRPr="007C1761">
              <w:rPr>
                <w:rFonts w:cstheme="minorHAnsi"/>
                <w:sz w:val="16"/>
                <w:szCs w:val="16"/>
              </w:rPr>
              <w:t>The tendency for individuals to value an owned object higher, often irrationally, than its market value [21].</w:t>
            </w:r>
          </w:p>
        </w:tc>
        <w:tc>
          <w:tcPr>
            <w:tcW w:w="48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937674" w14:textId="77777777" w:rsidR="007C1761" w:rsidRDefault="007C1761" w:rsidP="00567BBA">
            <w:pPr>
              <w:rPr>
                <w:rFonts w:cstheme="minorHAnsi"/>
                <w:sz w:val="16"/>
                <w:szCs w:val="16"/>
              </w:rPr>
            </w:pPr>
            <w:r>
              <w:rPr>
                <w:rFonts w:cstheme="minorHAnsi"/>
                <w:sz w:val="16"/>
                <w:szCs w:val="16"/>
              </w:rPr>
              <w:t xml:space="preserve">A fisher prefers to do a costly renovation of the vessel he inherited from his father than purchase a newer more cost-effective </w:t>
            </w:r>
            <w:proofErr w:type="gramStart"/>
            <w:r>
              <w:rPr>
                <w:rFonts w:cstheme="minorHAnsi"/>
                <w:sz w:val="16"/>
                <w:szCs w:val="16"/>
              </w:rPr>
              <w:t>vessel.*</w:t>
            </w:r>
            <w:proofErr w:type="gramEnd"/>
          </w:p>
          <w:p w14:paraId="46341269" w14:textId="77777777" w:rsidR="007C1761" w:rsidRDefault="007C1761" w:rsidP="00567BBA">
            <w:pPr>
              <w:rPr>
                <w:rFonts w:cstheme="minorHAnsi"/>
                <w:sz w:val="16"/>
                <w:szCs w:val="16"/>
              </w:rPr>
            </w:pPr>
          </w:p>
          <w:p w14:paraId="56B330EB" w14:textId="77777777" w:rsidR="007C1761" w:rsidRPr="00A378BB" w:rsidRDefault="007C1761" w:rsidP="00567BBA">
            <w:pPr>
              <w:rPr>
                <w:rFonts w:cstheme="minorHAnsi"/>
                <w:bCs/>
                <w:sz w:val="16"/>
                <w:szCs w:val="16"/>
              </w:rPr>
            </w:pPr>
          </w:p>
        </w:tc>
      </w:tr>
      <w:tr w:rsidR="007C1761" w:rsidRPr="00A378BB" w14:paraId="5B5739B3" w14:textId="77777777" w:rsidTr="2BD12D09">
        <w:tc>
          <w:tcPr>
            <w:tcW w:w="2547" w:type="dxa"/>
            <w:vMerge/>
            <w:tcBorders>
              <w:left w:val="single" w:sz="4" w:space="0" w:color="auto"/>
              <w:right w:val="single" w:sz="4" w:space="0" w:color="auto"/>
            </w:tcBorders>
            <w:shd w:val="clear" w:color="auto" w:fill="FBE4D5" w:themeFill="accent2" w:themeFillTint="33"/>
          </w:tcPr>
          <w:p w14:paraId="4A433106" w14:textId="77777777" w:rsidR="007C1761" w:rsidRPr="7DB20FEA"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BC895A" w14:textId="77777777" w:rsidR="007C1761" w:rsidRPr="7DB20FEA" w:rsidRDefault="007C1761" w:rsidP="00567BBA">
            <w:pPr>
              <w:rPr>
                <w:b/>
                <w:bCs/>
                <w:sz w:val="16"/>
                <w:szCs w:val="16"/>
              </w:rPr>
            </w:pPr>
            <w:r>
              <w:rPr>
                <w:b/>
                <w:bCs/>
                <w:sz w:val="16"/>
                <w:szCs w:val="16"/>
              </w:rPr>
              <w:t>S</w:t>
            </w:r>
            <w:r w:rsidRPr="7DB20FEA">
              <w:rPr>
                <w:b/>
                <w:bCs/>
                <w:sz w:val="16"/>
                <w:szCs w:val="16"/>
              </w:rPr>
              <w:t>unk cost bias</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DF0D3" w14:textId="1058E7D5" w:rsidR="007C1761" w:rsidRPr="00A378BB" w:rsidRDefault="007C1761" w:rsidP="00567BBA">
            <w:pPr>
              <w:rPr>
                <w:sz w:val="16"/>
                <w:szCs w:val="16"/>
              </w:rPr>
            </w:pPr>
            <w:r>
              <w:rPr>
                <w:sz w:val="16"/>
                <w:szCs w:val="16"/>
              </w:rPr>
              <w:t>The tendency to</w:t>
            </w:r>
            <w:r w:rsidRPr="2CF8F96B">
              <w:rPr>
                <w:sz w:val="16"/>
                <w:szCs w:val="16"/>
              </w:rPr>
              <w:t xml:space="preserve"> continue a behavio</w:t>
            </w:r>
            <w:r w:rsidR="008F690F">
              <w:rPr>
                <w:sz w:val="16"/>
                <w:szCs w:val="16"/>
              </w:rPr>
              <w:t>u</w:t>
            </w:r>
            <w:r w:rsidRPr="2CF8F96B">
              <w:rPr>
                <w:sz w:val="16"/>
                <w:szCs w:val="16"/>
              </w:rPr>
              <w:t>r or endeavo</w:t>
            </w:r>
            <w:r w:rsidR="004221F4">
              <w:rPr>
                <w:sz w:val="16"/>
                <w:szCs w:val="16"/>
              </w:rPr>
              <w:t>u</w:t>
            </w:r>
            <w:r w:rsidRPr="2CF8F96B">
              <w:rPr>
                <w:sz w:val="16"/>
                <w:szCs w:val="16"/>
              </w:rPr>
              <w:t>r as a result of previously invested resources (time, m</w:t>
            </w:r>
            <w:r>
              <w:rPr>
                <w:sz w:val="16"/>
                <w:szCs w:val="16"/>
              </w:rPr>
              <w:t>oney or effort) (</w:t>
            </w:r>
            <w:proofErr w:type="spellStart"/>
            <w:r>
              <w:rPr>
                <w:sz w:val="16"/>
                <w:szCs w:val="16"/>
              </w:rPr>
              <w:t>Arkes</w:t>
            </w:r>
            <w:proofErr w:type="spellEnd"/>
            <w:r>
              <w:rPr>
                <w:sz w:val="16"/>
                <w:szCs w:val="16"/>
              </w:rPr>
              <w:t xml:space="preserve"> &amp; </w:t>
            </w:r>
            <w:proofErr w:type="spellStart"/>
            <w:r>
              <w:rPr>
                <w:sz w:val="16"/>
                <w:szCs w:val="16"/>
              </w:rPr>
              <w:t>Blumer</w:t>
            </w:r>
            <w:proofErr w:type="spellEnd"/>
            <w:r>
              <w:rPr>
                <w:sz w:val="16"/>
                <w:szCs w:val="16"/>
              </w:rPr>
              <w:t xml:space="preserve"> </w:t>
            </w:r>
            <w:r>
              <w:rPr>
                <w:sz w:val="16"/>
                <w:szCs w:val="16"/>
              </w:rPr>
              <w:fldChar w:fldCharType="begin"/>
            </w:r>
            <w:r w:rsidR="00E24BC5">
              <w:rPr>
                <w:sz w:val="16"/>
                <w:szCs w:val="16"/>
              </w:rPr>
              <w:instrText xml:space="preserve"> ADDIN ZOTERO_ITEM CSL_CITATION {"citationID":"H9Tkar8I","properties":{"formattedCitation":"[20]","plainCitation":"[20]","noteIndex":0},"citationItems":[{"id":599,"uris":["http://zotero.org/groups/2596527/items/KY2CB7QB"],"uri":["http://zotero.org/groups/2596527/items/KY2CB7QB"],"itemData":{"id":599,"type":"article-journal","abstract":"The sunk cost effect is manifested in a greater tendency to continue an endeavor once an investment in money, effort, or time has been made. Evidence is presented that the psychological justification for this behavior is predicated on the desire not to appear wasteful. In a field study with 54 Ss, those who had initially paid more for a season subscription to a theater series attended more plays during the next 6 mo, presumably because of their higher sunk cost in the season tickets. Several questionnaire studies with college students corroborated and extended this finding. Ss who had incurred a sunk cost inflated their estimate of how likely a project was to succeed compared to the estimates of the same project by those who had not incurred a sunk cost. The basic sunk cost finding that people will throw good money after bad appears to be well described by prospect theory (D. Kahneman and A. Tversky, 1979). Only moderate support was obtained for the contention that personal involvement increases the sunk cost effect. The effect was not lessened by having taken prior courses in economics. It is shown that the sunk cost effect cannot be fully subsumed under cognitive dissonance theory, the idea of entrapment, or foot-in-the-door or low-ball techniques. (20 ref) (PsycINFO Database Record (c) 2016 APA, all rights reserved)","container-title":"Organizational Behavior and Human Decision Processes","DOI":"10.1016/0749-5978(85)90049-4","ISSN":"1095-9920(Electronic),0749-5978(Print)","issue":"1","note":"publisher-place: Netherlands\npublisher: Elsevier Science","page":"124-140","source":"APA PsycNET","title":"The psychology of sunk cost","volume":"35","author":[{"family":"Arkes","given":"Hal R."},{"family":"Blumer","given":"Catherine"}],"issued":{"date-parts":[["1985"]]}}}],"schema":"https://github.com/citation-style-language/schema/raw/master/csl-citation.json"} </w:instrText>
            </w:r>
            <w:r>
              <w:rPr>
                <w:sz w:val="16"/>
                <w:szCs w:val="16"/>
              </w:rPr>
              <w:fldChar w:fldCharType="separate"/>
            </w:r>
            <w:r w:rsidR="00E24BC5" w:rsidRPr="00E24BC5">
              <w:rPr>
                <w:rFonts w:ascii="Calibri" w:hAnsi="Calibri" w:cs="Calibri"/>
                <w:sz w:val="16"/>
              </w:rPr>
              <w:t>[20]</w:t>
            </w:r>
            <w:r>
              <w:rPr>
                <w:sz w:val="16"/>
                <w:szCs w:val="16"/>
              </w:rPr>
              <w:fldChar w:fldCharType="end"/>
            </w:r>
            <w:r w:rsidRPr="2CF8F96B">
              <w:rPr>
                <w:sz w:val="16"/>
                <w:szCs w:val="16"/>
              </w:rPr>
              <w:t>). This fallacy</w:t>
            </w:r>
            <w:r>
              <w:rPr>
                <w:sz w:val="16"/>
                <w:szCs w:val="16"/>
              </w:rPr>
              <w:t xml:space="preserve"> c</w:t>
            </w:r>
            <w:r w:rsidRPr="2CF8F96B">
              <w:rPr>
                <w:sz w:val="16"/>
                <w:szCs w:val="16"/>
              </w:rPr>
              <w:t>an also be viewed as bias resulting from an ongoing commitment</w:t>
            </w:r>
            <w:r>
              <w:rPr>
                <w:sz w:val="16"/>
                <w:szCs w:val="16"/>
              </w:rPr>
              <w:t xml:space="preserve"> </w:t>
            </w:r>
            <w:r>
              <w:rPr>
                <w:sz w:val="16"/>
                <w:szCs w:val="16"/>
              </w:rPr>
              <w:fldChar w:fldCharType="begin"/>
            </w:r>
            <w:r w:rsidR="00E24BC5">
              <w:rPr>
                <w:sz w:val="16"/>
                <w:szCs w:val="16"/>
              </w:rPr>
              <w:instrText xml:space="preserve"> ADDIN ZOTERO_ITEM CSL_CITATION {"citationID":"2EzTZO8e","properties":{"formattedCitation":"[12]","plainCitation":"[12]","noteIndex":0},"citationItems":[{"id":608,"uris":["http://zotero.org/groups/2596527/items/5VV49CGI"],"uri":["http://zotero.org/groups/2596527/items/5VV49CGI"],"itemData":{"id":608,"type":"article","title":"www.behavioraleconomics.com"}}],"schema":"https://github.com/citation-style-language/schema/raw/master/csl-citation.json"} </w:instrText>
            </w:r>
            <w:r>
              <w:rPr>
                <w:sz w:val="16"/>
                <w:szCs w:val="16"/>
              </w:rPr>
              <w:fldChar w:fldCharType="separate"/>
            </w:r>
            <w:r w:rsidR="00E24BC5" w:rsidRPr="00E24BC5">
              <w:rPr>
                <w:rFonts w:ascii="Calibri" w:hAnsi="Calibri" w:cs="Calibri"/>
                <w:sz w:val="16"/>
              </w:rPr>
              <w:t>[12]</w:t>
            </w:r>
            <w:r>
              <w:rPr>
                <w:sz w:val="16"/>
                <w:szCs w:val="16"/>
              </w:rPr>
              <w:fldChar w:fldCharType="end"/>
            </w:r>
            <w:r w:rsidRPr="2CF8F96B">
              <w:rPr>
                <w:sz w:val="16"/>
                <w:szCs w:val="16"/>
              </w:rPr>
              <w:t>.</w:t>
            </w:r>
            <w:r w:rsidRPr="00A378BB">
              <w:rPr>
                <w:sz w:val="16"/>
                <w:szCs w:val="16"/>
              </w:rPr>
              <w:t xml:space="preserve"> </w:t>
            </w:r>
          </w:p>
          <w:p w14:paraId="503CB228" w14:textId="77777777" w:rsidR="007C1761" w:rsidRPr="000B7605" w:rsidRDefault="007C1761" w:rsidP="00567BBA">
            <w:pPr>
              <w:rPr>
                <w:rFonts w:cstheme="minorHAnsi"/>
                <w:sz w:val="16"/>
                <w:szCs w:val="16"/>
              </w:rPr>
            </w:pPr>
          </w:p>
        </w:tc>
        <w:tc>
          <w:tcPr>
            <w:tcW w:w="48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8B8AC3" w14:textId="77777777" w:rsidR="007C1761" w:rsidRPr="00A378BB" w:rsidRDefault="007C1761" w:rsidP="00567BBA">
            <w:pPr>
              <w:rPr>
                <w:rFonts w:cstheme="minorHAnsi"/>
                <w:sz w:val="16"/>
                <w:szCs w:val="16"/>
              </w:rPr>
            </w:pPr>
            <w:r>
              <w:rPr>
                <w:rFonts w:cstheme="minorHAnsi"/>
                <w:sz w:val="16"/>
                <w:szCs w:val="16"/>
              </w:rPr>
              <w:t>Because of the money and time already invested, a fisher prefers to continue to use a specific technique even if it is no longer profitable.*</w:t>
            </w:r>
          </w:p>
        </w:tc>
      </w:tr>
      <w:tr w:rsidR="007C1761" w:rsidRPr="00A378BB" w14:paraId="66D1E4B1" w14:textId="77777777" w:rsidTr="2BD12D09">
        <w:tc>
          <w:tcPr>
            <w:tcW w:w="2547" w:type="dxa"/>
            <w:vMerge/>
            <w:tcBorders>
              <w:left w:val="single" w:sz="4" w:space="0" w:color="auto"/>
              <w:right w:val="single" w:sz="4" w:space="0" w:color="auto"/>
            </w:tcBorders>
            <w:shd w:val="clear" w:color="auto" w:fill="FBE4D5" w:themeFill="accent2" w:themeFillTint="33"/>
          </w:tcPr>
          <w:p w14:paraId="3C4D6038" w14:textId="77777777" w:rsidR="007C1761" w:rsidRPr="7DB20FEA"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11629" w14:textId="77777777" w:rsidR="007C1761" w:rsidRPr="7DB20FEA" w:rsidRDefault="007C1761" w:rsidP="00567BBA">
            <w:pPr>
              <w:rPr>
                <w:b/>
                <w:bCs/>
                <w:sz w:val="16"/>
                <w:szCs w:val="16"/>
              </w:rPr>
            </w:pPr>
            <w:r>
              <w:rPr>
                <w:b/>
                <w:bCs/>
                <w:sz w:val="16"/>
                <w:szCs w:val="16"/>
              </w:rPr>
              <w:t>D</w:t>
            </w:r>
            <w:r w:rsidRPr="7DB20FEA">
              <w:rPr>
                <w:b/>
                <w:bCs/>
                <w:sz w:val="16"/>
                <w:szCs w:val="16"/>
              </w:rPr>
              <w:t>isposition effect</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6C3096" w14:textId="0239D692" w:rsidR="007C1761" w:rsidRPr="2CF8F96B" w:rsidRDefault="007C1761" w:rsidP="00567BBA">
            <w:pPr>
              <w:rPr>
                <w:sz w:val="16"/>
                <w:szCs w:val="16"/>
                <w:u w:val="single"/>
              </w:rPr>
            </w:pPr>
            <w:r w:rsidRPr="000B7605">
              <w:rPr>
                <w:sz w:val="16"/>
                <w:szCs w:val="16"/>
              </w:rPr>
              <w:t>The tendency to be reluctant to sell</w:t>
            </w:r>
            <w:r w:rsidRPr="2CF8F96B">
              <w:rPr>
                <w:sz w:val="16"/>
                <w:szCs w:val="16"/>
              </w:rPr>
              <w:t xml:space="preserve"> assets that have lost value and </w:t>
            </w:r>
            <w:r>
              <w:rPr>
                <w:sz w:val="16"/>
                <w:szCs w:val="16"/>
              </w:rPr>
              <w:t>the invers</w:t>
            </w:r>
            <w:r w:rsidR="004221F4">
              <w:rPr>
                <w:sz w:val="16"/>
                <w:szCs w:val="16"/>
              </w:rPr>
              <w:t>-</w:t>
            </w:r>
            <w:r>
              <w:rPr>
                <w:sz w:val="16"/>
                <w:szCs w:val="16"/>
              </w:rPr>
              <w:t xml:space="preserve"> related </w:t>
            </w:r>
            <w:r w:rsidRPr="2CF8F96B">
              <w:rPr>
                <w:sz w:val="16"/>
                <w:szCs w:val="16"/>
              </w:rPr>
              <w:t>greater likelihood of selling assets that have made gains (</w:t>
            </w:r>
            <w:proofErr w:type="spellStart"/>
            <w:r w:rsidRPr="2CF8F96B">
              <w:rPr>
                <w:sz w:val="16"/>
                <w:szCs w:val="16"/>
              </w:rPr>
              <w:t>Shefrin</w:t>
            </w:r>
            <w:proofErr w:type="spellEnd"/>
            <w:r w:rsidRPr="2CF8F96B">
              <w:rPr>
                <w:sz w:val="16"/>
                <w:szCs w:val="16"/>
              </w:rPr>
              <w:t xml:space="preserve"> &amp; </w:t>
            </w:r>
            <w:proofErr w:type="spellStart"/>
            <w:r w:rsidRPr="2CF8F96B">
              <w:rPr>
                <w:sz w:val="16"/>
                <w:szCs w:val="16"/>
              </w:rPr>
              <w:t>Statman</w:t>
            </w:r>
            <w:proofErr w:type="spellEnd"/>
            <w:r>
              <w:rPr>
                <w:sz w:val="16"/>
                <w:szCs w:val="16"/>
              </w:rPr>
              <w:t xml:space="preserve"> </w:t>
            </w:r>
            <w:r>
              <w:rPr>
                <w:sz w:val="16"/>
                <w:szCs w:val="16"/>
              </w:rPr>
              <w:fldChar w:fldCharType="begin"/>
            </w:r>
            <w:r w:rsidR="00E24BC5">
              <w:rPr>
                <w:sz w:val="16"/>
                <w:szCs w:val="16"/>
              </w:rPr>
              <w:instrText xml:space="preserve"> ADDIN ZOTERO_ITEM CSL_CITATION {"citationID":"z7RtitmZ","properties":{"formattedCitation":"[21]","plainCitation":"[21]","noteIndex":0},"citationItems":[{"id":601,"uris":["http://zotero.org/groups/2596527/items/MP6SDY4U"],"uri":["http://zotero.org/groups/2596527/items/MP6SDY4U"],"itemData":{"id":601,"type":"article-journal","abstract":"One of the most significant and unique features in Kahneman and Tversky's approach to choice under uncertainty is aversion to loss realization. This paper is concerned with two aspects of this feature. First, we place this behavior pattern into a wider theoretical framework concerning a general disposition to sell winners too early and hold losers too long. This framework includes other elements, namely mental accounting, regret aversion, self-control, and tax considerations. Second, we discuss evidence which suggests that tax considerations alone cannot explain the observed patterns of loss and gain realization, and that the patterns are consistent with a combined effect of tax considerations and the three other elements of our framework. We also show that the concentration of loss realizations in December is not consistent with fully rational behavior, but is consistent with our theory.","container-title":"The Journal of Finance","DOI":"10.2307/2327802","ISSN":"0022-1082","issue":"3","note":"publisher: [American Finance Association, Wiley]","page":"777-790","source":"JSTOR","title":"The Disposition to Sell Winners Too Early and Ride Losers Too Long: Theory and Evidence","title-short":"The Disposition to Sell Winners Too Early and Ride Losers Too Long","volume":"40","author":[{"family":"Shefrin","given":"Hersh"},{"family":"Statman","given":"Meir"}],"issued":{"date-parts":[["1985"]]}}}],"schema":"https://github.com/citation-style-language/schema/raw/master/csl-citation.json"} </w:instrText>
            </w:r>
            <w:r>
              <w:rPr>
                <w:sz w:val="16"/>
                <w:szCs w:val="16"/>
              </w:rPr>
              <w:fldChar w:fldCharType="separate"/>
            </w:r>
            <w:r w:rsidR="00E24BC5" w:rsidRPr="00E24BC5">
              <w:rPr>
                <w:rFonts w:ascii="Calibri" w:hAnsi="Calibri" w:cs="Calibri"/>
                <w:sz w:val="16"/>
              </w:rPr>
              <w:t>[21]</w:t>
            </w:r>
            <w:r>
              <w:rPr>
                <w:sz w:val="16"/>
                <w:szCs w:val="16"/>
              </w:rPr>
              <w:fldChar w:fldCharType="end"/>
            </w:r>
            <w:r w:rsidRPr="2CF8F96B">
              <w:rPr>
                <w:sz w:val="16"/>
                <w:szCs w:val="16"/>
              </w:rPr>
              <w:t>)</w:t>
            </w:r>
            <w:r>
              <w:rPr>
                <w:sz w:val="16"/>
                <w:szCs w:val="16"/>
              </w:rPr>
              <w:t xml:space="preserve"> </w:t>
            </w:r>
            <w:r>
              <w:rPr>
                <w:sz w:val="16"/>
                <w:szCs w:val="16"/>
              </w:rPr>
              <w:fldChar w:fldCharType="begin"/>
            </w:r>
            <w:r w:rsidR="00E24BC5">
              <w:rPr>
                <w:sz w:val="16"/>
                <w:szCs w:val="16"/>
              </w:rPr>
              <w:instrText xml:space="preserve"> ADDIN ZOTERO_ITEM CSL_CITATION {"citationID":"MZ4XtgSh","properties":{"formattedCitation":"[12]","plainCitation":"[12]","noteIndex":0},"citationItems":[{"id":608,"uris":["http://zotero.org/groups/2596527/items/5VV49CGI"],"uri":["http://zotero.org/groups/2596527/items/5VV49CGI"],"itemData":{"id":608,"type":"article","title":"www.behavioraleconomics.com"}}],"schema":"https://github.com/citation-style-language/schema/raw/master/csl-citation.json"} </w:instrText>
            </w:r>
            <w:r>
              <w:rPr>
                <w:sz w:val="16"/>
                <w:szCs w:val="16"/>
              </w:rPr>
              <w:fldChar w:fldCharType="separate"/>
            </w:r>
            <w:r w:rsidR="00E24BC5" w:rsidRPr="00E24BC5">
              <w:rPr>
                <w:rFonts w:ascii="Calibri" w:hAnsi="Calibri" w:cs="Calibri"/>
                <w:sz w:val="16"/>
              </w:rPr>
              <w:t>[12]</w:t>
            </w:r>
            <w:r>
              <w:rPr>
                <w:sz w:val="16"/>
                <w:szCs w:val="16"/>
              </w:rPr>
              <w:fldChar w:fldCharType="end"/>
            </w:r>
            <w:r w:rsidRPr="2CF8F96B">
              <w:rPr>
                <w:sz w:val="16"/>
                <w:szCs w:val="16"/>
              </w:rPr>
              <w:t xml:space="preserve">. </w:t>
            </w:r>
          </w:p>
        </w:tc>
        <w:tc>
          <w:tcPr>
            <w:tcW w:w="48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90B08D" w14:textId="77777777" w:rsidR="007C1761" w:rsidRPr="00A378BB" w:rsidRDefault="007C1761" w:rsidP="00567BBA">
            <w:pPr>
              <w:rPr>
                <w:rFonts w:cstheme="minorHAnsi"/>
                <w:sz w:val="16"/>
                <w:szCs w:val="16"/>
              </w:rPr>
            </w:pPr>
            <w:r>
              <w:rPr>
                <w:rFonts w:cstheme="minorHAnsi"/>
                <w:sz w:val="16"/>
                <w:szCs w:val="16"/>
              </w:rPr>
              <w:t>A fisher’s reluctance to sell quota for a lower price than the one he purchased it for, or inversely the fisher’s increased likelihood of selling quota when its value increases, even if holding it longer would be more profitable in the long term.*</w:t>
            </w:r>
          </w:p>
        </w:tc>
      </w:tr>
      <w:tr w:rsidR="007C1761" w:rsidRPr="00A378BB" w14:paraId="013E1BC6" w14:textId="77777777" w:rsidTr="2BD12D09">
        <w:tc>
          <w:tcPr>
            <w:tcW w:w="2547" w:type="dxa"/>
            <w:vMerge/>
            <w:tcBorders>
              <w:left w:val="single" w:sz="4" w:space="0" w:color="auto"/>
              <w:right w:val="single" w:sz="4" w:space="0" w:color="auto"/>
            </w:tcBorders>
            <w:shd w:val="clear" w:color="auto" w:fill="FBE4D5" w:themeFill="accent2" w:themeFillTint="33"/>
          </w:tcPr>
          <w:p w14:paraId="1D3F417B" w14:textId="77777777" w:rsidR="007C1761" w:rsidRPr="7DB20FEA"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BFC3BB" w14:textId="77777777" w:rsidR="007C1761" w:rsidRPr="00A378BB" w:rsidRDefault="007C1761" w:rsidP="00567BBA">
            <w:pPr>
              <w:rPr>
                <w:b/>
                <w:bCs/>
                <w:sz w:val="16"/>
                <w:szCs w:val="16"/>
              </w:rPr>
            </w:pPr>
            <w:r w:rsidRPr="7DB20FEA">
              <w:rPr>
                <w:b/>
                <w:bCs/>
                <w:sz w:val="16"/>
                <w:szCs w:val="16"/>
              </w:rPr>
              <w:t xml:space="preserve">Present bias </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C4B1AE" w14:textId="77777777" w:rsidR="007C1761" w:rsidRPr="00A378BB" w:rsidRDefault="007C1761" w:rsidP="00567BBA">
            <w:pPr>
              <w:rPr>
                <w:rFonts w:cstheme="minorHAnsi"/>
                <w:sz w:val="16"/>
                <w:szCs w:val="16"/>
              </w:rPr>
            </w:pPr>
            <w:r w:rsidRPr="007C1761">
              <w:rPr>
                <w:sz w:val="16"/>
                <w:szCs w:val="16"/>
              </w:rPr>
              <w:t>The</w:t>
            </w:r>
            <w:r w:rsidRPr="2CF8F96B">
              <w:rPr>
                <w:sz w:val="16"/>
                <w:szCs w:val="16"/>
              </w:rPr>
              <w:t xml:space="preserve"> tendency to </w:t>
            </w:r>
            <w:r>
              <w:rPr>
                <w:sz w:val="16"/>
                <w:szCs w:val="16"/>
              </w:rPr>
              <w:t>prefer</w:t>
            </w:r>
            <w:r w:rsidRPr="2CF8F96B">
              <w:rPr>
                <w:sz w:val="16"/>
                <w:szCs w:val="16"/>
              </w:rPr>
              <w:t xml:space="preserve"> settl</w:t>
            </w:r>
            <w:r>
              <w:rPr>
                <w:sz w:val="16"/>
                <w:szCs w:val="16"/>
              </w:rPr>
              <w:t>ing</w:t>
            </w:r>
            <w:r w:rsidRPr="2CF8F96B">
              <w:rPr>
                <w:sz w:val="16"/>
                <w:szCs w:val="16"/>
              </w:rPr>
              <w:t xml:space="preserve"> for a smaller present reward than to wait for a larger future reward, in a trade-off situation. It describes the trend of overvaluing immediate rewards, while putting less worth in long-term consequences.</w:t>
            </w:r>
          </w:p>
        </w:tc>
        <w:tc>
          <w:tcPr>
            <w:tcW w:w="48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12465" w14:textId="27E592EE" w:rsidR="007C1761" w:rsidRPr="00A378BB" w:rsidRDefault="007C1761" w:rsidP="00567BBA">
            <w:pPr>
              <w:rPr>
                <w:rFonts w:cstheme="minorHAnsi"/>
                <w:sz w:val="16"/>
                <w:szCs w:val="16"/>
              </w:rPr>
            </w:pPr>
            <w:r>
              <w:rPr>
                <w:rFonts w:cstheme="minorHAnsi"/>
                <w:color w:val="2E2E2E"/>
                <w:sz w:val="16"/>
                <w:szCs w:val="16"/>
              </w:rPr>
              <w:t>If managers continually ‘reset’ their commitment to harvesting strategies, bowing to pressure to choose short-term rewards (i.e. higher catches) at the expense of long-term benefits (i.e. stock preservation) then</w:t>
            </w:r>
            <w:r w:rsidRPr="000B7605">
              <w:rPr>
                <w:rFonts w:cstheme="minorHAnsi"/>
                <w:color w:val="2E2E2E"/>
                <w:sz w:val="16"/>
                <w:szCs w:val="16"/>
              </w:rPr>
              <w:t xml:space="preserve"> the optimal policy </w:t>
            </w:r>
            <w:r>
              <w:rPr>
                <w:rFonts w:cstheme="minorHAnsi"/>
                <w:color w:val="2E2E2E"/>
                <w:sz w:val="16"/>
                <w:szCs w:val="16"/>
              </w:rPr>
              <w:t>can appear to be</w:t>
            </w:r>
            <w:r w:rsidRPr="000B7605">
              <w:rPr>
                <w:rFonts w:cstheme="minorHAnsi"/>
                <w:color w:val="2E2E2E"/>
                <w:sz w:val="16"/>
                <w:szCs w:val="16"/>
              </w:rPr>
              <w:t xml:space="preserve"> to harvest the stock to extinction</w:t>
            </w:r>
            <w:r>
              <w:rPr>
                <w:rFonts w:cstheme="minorHAnsi"/>
                <w:color w:val="2E2E2E"/>
                <w:sz w:val="16"/>
                <w:szCs w:val="16"/>
              </w:rPr>
              <w:t xml:space="preserve"> because they are biased towards the returns </w:t>
            </w:r>
            <w:proofErr w:type="gramStart"/>
            <w:r>
              <w:rPr>
                <w:rFonts w:cstheme="minorHAnsi"/>
                <w:color w:val="2E2E2E"/>
                <w:sz w:val="16"/>
                <w:szCs w:val="16"/>
              </w:rPr>
              <w:t>In</w:t>
            </w:r>
            <w:proofErr w:type="gramEnd"/>
            <w:r>
              <w:rPr>
                <w:rFonts w:cstheme="minorHAnsi"/>
                <w:color w:val="2E2E2E"/>
                <w:sz w:val="16"/>
                <w:szCs w:val="16"/>
              </w:rPr>
              <w:t xml:space="preserve"> the present</w:t>
            </w:r>
            <w:r w:rsidRPr="000B7605">
              <w:rPr>
                <w:rFonts w:cstheme="minorHAnsi"/>
                <w:color w:val="2E2E2E"/>
                <w:sz w:val="16"/>
                <w:szCs w:val="16"/>
              </w:rPr>
              <w:t>.</w:t>
            </w:r>
            <w:r w:rsidRPr="00A378BB" w:rsidDel="00806E51">
              <w:rPr>
                <w:rFonts w:cstheme="minorHAnsi"/>
                <w:sz w:val="16"/>
                <w:szCs w:val="16"/>
              </w:rPr>
              <w:t xml:space="preserve"> </w:t>
            </w:r>
            <w:r w:rsidRPr="00A378BB">
              <w:rPr>
                <w:rFonts w:cstheme="minorHAnsi"/>
                <w:sz w:val="16"/>
                <w:szCs w:val="16"/>
              </w:rPr>
              <w:fldChar w:fldCharType="begin"/>
            </w:r>
            <w:r w:rsidR="00E24BC5">
              <w:rPr>
                <w:rFonts w:cstheme="minorHAnsi"/>
                <w:sz w:val="16"/>
                <w:szCs w:val="16"/>
              </w:rPr>
              <w:instrText xml:space="preserve"> ADDIN ZOTERO_ITEM CSL_CITATION {"citationID":"kQjqBJip","properties":{"formattedCitation":"[22]","plainCitation":"[22]","noteIndex":0},"citationItems":[{"id":256,"uris":["http://zotero.org/groups/2596527/items/H9X5VAT5"],"uri":["http://zotero.org/groups/2596527/items/H9X5VAT5"],"itemData":{"id":256,"type":"article-journal","abstract":"Optimal control theory has been extensively used to determine the optimal harvesting policy for renewable resources such as fish stocks. In such optimisations, it is common to maximise the discounted utility of harvesting over time, employing a constant time discount rate. However, evidence from human and animal behaviour suggests that we have evolved to employ discount rates which fall over time, often referred to as \"hyperbolic discounting\". This increases the weight on benefits in the distant future, which may appear to provide greater protection of resources for future generations, but also creates challenges of time-inconsistent plans. This paper examines harvesting plans when the discount rate declines over time. With a declining discount rate, the planner reduces stock levels in the early stages (when the discount rate is high) and intends to compensate by allowing the stock level to recover later (when the discount rate will be lower). Such a plan may be feasible and optimal, provided that the planner remains committed throughout. However, in practice there is a danger that such plans will be re-optimized and adjusted in the future. It is shown that repeatedly restarting the optimization can drive the stock level down to the point where the optimal policy is to harvest the stock to extinction. In short, a key contribution of this paper is to identify the surprising severity of the consequences flowing from incorporating a rather trivial, and widely prevalent, \"non-rational\" aspect of human behaviour into renewable resource management models. These ideas are related to the collapse of the Peruvian anchovy fishery in the 1970's.","container-title":"Journal of Theoretical Biology","DOI":"10.1016/j.jtbi.2010.10.002","ISSN":"1095-8541","issue":"1","journalAbbreviation":"J Theor Biol","language":"eng","note":"PMID: 20969881","page":"166-173","source":"PubMed","title":"Optimal harvesting of fish stocks under a time-varying discount rate","volume":"269","author":[{"family":"Duncan","given":"Stephen"},{"family":"Hepburn","given":"Cameron"},{"family":"Papachristodoulou","given":"Antonis"}],"issued":{"date-parts":[["2011",1,21]]}}}],"schema":"https://github.com/citation-style-language/schema/raw/master/csl-citation.json"} </w:instrText>
            </w:r>
            <w:r w:rsidRPr="00A378BB">
              <w:rPr>
                <w:rFonts w:cstheme="minorHAnsi"/>
                <w:sz w:val="16"/>
                <w:szCs w:val="16"/>
              </w:rPr>
              <w:fldChar w:fldCharType="separate"/>
            </w:r>
            <w:r w:rsidR="00E24BC5" w:rsidRPr="00E24BC5">
              <w:rPr>
                <w:rFonts w:ascii="Calibri" w:hAnsi="Calibri" w:cs="Calibri"/>
                <w:sz w:val="16"/>
              </w:rPr>
              <w:t>[22]</w:t>
            </w:r>
            <w:r w:rsidRPr="00A378BB">
              <w:rPr>
                <w:rFonts w:cstheme="minorHAnsi"/>
                <w:sz w:val="16"/>
                <w:szCs w:val="16"/>
              </w:rPr>
              <w:fldChar w:fldCharType="end"/>
            </w:r>
          </w:p>
        </w:tc>
      </w:tr>
      <w:tr w:rsidR="007C1761" w:rsidRPr="00A378BB" w14:paraId="3065A026" w14:textId="77777777" w:rsidTr="2BD12D09">
        <w:tc>
          <w:tcPr>
            <w:tcW w:w="2547" w:type="dxa"/>
            <w:vMerge/>
            <w:tcBorders>
              <w:left w:val="single" w:sz="4" w:space="0" w:color="auto"/>
              <w:bottom w:val="single" w:sz="4" w:space="0" w:color="auto"/>
              <w:right w:val="single" w:sz="4" w:space="0" w:color="auto"/>
            </w:tcBorders>
            <w:shd w:val="clear" w:color="auto" w:fill="FBE4D5" w:themeFill="accent2" w:themeFillTint="33"/>
          </w:tcPr>
          <w:p w14:paraId="46BC2FAE" w14:textId="77777777" w:rsidR="007C1761" w:rsidRPr="7DB20FEA" w:rsidRDefault="007C1761" w:rsidP="00567BBA">
            <w:pPr>
              <w:rPr>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7DFB42" w14:textId="77777777" w:rsidR="007C1761" w:rsidRPr="7DB20FEA" w:rsidRDefault="007C1761" w:rsidP="00567BBA">
            <w:pPr>
              <w:rPr>
                <w:b/>
                <w:bCs/>
                <w:sz w:val="16"/>
                <w:szCs w:val="16"/>
              </w:rPr>
            </w:pPr>
            <w:r w:rsidRPr="7DB20FEA">
              <w:rPr>
                <w:b/>
                <w:bCs/>
                <w:sz w:val="16"/>
                <w:szCs w:val="16"/>
              </w:rPr>
              <w:t>Hyperbolic discounting</w:t>
            </w:r>
          </w:p>
        </w:tc>
        <w:tc>
          <w:tcPr>
            <w:tcW w:w="453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CD823" w14:textId="7FE9513D" w:rsidR="007C1761" w:rsidRPr="007C1761" w:rsidRDefault="007C1761" w:rsidP="007C1761">
            <w:pPr>
              <w:rPr>
                <w:sz w:val="16"/>
                <w:szCs w:val="16"/>
              </w:rPr>
            </w:pPr>
            <w:r w:rsidRPr="007C1761">
              <w:rPr>
                <w:sz w:val="16"/>
                <w:szCs w:val="16"/>
              </w:rPr>
              <w:t>The tendency for people to increasingly choose a smaller</w:t>
            </w:r>
            <w:r w:rsidR="004221F4">
              <w:rPr>
                <w:sz w:val="16"/>
                <w:szCs w:val="16"/>
              </w:rPr>
              <w:t xml:space="preserve"> </w:t>
            </w:r>
            <w:r w:rsidRPr="007C1761">
              <w:rPr>
                <w:sz w:val="16"/>
                <w:szCs w:val="16"/>
              </w:rPr>
              <w:t>sooner reward over a larger-later reward as the delay occurs sooner rather than later in time [25].</w:t>
            </w:r>
          </w:p>
        </w:tc>
        <w:tc>
          <w:tcPr>
            <w:tcW w:w="488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C834B" w14:textId="77777777" w:rsidR="007C1761" w:rsidRPr="00A378BB" w:rsidRDefault="007C1761" w:rsidP="00567BBA">
            <w:pPr>
              <w:rPr>
                <w:rFonts w:cstheme="minorHAnsi"/>
                <w:sz w:val="16"/>
                <w:szCs w:val="16"/>
              </w:rPr>
            </w:pPr>
            <w:r>
              <w:rPr>
                <w:rFonts w:cstheme="minorHAnsi"/>
                <w:sz w:val="16"/>
                <w:szCs w:val="16"/>
              </w:rPr>
              <w:t>The same effect as above, but it becomes more extreme the further into the future the large benefit is (i.e.</w:t>
            </w:r>
            <w:r w:rsidR="004221F4">
              <w:rPr>
                <w:rFonts w:cstheme="minorHAnsi"/>
                <w:sz w:val="16"/>
                <w:szCs w:val="16"/>
              </w:rPr>
              <w:t>,</w:t>
            </w:r>
            <w:r>
              <w:rPr>
                <w:rFonts w:cstheme="minorHAnsi"/>
                <w:sz w:val="16"/>
                <w:szCs w:val="16"/>
              </w:rPr>
              <w:t xml:space="preserve"> it is easier to implement restrictions for the sake of a pay-off in five years than in fifty years).*</w:t>
            </w:r>
          </w:p>
        </w:tc>
      </w:tr>
      <w:tr w:rsidR="007C1761" w:rsidRPr="00A378BB" w14:paraId="0587A986" w14:textId="77777777" w:rsidTr="2BD12D09">
        <w:tc>
          <w:tcPr>
            <w:tcW w:w="254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BDABB8" w14:textId="77777777" w:rsidR="007C1761" w:rsidRPr="00A378BB" w:rsidRDefault="007C1761" w:rsidP="00567BBA">
            <w:pPr>
              <w:rPr>
                <w:rFonts w:cstheme="minorHAnsi"/>
                <w:b/>
                <w:bCs/>
                <w:sz w:val="16"/>
                <w:szCs w:val="16"/>
              </w:rPr>
            </w:pPr>
            <w:r w:rsidRPr="00A378BB">
              <w:rPr>
                <w:rFonts w:cstheme="minorHAnsi"/>
                <w:b/>
                <w:bCs/>
                <w:sz w:val="16"/>
                <w:szCs w:val="16"/>
              </w:rPr>
              <w:t>Social Norms</w:t>
            </w:r>
          </w:p>
          <w:p w14:paraId="56DA8C50" w14:textId="11456EAA" w:rsidR="007C1761" w:rsidRPr="00A378BB" w:rsidRDefault="007C1761" w:rsidP="00567BBA">
            <w:pPr>
              <w:rPr>
                <w:rFonts w:cstheme="minorHAnsi"/>
                <w:sz w:val="16"/>
                <w:szCs w:val="16"/>
              </w:rPr>
            </w:pPr>
            <w:r w:rsidRPr="00A378BB">
              <w:rPr>
                <w:rFonts w:cstheme="minorHAnsi"/>
                <w:sz w:val="16"/>
                <w:szCs w:val="16"/>
              </w:rPr>
              <w:t>Social norms signal appropriate behavio</w:t>
            </w:r>
            <w:r w:rsidR="004221F4">
              <w:rPr>
                <w:rFonts w:cstheme="minorHAnsi"/>
                <w:sz w:val="16"/>
                <w:szCs w:val="16"/>
              </w:rPr>
              <w:t>u</w:t>
            </w:r>
            <w:r w:rsidRPr="00A378BB">
              <w:rPr>
                <w:rFonts w:cstheme="minorHAnsi"/>
                <w:sz w:val="16"/>
                <w:szCs w:val="16"/>
              </w:rPr>
              <w:t>r and are classed as behavio</w:t>
            </w:r>
            <w:r w:rsidR="004221F4">
              <w:rPr>
                <w:rFonts w:cstheme="minorHAnsi"/>
                <w:sz w:val="16"/>
                <w:szCs w:val="16"/>
              </w:rPr>
              <w:t>u</w:t>
            </w:r>
            <w:r w:rsidRPr="00A378BB">
              <w:rPr>
                <w:rFonts w:cstheme="minorHAnsi"/>
                <w:sz w:val="16"/>
                <w:szCs w:val="16"/>
              </w:rPr>
              <w:t xml:space="preserve">ral expectations or rules within </w:t>
            </w:r>
            <w:r w:rsidR="004824C6">
              <w:rPr>
                <w:rFonts w:cstheme="minorHAnsi"/>
                <w:sz w:val="16"/>
                <w:szCs w:val="16"/>
              </w:rPr>
              <w:t xml:space="preserve">a group of people (Dolan et al. </w:t>
            </w:r>
            <w:r w:rsidR="004824C6">
              <w:rPr>
                <w:rFonts w:cstheme="minorHAnsi"/>
                <w:sz w:val="16"/>
                <w:szCs w:val="16"/>
              </w:rPr>
              <w:fldChar w:fldCharType="begin"/>
            </w:r>
            <w:r w:rsidR="004824C6">
              <w:rPr>
                <w:rFonts w:cstheme="minorHAnsi"/>
                <w:sz w:val="16"/>
                <w:szCs w:val="16"/>
              </w:rPr>
              <w:instrText xml:space="preserve"> ADDIN ZOTERO_ITEM CSL_CITATION {"citationID":"07Ic5ZEk","properties":{"formattedCitation":"[23]","plainCitation":"[23]","noteIndex":0},"citationItems":[{"id":624,"uris":["http://zotero.org/groups/2596527/items/FDEKERGS"],"uri":["http://zotero.org/groups/2596527/items/FDEKERGS"],"itemData":{"id":624,"type":"webpage","abstract":"New insights from science and behaviour change could lead to significantly improved outcomes, and at a lower cost, than the way many conventional policy tools are used. MINDSPACE explores how behaviour change theory can help meet current policy challenges, such as how to: * reduce crime * tackle obesity * ensure environmental sustainability. Today's policy makers are in the business of influencing behaviour - they need to understand the effects their policies may be having. The aim of MINDSPACE is to help them do this, and in doing so get better outcomes for the public and society.","genre":"Monograph","language":"eng","note":"number-of-pages: 96\npublisher-place: London, UK\npublisher: Institute of Government","title":"MINDSPACE: influencing behaviour for public policy","title-short":"MINDSPACE","URL":"http://www.instituteforgovernment.org.uk/publications/","author":[{"family":"Dolan","given":"Paul"},{"family":"Hallsworth","given":"Michael"},{"family":"Halpern","given":"David"},{"family":"King","given":"Dominic"},{"family":"Vlaev","given":"Ivo"}],"accessed":{"date-parts":[["2021",3,17]]},"issued":{"date-parts":[["2010"]]}}}],"schema":"https://github.com/citation-style-language/schema/raw/master/csl-citation.json"} </w:instrText>
            </w:r>
            <w:r w:rsidR="004824C6">
              <w:rPr>
                <w:rFonts w:cstheme="minorHAnsi"/>
                <w:sz w:val="16"/>
                <w:szCs w:val="16"/>
              </w:rPr>
              <w:fldChar w:fldCharType="separate"/>
            </w:r>
            <w:r w:rsidR="004824C6" w:rsidRPr="004824C6">
              <w:rPr>
                <w:rFonts w:ascii="Calibri" w:hAnsi="Calibri" w:cs="Calibri"/>
                <w:sz w:val="16"/>
              </w:rPr>
              <w:t>[23]</w:t>
            </w:r>
            <w:r w:rsidR="004824C6">
              <w:rPr>
                <w:rFonts w:cstheme="minorHAnsi"/>
                <w:sz w:val="16"/>
                <w:szCs w:val="16"/>
              </w:rPr>
              <w:fldChar w:fldCharType="end"/>
            </w:r>
            <w:r w:rsidRPr="00A378BB">
              <w:rPr>
                <w:rFonts w:cstheme="minorHAnsi"/>
                <w:sz w:val="16"/>
                <w:szCs w:val="16"/>
              </w:rPr>
              <w:t xml:space="preserve">) </w:t>
            </w:r>
            <w:r w:rsidR="004824C6">
              <w:rPr>
                <w:rFonts w:cstheme="minorHAnsi"/>
                <w:sz w:val="16"/>
                <w:szCs w:val="16"/>
              </w:rPr>
              <w:fldChar w:fldCharType="begin"/>
            </w:r>
            <w:r w:rsidR="004824C6">
              <w:rPr>
                <w:rFonts w:cstheme="minorHAnsi"/>
                <w:sz w:val="16"/>
                <w:szCs w:val="16"/>
              </w:rPr>
              <w:instrText xml:space="preserve"> ADDIN ZOTERO_ITEM CSL_CITATION {"citationID":"qKL84ivD","properties":{"formattedCitation":"[12]","plainCitation":"[12]","noteIndex":0},"citationItems":[{"id":608,"uris":["http://zotero.org/groups/2596527/items/5VV49CGI"],"uri":["http://zotero.org/groups/2596527/items/5VV49CGI"],"itemData":{"id":608,"type":"article","title":"www.behavioraleconomics.com"}}],"schema":"https://github.com/citation-style-language/schema/raw/master/csl-citation.json"} </w:instrText>
            </w:r>
            <w:r w:rsidR="004824C6">
              <w:rPr>
                <w:rFonts w:cstheme="minorHAnsi"/>
                <w:sz w:val="16"/>
                <w:szCs w:val="16"/>
              </w:rPr>
              <w:fldChar w:fldCharType="separate"/>
            </w:r>
            <w:r w:rsidR="004824C6" w:rsidRPr="004824C6">
              <w:rPr>
                <w:rFonts w:ascii="Calibri" w:hAnsi="Calibri" w:cs="Calibri"/>
                <w:sz w:val="16"/>
              </w:rPr>
              <w:t>[12]</w:t>
            </w:r>
            <w:r w:rsidR="004824C6">
              <w:rPr>
                <w:rFonts w:cstheme="minorHAnsi"/>
                <w:sz w:val="16"/>
                <w:szCs w:val="16"/>
              </w:rPr>
              <w:fldChar w:fldCharType="end"/>
            </w:r>
            <w:r w:rsidR="004824C6">
              <w:rPr>
                <w:rFonts w:cstheme="minorHAnsi"/>
                <w:sz w:val="16"/>
                <w:szCs w:val="16"/>
              </w:rPr>
              <w:t>.</w:t>
            </w:r>
          </w:p>
          <w:p w14:paraId="1945CE07" w14:textId="77777777" w:rsidR="007C1761" w:rsidRPr="5030E97A"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FDAAC7" w14:textId="4DAD2398" w:rsidR="007C1761" w:rsidRPr="00A378BB" w:rsidRDefault="007C1761" w:rsidP="00FD1B20">
            <w:pPr>
              <w:rPr>
                <w:rFonts w:eastAsiaTheme="minorEastAsia"/>
                <w:b/>
                <w:bCs/>
                <w:sz w:val="16"/>
                <w:szCs w:val="16"/>
              </w:rPr>
            </w:pPr>
            <w:r w:rsidRPr="5030E97A">
              <w:rPr>
                <w:rFonts w:eastAsiaTheme="minorEastAsia"/>
                <w:b/>
                <w:bCs/>
                <w:sz w:val="16"/>
                <w:szCs w:val="16"/>
              </w:rPr>
              <w:t>Injunctive</w:t>
            </w:r>
            <w:r w:rsidR="004221F4">
              <w:rPr>
                <w:rFonts w:eastAsiaTheme="minorEastAsia"/>
                <w:b/>
                <w:bCs/>
                <w:sz w:val="16"/>
                <w:szCs w:val="16"/>
              </w:rPr>
              <w:t xml:space="preserve"> </w:t>
            </w:r>
            <w:r w:rsidR="004824C6">
              <w:rPr>
                <w:rFonts w:eastAsiaTheme="minorEastAsia"/>
                <w:b/>
                <w:bCs/>
                <w:sz w:val="16"/>
                <w:szCs w:val="16"/>
              </w:rPr>
              <w:t>/</w:t>
            </w:r>
            <w:r w:rsidR="00FD1B20">
              <w:rPr>
                <w:rFonts w:eastAsiaTheme="minorEastAsia"/>
                <w:b/>
                <w:bCs/>
                <w:sz w:val="16"/>
                <w:szCs w:val="16"/>
              </w:rPr>
              <w:t xml:space="preserve"> S</w:t>
            </w:r>
            <w:r w:rsidRPr="5030E97A">
              <w:rPr>
                <w:rFonts w:eastAsiaTheme="minorEastAsia"/>
                <w:b/>
                <w:bCs/>
                <w:sz w:val="16"/>
                <w:szCs w:val="16"/>
              </w:rPr>
              <w:t xml:space="preserve">ocial norms / </w:t>
            </w:r>
            <w:r w:rsidR="00FD1B20">
              <w:rPr>
                <w:rFonts w:eastAsiaTheme="minorEastAsia"/>
                <w:b/>
                <w:bCs/>
                <w:sz w:val="16"/>
                <w:szCs w:val="16"/>
              </w:rPr>
              <w:t>S</w:t>
            </w:r>
            <w:r w:rsidRPr="5030E97A">
              <w:rPr>
                <w:rFonts w:eastAsiaTheme="minorEastAsia"/>
                <w:b/>
                <w:bCs/>
                <w:sz w:val="16"/>
                <w:szCs w:val="16"/>
              </w:rPr>
              <w:t>ocial license to operate</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8D4BAB" w14:textId="77777777" w:rsidR="007C1761" w:rsidRPr="00A378BB" w:rsidRDefault="007C1761" w:rsidP="00567BBA">
            <w:pPr>
              <w:rPr>
                <w:rFonts w:eastAsiaTheme="minorEastAsia"/>
                <w:sz w:val="16"/>
                <w:szCs w:val="16"/>
              </w:rPr>
            </w:pPr>
            <w:r>
              <w:rPr>
                <w:rFonts w:eastAsiaTheme="minorEastAsia"/>
                <w:sz w:val="16"/>
                <w:szCs w:val="16"/>
              </w:rPr>
              <w:t>The tendency</w:t>
            </w:r>
            <w:r w:rsidRPr="5AF69A88">
              <w:rPr>
                <w:rFonts w:eastAsiaTheme="minorEastAsia"/>
                <w:sz w:val="16"/>
                <w:szCs w:val="16"/>
              </w:rPr>
              <w:t xml:space="preserve"> to want to comply with social norms. One can influence behavio</w:t>
            </w:r>
            <w:r w:rsidR="008F690F">
              <w:rPr>
                <w:rFonts w:eastAsiaTheme="minorEastAsia"/>
                <w:sz w:val="16"/>
                <w:szCs w:val="16"/>
              </w:rPr>
              <w:t>u</w:t>
            </w:r>
            <w:r w:rsidRPr="5AF69A88">
              <w:rPr>
                <w:rFonts w:eastAsiaTheme="minorEastAsia"/>
                <w:sz w:val="16"/>
                <w:szCs w:val="16"/>
              </w:rPr>
              <w:t>r by emphasizing injunctive social norms</w:t>
            </w:r>
            <w:r w:rsidRPr="5AF69A88">
              <w:rPr>
                <w:rFonts w:eastAsiaTheme="minorEastAsia"/>
                <w:color w:val="000000" w:themeColor="text1"/>
                <w:sz w:val="16"/>
                <w:szCs w:val="16"/>
              </w:rPr>
              <w:t>: (</w:t>
            </w:r>
            <w:r>
              <w:rPr>
                <w:rFonts w:eastAsiaTheme="minorEastAsia"/>
                <w:color w:val="000000" w:themeColor="text1"/>
                <w:sz w:val="16"/>
                <w:szCs w:val="16"/>
              </w:rPr>
              <w:t>i</w:t>
            </w:r>
            <w:r w:rsidRPr="5AF69A88">
              <w:rPr>
                <w:rFonts w:eastAsiaTheme="minorEastAsia"/>
                <w:color w:val="000000" w:themeColor="text1"/>
                <w:sz w:val="16"/>
                <w:szCs w:val="16"/>
              </w:rPr>
              <w:t>.e., how one should behave)</w:t>
            </w:r>
            <w:r w:rsidR="004221F4">
              <w:rPr>
                <w:rFonts w:eastAsiaTheme="minorEastAsia"/>
                <w:color w:val="000000" w:themeColor="text1"/>
                <w:sz w:val="16"/>
                <w:szCs w:val="16"/>
              </w:rPr>
              <w:t>.</w:t>
            </w:r>
            <w:r w:rsidRPr="5AF69A88">
              <w:rPr>
                <w:rFonts w:eastAsiaTheme="minorEastAsia"/>
                <w:color w:val="000000" w:themeColor="text1"/>
                <w:sz w:val="16"/>
                <w:szCs w:val="16"/>
              </w:rPr>
              <w:t xml:space="preserve"> </w:t>
            </w:r>
          </w:p>
          <w:p w14:paraId="3A9C9B84" w14:textId="77777777" w:rsidR="007C1761" w:rsidRPr="00A378BB" w:rsidRDefault="007C1761" w:rsidP="00567BBA">
            <w:pPr>
              <w:rPr>
                <w:rFonts w:eastAsiaTheme="minorEastAsia"/>
                <w:sz w:val="16"/>
                <w:szCs w:val="16"/>
              </w:rPr>
            </w:pP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06D9DE" w14:textId="77777777" w:rsidR="007C1761" w:rsidRDefault="007C1761" w:rsidP="00567BBA">
            <w:pPr>
              <w:rPr>
                <w:rFonts w:eastAsiaTheme="minorEastAsia"/>
                <w:sz w:val="16"/>
                <w:szCs w:val="16"/>
              </w:rPr>
            </w:pPr>
            <w:r>
              <w:rPr>
                <w:rFonts w:eastAsiaTheme="minorEastAsia"/>
                <w:sz w:val="16"/>
                <w:szCs w:val="16"/>
              </w:rPr>
              <w:t xml:space="preserve">A poster campaign that states </w:t>
            </w:r>
            <w:r w:rsidRPr="5030E97A">
              <w:rPr>
                <w:rFonts w:eastAsiaTheme="minorEastAsia"/>
                <w:sz w:val="16"/>
                <w:szCs w:val="16"/>
              </w:rPr>
              <w:t>‘a real fisherman releases sharks immediately</w:t>
            </w:r>
            <w:proofErr w:type="gramStart"/>
            <w:r w:rsidRPr="5030E97A">
              <w:rPr>
                <w:rFonts w:eastAsiaTheme="minorEastAsia"/>
                <w:sz w:val="16"/>
                <w:szCs w:val="16"/>
              </w:rPr>
              <w:t>’</w:t>
            </w:r>
            <w:r>
              <w:rPr>
                <w:rFonts w:eastAsiaTheme="minorEastAsia"/>
                <w:sz w:val="16"/>
                <w:szCs w:val="16"/>
              </w:rPr>
              <w:t>.*</w:t>
            </w:r>
            <w:proofErr w:type="gramEnd"/>
          </w:p>
          <w:p w14:paraId="12E0D4FF" w14:textId="3E5573ED" w:rsidR="007C1761" w:rsidRDefault="007C1761" w:rsidP="00567BBA">
            <w:pPr>
              <w:rPr>
                <w:rFonts w:eastAsiaTheme="minorEastAsia"/>
                <w:sz w:val="16"/>
                <w:szCs w:val="16"/>
              </w:rPr>
            </w:pPr>
            <w:r w:rsidRPr="590D11F9">
              <w:rPr>
                <w:rFonts w:eastAsiaTheme="minorEastAsia"/>
                <w:sz w:val="16"/>
                <w:szCs w:val="16"/>
              </w:rPr>
              <w:t>MSC Certification sets standard for socially acceptable fishing and gives those who have the label</w:t>
            </w:r>
            <w:r>
              <w:rPr>
                <w:rFonts w:eastAsiaTheme="minorEastAsia"/>
                <w:sz w:val="16"/>
                <w:szCs w:val="16"/>
              </w:rPr>
              <w:t xml:space="preserve"> have been given a so-called ‘social license to operate’ </w:t>
            </w:r>
            <w:r>
              <w:rPr>
                <w:rFonts w:eastAsiaTheme="minorEastAsia"/>
                <w:sz w:val="16"/>
                <w:szCs w:val="16"/>
              </w:rPr>
              <w:fldChar w:fldCharType="begin"/>
            </w:r>
            <w:r w:rsidR="004824C6">
              <w:rPr>
                <w:rFonts w:eastAsiaTheme="minorEastAsia"/>
                <w:sz w:val="16"/>
                <w:szCs w:val="16"/>
              </w:rPr>
              <w:instrText xml:space="preserve"> ADDIN ZOTERO_ITEM CSL_CITATION {"citationID":"mZDsvjd1","properties":{"formattedCitation":"[24]","plainCitation":"[24]","noteIndex":0},"citationItems":[{"id":447,"uris":["http://zotero.org/groups/2596527/items/8PUT9VWA"],"uri":["http://zotero.org/groups/2596527/items/8PUT9VWA"],"itemData":{"id":447,"type":"article-journal","abstract":"Alongside government driven management initiatives to achieve sustainable fisheries management, there remains a role for market-based mechanisms to improve fisheries outcomes. Market-based mechanisms are intended to create positive economic incentives that improve the status and management of fisheries. Research to understand consumer demand for certified fish is central but needs to be mirrored by supply side understanding including why fisheries decide to gain or retain certification and the impact of certification on them and other stakeholders involved. We apply semi-structured interviews in seven different Marine Stewardship Council (MSC) certified fisheries that operate in (or from) Western Australia with the aim of better understanding fisheries sector participation in certification schemes (the supply side) and the impacts and unintended benefits and costs of certification. We find that any positive economic impacts of certification were only realised in a limited number of MSC fisheries in Western Australia, which may be explained by the fact that only a small proportion of Western Australian state-managed fisheries are sold with the MSC label and ex-vessel or consumer market price premiums are therefore mostly not obtained. Positive impacts of certification in these Western Australian fisheries are more of a social and institutional nature, for example, greater social acceptability and increased efficiency in the governance process respectively. However, opinion is divided on whether the combined non-monetary and monetary benefits outweigh the costs.","container-title":"PLOS ONE","DOI":"10.1371/journal.pone.0233237","ISSN":"1932-6203","issue":"5","journalAbbreviation":"PLOS ONE","language":"en","note":"publisher: Public Library of Science","page":"e0233237","source":"PLoS Journals","title":"Shifting focus: The impacts of sustainable seafood certification","title-short":"Shifting focus","volume":"15","author":[{"family":"Putten","given":"Ingrid","dropping-particle":"van"},{"family":"Longo","given":"Catherine"},{"family":"Arton","given":"Ashleigh"},{"family":"Watson","given":"Matt"},{"family":"Anderson","given":"Christopher M."},{"family":"Himes-Cornell","given":"Amber"},{"family":"Obregón","given":"Clara"},{"family":"Robinson","given":"Lucy"},{"family":"Steveninck","given":"Tatiana","dropping-particle":"van"}],"issued":{"date-parts":[["2020",5,20]]}}}],"schema":"https://github.com/citation-style-language/schema/raw/master/csl-citation.json"} </w:instrText>
            </w:r>
            <w:r>
              <w:rPr>
                <w:rFonts w:eastAsiaTheme="minorEastAsia"/>
                <w:sz w:val="16"/>
                <w:szCs w:val="16"/>
              </w:rPr>
              <w:fldChar w:fldCharType="separate"/>
            </w:r>
            <w:r w:rsidR="004824C6" w:rsidRPr="004824C6">
              <w:rPr>
                <w:rFonts w:ascii="Calibri" w:hAnsi="Calibri" w:cs="Calibri"/>
                <w:sz w:val="16"/>
              </w:rPr>
              <w:t>[24]</w:t>
            </w:r>
            <w:r>
              <w:rPr>
                <w:rFonts w:eastAsiaTheme="minorEastAsia"/>
                <w:sz w:val="16"/>
                <w:szCs w:val="16"/>
              </w:rPr>
              <w:fldChar w:fldCharType="end"/>
            </w:r>
            <w:r>
              <w:rPr>
                <w:rFonts w:eastAsiaTheme="minorEastAsia"/>
                <w:sz w:val="16"/>
                <w:szCs w:val="16"/>
              </w:rPr>
              <w:t>.</w:t>
            </w:r>
          </w:p>
          <w:p w14:paraId="5657E8B7" w14:textId="77777777" w:rsidR="007C1761" w:rsidRPr="00A378BB" w:rsidRDefault="007C1761" w:rsidP="00567BBA">
            <w:pPr>
              <w:rPr>
                <w:rFonts w:eastAsiaTheme="minorEastAsia"/>
                <w:sz w:val="16"/>
                <w:szCs w:val="16"/>
              </w:rPr>
            </w:pPr>
          </w:p>
        </w:tc>
      </w:tr>
      <w:tr w:rsidR="007C1761" w:rsidRPr="00A378BB" w14:paraId="28B90653" w14:textId="77777777" w:rsidTr="2BD12D09">
        <w:tc>
          <w:tcPr>
            <w:tcW w:w="2547" w:type="dxa"/>
            <w:vMerge/>
            <w:tcBorders>
              <w:left w:val="single" w:sz="4" w:space="0" w:color="auto"/>
              <w:right w:val="single" w:sz="4" w:space="0" w:color="auto"/>
            </w:tcBorders>
            <w:shd w:val="clear" w:color="auto" w:fill="E2EFD9" w:themeFill="accent6" w:themeFillTint="33"/>
          </w:tcPr>
          <w:p w14:paraId="407F2284" w14:textId="77777777" w:rsidR="007C1761" w:rsidRPr="00A378BB" w:rsidRDefault="007C1761" w:rsidP="00567BBA">
            <w:pPr>
              <w:rPr>
                <w:rFonts w:cstheme="minorHAnsi"/>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5BFB91" w14:textId="77777777" w:rsidR="007C1761" w:rsidRPr="00A378BB" w:rsidRDefault="007C1761" w:rsidP="00567BBA">
            <w:pPr>
              <w:rPr>
                <w:b/>
                <w:sz w:val="16"/>
                <w:szCs w:val="16"/>
              </w:rPr>
            </w:pPr>
            <w:r w:rsidRPr="0C326D27">
              <w:rPr>
                <w:b/>
                <w:sz w:val="16"/>
                <w:szCs w:val="16"/>
              </w:rPr>
              <w:t>Descriptive norms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CECCCF" w14:textId="77777777" w:rsidR="007C1761" w:rsidRPr="00A378BB" w:rsidRDefault="007C1761" w:rsidP="00567BBA">
            <w:pPr>
              <w:rPr>
                <w:sz w:val="16"/>
                <w:szCs w:val="16"/>
              </w:rPr>
            </w:pPr>
            <w:r w:rsidRPr="007C1761">
              <w:rPr>
                <w:sz w:val="16"/>
                <w:szCs w:val="16"/>
              </w:rPr>
              <w:t>The tendency to want to comply with social norms. One can influence behavio</w:t>
            </w:r>
            <w:r w:rsidR="008F690F">
              <w:rPr>
                <w:sz w:val="16"/>
                <w:szCs w:val="16"/>
              </w:rPr>
              <w:t>u</w:t>
            </w:r>
            <w:r w:rsidRPr="007C1761">
              <w:rPr>
                <w:sz w:val="16"/>
                <w:szCs w:val="16"/>
              </w:rPr>
              <w:t xml:space="preserve">r by </w:t>
            </w:r>
            <w:r w:rsidRPr="5AF69A88">
              <w:rPr>
                <w:sz w:val="16"/>
                <w:szCs w:val="16"/>
              </w:rPr>
              <w:t>invoking descriptive social norms</w:t>
            </w:r>
            <w:r w:rsidRPr="5AF69A88">
              <w:rPr>
                <w:color w:val="000000" w:themeColor="text1"/>
                <w:sz w:val="16"/>
                <w:szCs w:val="16"/>
              </w:rPr>
              <w:t xml:space="preserve"> (</w:t>
            </w:r>
            <w:r>
              <w:rPr>
                <w:color w:val="000000" w:themeColor="text1"/>
                <w:sz w:val="16"/>
                <w:szCs w:val="16"/>
              </w:rPr>
              <w:t>i</w:t>
            </w:r>
            <w:r w:rsidRPr="5AF69A88">
              <w:rPr>
                <w:color w:val="000000" w:themeColor="text1"/>
                <w:sz w:val="16"/>
                <w:szCs w:val="16"/>
              </w:rPr>
              <w:t>.e., how the majority behaves)</w:t>
            </w:r>
            <w:r w:rsidR="004221F4">
              <w:rPr>
                <w:color w:val="000000" w:themeColor="text1"/>
                <w:sz w:val="16"/>
                <w:szCs w:val="16"/>
              </w:rPr>
              <w:t>.</w:t>
            </w:r>
          </w:p>
          <w:p w14:paraId="3793E097" w14:textId="77777777" w:rsidR="007C1761" w:rsidRPr="00A378BB" w:rsidRDefault="007C1761" w:rsidP="00567BBA">
            <w:pPr>
              <w:rPr>
                <w:rFonts w:cstheme="minorHAnsi"/>
                <w:color w:val="020202"/>
                <w:sz w:val="16"/>
                <w:szCs w:val="16"/>
                <w:shd w:val="clear" w:color="auto" w:fill="FFFFFF"/>
              </w:rPr>
            </w:pP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BCDF5" w14:textId="2E43BC1B" w:rsidR="007C1761" w:rsidRPr="00A378BB" w:rsidRDefault="007C1761" w:rsidP="00567BBA">
            <w:pPr>
              <w:rPr>
                <w:sz w:val="16"/>
                <w:szCs w:val="16"/>
              </w:rPr>
            </w:pPr>
            <w:r>
              <w:rPr>
                <w:sz w:val="16"/>
                <w:szCs w:val="16"/>
              </w:rPr>
              <w:t xml:space="preserve">A poster campaign that states </w:t>
            </w:r>
            <w:r w:rsidRPr="7DB20FEA">
              <w:rPr>
                <w:sz w:val="16"/>
                <w:szCs w:val="16"/>
              </w:rPr>
              <w:t>‘most fisherman choose to release sharks immediately, before processing their catch’’</w:t>
            </w:r>
            <w:r>
              <w:rPr>
                <w:sz w:val="16"/>
                <w:szCs w:val="16"/>
              </w:rPr>
              <w:t>*</w:t>
            </w:r>
            <w:r>
              <w:br/>
            </w:r>
            <w:r w:rsidRPr="7DB20FEA">
              <w:rPr>
                <w:rFonts w:eastAsiaTheme="minorEastAsia"/>
                <w:sz w:val="16"/>
                <w:szCs w:val="16"/>
              </w:rPr>
              <w:t>Mackay et al. (2019)</w:t>
            </w:r>
            <w:r w:rsidR="00B40FD4">
              <w:rPr>
                <w:rFonts w:eastAsiaTheme="minorEastAsia"/>
                <w:sz w:val="16"/>
                <w:szCs w:val="16"/>
              </w:rPr>
              <w:t>, in a laboratory experiment,</w:t>
            </w:r>
            <w:r w:rsidRPr="7DB20FEA">
              <w:rPr>
                <w:rFonts w:eastAsiaTheme="minorEastAsia"/>
                <w:sz w:val="16"/>
                <w:szCs w:val="16"/>
              </w:rPr>
              <w:t xml:space="preserve"> </w:t>
            </w:r>
            <w:r w:rsidR="00B40FD4">
              <w:rPr>
                <w:rFonts w:eastAsiaTheme="minorEastAsia"/>
                <w:sz w:val="16"/>
                <w:szCs w:val="16"/>
              </w:rPr>
              <w:t xml:space="preserve">successfully </w:t>
            </w:r>
            <w:r w:rsidRPr="7DB20FEA">
              <w:rPr>
                <w:rFonts w:eastAsiaTheme="minorEastAsia"/>
                <w:sz w:val="16"/>
                <w:szCs w:val="16"/>
              </w:rPr>
              <w:t>use</w:t>
            </w:r>
            <w:r w:rsidR="00B40FD4">
              <w:rPr>
                <w:rFonts w:eastAsiaTheme="minorEastAsia"/>
                <w:sz w:val="16"/>
                <w:szCs w:val="16"/>
              </w:rPr>
              <w:t>d</w:t>
            </w:r>
            <w:r w:rsidRPr="7DB20FEA">
              <w:rPr>
                <w:rFonts w:eastAsiaTheme="minorEastAsia"/>
                <w:sz w:val="16"/>
                <w:szCs w:val="16"/>
              </w:rPr>
              <w:t xml:space="preserve"> </w:t>
            </w:r>
            <w:r w:rsidR="00B40FD4">
              <w:rPr>
                <w:rFonts w:eastAsiaTheme="minorEastAsia"/>
                <w:sz w:val="16"/>
                <w:szCs w:val="16"/>
              </w:rPr>
              <w:t xml:space="preserve">a </w:t>
            </w:r>
            <w:r w:rsidRPr="7DB20FEA">
              <w:rPr>
                <w:rFonts w:eastAsiaTheme="minorEastAsia"/>
                <w:sz w:val="16"/>
                <w:szCs w:val="16"/>
              </w:rPr>
              <w:t xml:space="preserve">descriptive social norm to nudge recreational fishers to stick to bag limit. </w:t>
            </w:r>
            <w:r w:rsidRPr="7DB20FEA">
              <w:rPr>
                <w:sz w:val="16"/>
                <w:szCs w:val="16"/>
              </w:rPr>
              <w:fldChar w:fldCharType="begin"/>
            </w:r>
            <w:r w:rsidR="004824C6">
              <w:rPr>
                <w:sz w:val="16"/>
                <w:szCs w:val="16"/>
              </w:rPr>
              <w:instrText xml:space="preserve"> ADDIN ZOTERO_ITEM CSL_CITATION {"citationID":"UmtU9iN1","properties":{"formattedCitation":"[25]","plainCitation":"[25]","noteIndex":0},"citationItems":[{"id":235,"uris":["http://zotero.org/groups/2596527/items/DYIFJG4E"],"uri":["http://zotero.org/groups/2596527/items/DYIFJG4E"],"itemData":{"id":235,"type":"article-journal","abstract":"Non-compliance is a tenacious problem in recreational fisheries management, posing a risk to marine conservation and socio-ecological systems by, for example, undermining management efforts and creating conflict between resource user groups. In fisheries management, deterrence-based approaches have traditionally been used to tackle non-compliance. However, enforcement is often limited in recreational fisheries and an alternative approach is needed to improve compliance. In this paper, we explore the lessons from behavioural economics and apply nudge theory as the basis of alternative management approaches. Nudge theory argues that through positive reinforcement or indirect suggestion, voluntary compliance can be achieved. We test the influence of a nudge, based on a descriptive social norm, through an economic laboratory experiment in a recreational fisheries context. Our results show that the presence of this nudge can increase compliance behaviour by 10%. We find that a nudge was more effective when deterrence is low, but its effects become weaker when deterrence is already high. We also find heterogeneity across individual’s responses to the nudge and risk preferences significantly related to compliance behaviour. Nudges based on social norms have the potential to complement traditional deterrence methods and could prove successful as a cost-effective compliance tool in the marine environment.","DOI":"10.1093/ICESJMS/FSZ020","source":"Semantic Scholar","title":"The influence of nudges on compliance behaviour in recreational fisheries: a laboratory experiment","title-short":"The influence of nudges on compliance behaviour in recreational fisheries","author":[{"family":"Mackay","given":"Mary"},{"family":"Yamazaki","given":"S."},{"family":"Jennings","given":"Sarah"},{"family":"Sibly","given":"Hugh"},{"family":"Putten","given":"I."},{"family":"Putten","given":"I."},{"family":"Emery","given":"Timothy M. J."}],"issued":{"date-parts":[["2019"]]}}}],"schema":"https://github.com/citation-style-language/schema/raw/master/csl-citation.json"} </w:instrText>
            </w:r>
            <w:r w:rsidRPr="7DB20FEA">
              <w:rPr>
                <w:sz w:val="16"/>
                <w:szCs w:val="16"/>
              </w:rPr>
              <w:fldChar w:fldCharType="separate"/>
            </w:r>
            <w:r w:rsidR="004824C6" w:rsidRPr="004824C6">
              <w:rPr>
                <w:rFonts w:ascii="Calibri" w:hAnsi="Calibri" w:cs="Calibri"/>
                <w:sz w:val="16"/>
              </w:rPr>
              <w:t>[25]</w:t>
            </w:r>
            <w:r w:rsidRPr="7DB20FEA">
              <w:rPr>
                <w:sz w:val="16"/>
                <w:szCs w:val="16"/>
              </w:rPr>
              <w:fldChar w:fldCharType="end"/>
            </w:r>
          </w:p>
        </w:tc>
      </w:tr>
      <w:tr w:rsidR="007C1761" w14:paraId="31EE695F" w14:textId="77777777" w:rsidTr="2BD12D09">
        <w:tc>
          <w:tcPr>
            <w:tcW w:w="2547" w:type="dxa"/>
            <w:vMerge/>
            <w:tcBorders>
              <w:left w:val="single" w:sz="4" w:space="0" w:color="auto"/>
              <w:right w:val="single" w:sz="4" w:space="0" w:color="auto"/>
            </w:tcBorders>
            <w:shd w:val="clear" w:color="auto" w:fill="E2EFD9" w:themeFill="accent6" w:themeFillTint="33"/>
          </w:tcPr>
          <w:p w14:paraId="5D345B38" w14:textId="77777777" w:rsidR="007C1761" w:rsidRPr="15539932"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C4E9B" w14:textId="77777777" w:rsidR="007C1761" w:rsidRDefault="007C1761" w:rsidP="00567BBA">
            <w:pPr>
              <w:rPr>
                <w:rFonts w:eastAsiaTheme="minorEastAsia"/>
                <w:b/>
                <w:bCs/>
                <w:sz w:val="16"/>
                <w:szCs w:val="16"/>
              </w:rPr>
            </w:pPr>
            <w:r w:rsidRPr="15539932">
              <w:rPr>
                <w:rFonts w:eastAsiaTheme="minorEastAsia"/>
                <w:b/>
                <w:bCs/>
                <w:sz w:val="16"/>
                <w:szCs w:val="16"/>
              </w:rPr>
              <w:t>Bandwagon effect</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80734A" w14:textId="77777777" w:rsidR="007C1761" w:rsidRDefault="007C1761" w:rsidP="00567BBA">
            <w:pPr>
              <w:rPr>
                <w:sz w:val="16"/>
                <w:szCs w:val="16"/>
              </w:rPr>
            </w:pPr>
            <w:r>
              <w:rPr>
                <w:sz w:val="16"/>
                <w:szCs w:val="16"/>
              </w:rPr>
              <w:t>The tendency for the u</w:t>
            </w:r>
            <w:r w:rsidRPr="15539932">
              <w:rPr>
                <w:sz w:val="16"/>
                <w:szCs w:val="16"/>
              </w:rPr>
              <w:t xml:space="preserve">ptake of beliefs and ideas </w:t>
            </w:r>
            <w:r>
              <w:rPr>
                <w:sz w:val="16"/>
                <w:szCs w:val="16"/>
              </w:rPr>
              <w:t>to increase</w:t>
            </w:r>
            <w:r w:rsidRPr="15539932">
              <w:rPr>
                <w:sz w:val="16"/>
                <w:szCs w:val="16"/>
              </w:rPr>
              <w:t xml:space="preserve"> the more that they have already been adopted by others.</w:t>
            </w: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D3B5B4" w14:textId="5F055397" w:rsidR="007C1761" w:rsidRDefault="007C1761">
            <w:pPr>
              <w:rPr>
                <w:rFonts w:eastAsiaTheme="minorEastAsia"/>
                <w:color w:val="000000" w:themeColor="text1"/>
                <w:sz w:val="16"/>
                <w:szCs w:val="16"/>
              </w:rPr>
            </w:pPr>
            <w:r>
              <w:rPr>
                <w:rFonts w:eastAsiaTheme="minorEastAsia"/>
                <w:color w:val="000000" w:themeColor="text1"/>
                <w:sz w:val="16"/>
                <w:szCs w:val="16"/>
              </w:rPr>
              <w:t xml:space="preserve">The idea of critical mass in a transition (for better or for worse outcomes). E.g., </w:t>
            </w:r>
            <w:r w:rsidRPr="590D11F9">
              <w:rPr>
                <w:rFonts w:eastAsiaTheme="minorEastAsia"/>
                <w:color w:val="000000" w:themeColor="text1"/>
                <w:sz w:val="16"/>
                <w:szCs w:val="16"/>
              </w:rPr>
              <w:t xml:space="preserve">“Everybody else is using beam trawls so we </w:t>
            </w:r>
            <w:r w:rsidR="00B40FD4">
              <w:rPr>
                <w:rFonts w:eastAsiaTheme="minorEastAsia"/>
                <w:color w:val="000000" w:themeColor="text1"/>
                <w:sz w:val="16"/>
                <w:szCs w:val="16"/>
              </w:rPr>
              <w:t>should switch,</w:t>
            </w:r>
            <w:r w:rsidR="00B40FD4" w:rsidRPr="590D11F9">
              <w:rPr>
                <w:rFonts w:eastAsiaTheme="minorEastAsia"/>
                <w:color w:val="000000" w:themeColor="text1"/>
                <w:sz w:val="16"/>
                <w:szCs w:val="16"/>
              </w:rPr>
              <w:t xml:space="preserve"> </w:t>
            </w:r>
            <w:r w:rsidRPr="590D11F9">
              <w:rPr>
                <w:rFonts w:eastAsiaTheme="minorEastAsia"/>
                <w:color w:val="000000" w:themeColor="text1"/>
                <w:sz w:val="16"/>
                <w:szCs w:val="16"/>
              </w:rPr>
              <w:t>too.”</w:t>
            </w:r>
            <w:r>
              <w:rPr>
                <w:rFonts w:eastAsiaTheme="minorEastAsia"/>
                <w:color w:val="000000" w:themeColor="text1"/>
                <w:sz w:val="16"/>
                <w:szCs w:val="16"/>
              </w:rPr>
              <w:t>*</w:t>
            </w:r>
          </w:p>
        </w:tc>
      </w:tr>
      <w:tr w:rsidR="007C1761" w14:paraId="5BBB6003" w14:textId="77777777" w:rsidTr="2BD12D09">
        <w:tc>
          <w:tcPr>
            <w:tcW w:w="2547" w:type="dxa"/>
            <w:vMerge/>
            <w:tcBorders>
              <w:left w:val="single" w:sz="4" w:space="0" w:color="auto"/>
              <w:right w:val="single" w:sz="4" w:space="0" w:color="auto"/>
            </w:tcBorders>
            <w:shd w:val="clear" w:color="auto" w:fill="E2EFD9" w:themeFill="accent6" w:themeFillTint="33"/>
          </w:tcPr>
          <w:p w14:paraId="224D3716"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6FBBF" w14:textId="77777777" w:rsidR="007C1761" w:rsidRDefault="007C1761" w:rsidP="00567BBA">
            <w:pPr>
              <w:rPr>
                <w:rFonts w:eastAsiaTheme="minorEastAsia"/>
                <w:b/>
                <w:bCs/>
                <w:sz w:val="16"/>
                <w:szCs w:val="16"/>
              </w:rPr>
            </w:pPr>
            <w:r w:rsidRPr="590D11F9">
              <w:rPr>
                <w:rFonts w:eastAsiaTheme="minorEastAsia"/>
                <w:b/>
                <w:bCs/>
                <w:sz w:val="16"/>
                <w:szCs w:val="16"/>
              </w:rPr>
              <w:t>Blind spot bias</w:t>
            </w:r>
          </w:p>
          <w:p w14:paraId="49347D11" w14:textId="77777777" w:rsidR="007C1761" w:rsidRDefault="007C1761" w:rsidP="00567BBA">
            <w:pPr>
              <w:rPr>
                <w:rFonts w:eastAsiaTheme="minorEastAsia"/>
                <w:b/>
                <w:bCs/>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AED53B" w14:textId="77777777" w:rsidR="007C1761" w:rsidRDefault="007C1761" w:rsidP="00567BBA">
            <w:pPr>
              <w:rPr>
                <w:sz w:val="16"/>
                <w:szCs w:val="16"/>
              </w:rPr>
            </w:pPr>
            <w:r>
              <w:rPr>
                <w:sz w:val="16"/>
                <w:szCs w:val="16"/>
              </w:rPr>
              <w:t>The tendency to view</w:t>
            </w:r>
            <w:r w:rsidRPr="15539932">
              <w:rPr>
                <w:sz w:val="16"/>
                <w:szCs w:val="16"/>
              </w:rPr>
              <w:t xml:space="preserve"> oneself as less biased than others.</w:t>
            </w: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373364" w14:textId="77777777" w:rsidR="007C1761" w:rsidRDefault="007C1761" w:rsidP="00567BBA">
            <w:pPr>
              <w:rPr>
                <w:rFonts w:eastAsiaTheme="minorEastAsia"/>
                <w:color w:val="000000" w:themeColor="text1"/>
                <w:sz w:val="16"/>
                <w:szCs w:val="16"/>
              </w:rPr>
            </w:pPr>
            <w:r>
              <w:rPr>
                <w:rFonts w:eastAsiaTheme="minorEastAsia"/>
                <w:color w:val="000000" w:themeColor="text1"/>
                <w:sz w:val="16"/>
                <w:szCs w:val="16"/>
              </w:rPr>
              <w:t>Fisheries scientists see their work as apolitical, but the inputs of fishers or other stakeholders as biased.*</w:t>
            </w:r>
          </w:p>
        </w:tc>
      </w:tr>
      <w:tr w:rsidR="007C1761" w14:paraId="4D3D9750" w14:textId="77777777" w:rsidTr="2BD12D09">
        <w:tc>
          <w:tcPr>
            <w:tcW w:w="2547" w:type="dxa"/>
            <w:vMerge/>
            <w:tcBorders>
              <w:left w:val="single" w:sz="4" w:space="0" w:color="auto"/>
              <w:right w:val="single" w:sz="4" w:space="0" w:color="auto"/>
            </w:tcBorders>
            <w:shd w:val="clear" w:color="auto" w:fill="E2EFD9" w:themeFill="accent6" w:themeFillTint="33"/>
          </w:tcPr>
          <w:p w14:paraId="3E5F4761"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422A7B" w14:textId="77777777" w:rsidR="007C1761" w:rsidRDefault="007C1761" w:rsidP="00567BBA">
            <w:pPr>
              <w:rPr>
                <w:rFonts w:eastAsiaTheme="minorEastAsia"/>
                <w:b/>
                <w:bCs/>
                <w:sz w:val="16"/>
                <w:szCs w:val="16"/>
              </w:rPr>
            </w:pPr>
            <w:r w:rsidRPr="590D11F9">
              <w:rPr>
                <w:rFonts w:eastAsiaTheme="minorEastAsia"/>
                <w:b/>
                <w:bCs/>
                <w:sz w:val="16"/>
                <w:szCs w:val="16"/>
              </w:rPr>
              <w:t>Courtesy bias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648D25" w14:textId="77777777" w:rsidR="007C1761" w:rsidRDefault="007C1761" w:rsidP="00567BBA">
            <w:pPr>
              <w:rPr>
                <w:sz w:val="16"/>
                <w:szCs w:val="16"/>
              </w:rPr>
            </w:pPr>
            <w:r>
              <w:rPr>
                <w:sz w:val="16"/>
                <w:szCs w:val="16"/>
              </w:rPr>
              <w:t>The tendency to give</w:t>
            </w:r>
            <w:r w:rsidRPr="15539932">
              <w:rPr>
                <w:sz w:val="16"/>
                <w:szCs w:val="16"/>
              </w:rPr>
              <w:t xml:space="preserve"> an opinion</w:t>
            </w:r>
            <w:r>
              <w:rPr>
                <w:sz w:val="16"/>
                <w:szCs w:val="16"/>
              </w:rPr>
              <w:t xml:space="preserve"> or </w:t>
            </w:r>
            <w:r w:rsidRPr="15539932">
              <w:rPr>
                <w:sz w:val="16"/>
                <w:szCs w:val="16"/>
              </w:rPr>
              <w:t>conclusion that is viewed as more socially acceptable so as to avoid causing offence</w:t>
            </w:r>
            <w:r>
              <w:rPr>
                <w:sz w:val="16"/>
                <w:szCs w:val="16"/>
              </w:rPr>
              <w:t xml:space="preserve"> or </w:t>
            </w:r>
            <w:r w:rsidRPr="15539932">
              <w:rPr>
                <w:sz w:val="16"/>
                <w:szCs w:val="16"/>
              </w:rPr>
              <w:t>controversy.</w:t>
            </w: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87A3D4" w14:textId="29CAF72E" w:rsidR="007C1761" w:rsidRDefault="007C1761" w:rsidP="00567BBA">
            <w:pPr>
              <w:rPr>
                <w:rFonts w:eastAsiaTheme="minorEastAsia"/>
                <w:color w:val="000000" w:themeColor="text1"/>
                <w:sz w:val="16"/>
                <w:szCs w:val="16"/>
              </w:rPr>
            </w:pPr>
            <w:r>
              <w:rPr>
                <w:rFonts w:eastAsiaTheme="minorEastAsia"/>
                <w:color w:val="000000" w:themeColor="text1"/>
                <w:sz w:val="16"/>
                <w:szCs w:val="16"/>
              </w:rPr>
              <w:t>Fishers do not feel comfortable talk</w:t>
            </w:r>
            <w:r w:rsidR="00B40FD4">
              <w:rPr>
                <w:rFonts w:eastAsiaTheme="minorEastAsia"/>
                <w:color w:val="000000" w:themeColor="text1"/>
                <w:sz w:val="16"/>
                <w:szCs w:val="16"/>
              </w:rPr>
              <w:t>ing</w:t>
            </w:r>
            <w:r>
              <w:rPr>
                <w:rFonts w:eastAsiaTheme="minorEastAsia"/>
                <w:color w:val="000000" w:themeColor="text1"/>
                <w:sz w:val="16"/>
                <w:szCs w:val="16"/>
              </w:rPr>
              <w:t xml:space="preserve"> about the rationale behind </w:t>
            </w:r>
            <w:r w:rsidR="00B40FD4">
              <w:rPr>
                <w:rFonts w:eastAsiaTheme="minorEastAsia"/>
                <w:color w:val="000000" w:themeColor="text1"/>
                <w:sz w:val="16"/>
                <w:szCs w:val="16"/>
              </w:rPr>
              <w:t xml:space="preserve">their </w:t>
            </w:r>
            <w:r>
              <w:rPr>
                <w:rFonts w:eastAsiaTheme="minorEastAsia"/>
                <w:color w:val="000000" w:themeColor="text1"/>
                <w:sz w:val="16"/>
                <w:szCs w:val="16"/>
              </w:rPr>
              <w:t xml:space="preserve">discarding practices </w:t>
            </w:r>
            <w:r w:rsidR="00B40FD4">
              <w:rPr>
                <w:rFonts w:eastAsiaTheme="minorEastAsia"/>
                <w:color w:val="000000" w:themeColor="text1"/>
                <w:sz w:val="16"/>
                <w:szCs w:val="16"/>
              </w:rPr>
              <w:t xml:space="preserve">when </w:t>
            </w:r>
            <w:r>
              <w:rPr>
                <w:rFonts w:eastAsiaTheme="minorEastAsia"/>
                <w:color w:val="000000" w:themeColor="text1"/>
                <w:sz w:val="16"/>
                <w:szCs w:val="16"/>
              </w:rPr>
              <w:t>in the presence of someone they perceive as being motivated by conservation</w:t>
            </w:r>
            <w:r w:rsidR="00B40FD4">
              <w:rPr>
                <w:rFonts w:eastAsiaTheme="minorEastAsia"/>
                <w:color w:val="000000" w:themeColor="text1"/>
                <w:sz w:val="16"/>
                <w:szCs w:val="16"/>
              </w:rPr>
              <w:t>,</w:t>
            </w:r>
            <w:r>
              <w:rPr>
                <w:rFonts w:eastAsiaTheme="minorEastAsia"/>
                <w:color w:val="000000" w:themeColor="text1"/>
                <w:sz w:val="16"/>
                <w:szCs w:val="16"/>
              </w:rPr>
              <w:t xml:space="preserve"> because </w:t>
            </w:r>
            <w:r w:rsidR="00B40FD4">
              <w:rPr>
                <w:rFonts w:eastAsiaTheme="minorEastAsia"/>
                <w:color w:val="000000" w:themeColor="text1"/>
                <w:sz w:val="16"/>
                <w:szCs w:val="16"/>
              </w:rPr>
              <w:t xml:space="preserve">discarding </w:t>
            </w:r>
            <w:r>
              <w:rPr>
                <w:rFonts w:eastAsiaTheme="minorEastAsia"/>
                <w:color w:val="000000" w:themeColor="text1"/>
                <w:sz w:val="16"/>
                <w:szCs w:val="16"/>
              </w:rPr>
              <w:t xml:space="preserve">is </w:t>
            </w:r>
            <w:r w:rsidR="00B40FD4">
              <w:rPr>
                <w:rFonts w:eastAsiaTheme="minorEastAsia"/>
                <w:color w:val="000000" w:themeColor="text1"/>
                <w:sz w:val="16"/>
                <w:szCs w:val="16"/>
              </w:rPr>
              <w:t xml:space="preserve">usually </w:t>
            </w:r>
            <w:r>
              <w:rPr>
                <w:rFonts w:eastAsiaTheme="minorEastAsia"/>
                <w:color w:val="000000" w:themeColor="text1"/>
                <w:sz w:val="16"/>
                <w:szCs w:val="16"/>
              </w:rPr>
              <w:t xml:space="preserve">seen as a destructive </w:t>
            </w:r>
            <w:proofErr w:type="gramStart"/>
            <w:r>
              <w:rPr>
                <w:rFonts w:eastAsiaTheme="minorEastAsia"/>
                <w:color w:val="000000" w:themeColor="text1"/>
                <w:sz w:val="16"/>
                <w:szCs w:val="16"/>
              </w:rPr>
              <w:t>practice.*</w:t>
            </w:r>
            <w:proofErr w:type="gramEnd"/>
          </w:p>
          <w:p w14:paraId="5FA4B842" w14:textId="77777777" w:rsidR="007C1761" w:rsidRDefault="007C1761" w:rsidP="00567BBA">
            <w:pPr>
              <w:rPr>
                <w:rFonts w:eastAsiaTheme="minorEastAsia"/>
                <w:color w:val="000000" w:themeColor="text1"/>
                <w:sz w:val="16"/>
                <w:szCs w:val="16"/>
              </w:rPr>
            </w:pPr>
            <w:r w:rsidRPr="590D11F9" w:rsidDel="00AA7DEB">
              <w:rPr>
                <w:rFonts w:eastAsiaTheme="minorEastAsia"/>
                <w:color w:val="000000" w:themeColor="text1"/>
                <w:sz w:val="16"/>
                <w:szCs w:val="16"/>
              </w:rPr>
              <w:lastRenderedPageBreak/>
              <w:t xml:space="preserve"> </w:t>
            </w:r>
          </w:p>
        </w:tc>
      </w:tr>
      <w:tr w:rsidR="007C1761" w14:paraId="26705DB3" w14:textId="77777777" w:rsidTr="2BD12D09">
        <w:tc>
          <w:tcPr>
            <w:tcW w:w="2547" w:type="dxa"/>
            <w:vMerge/>
            <w:tcBorders>
              <w:left w:val="single" w:sz="4" w:space="0" w:color="auto"/>
              <w:right w:val="single" w:sz="4" w:space="0" w:color="auto"/>
            </w:tcBorders>
            <w:shd w:val="clear" w:color="auto" w:fill="E2EFD9" w:themeFill="accent6" w:themeFillTint="33"/>
          </w:tcPr>
          <w:p w14:paraId="4EE2C203"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39C0C8" w14:textId="77777777" w:rsidR="007C1761" w:rsidRDefault="007C1761" w:rsidP="00567BBA">
            <w:pPr>
              <w:rPr>
                <w:rFonts w:eastAsiaTheme="minorEastAsia"/>
                <w:b/>
                <w:bCs/>
                <w:sz w:val="16"/>
                <w:szCs w:val="16"/>
              </w:rPr>
            </w:pPr>
            <w:r w:rsidRPr="590D11F9">
              <w:rPr>
                <w:rFonts w:eastAsiaTheme="minorEastAsia"/>
                <w:b/>
                <w:bCs/>
                <w:sz w:val="16"/>
                <w:szCs w:val="16"/>
              </w:rPr>
              <w:t>Reactive devaluation</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A5B4BC" w14:textId="77777777" w:rsidR="007C1761" w:rsidRDefault="007C1761" w:rsidP="00567BBA">
            <w:pPr>
              <w:rPr>
                <w:sz w:val="16"/>
                <w:szCs w:val="16"/>
              </w:rPr>
            </w:pPr>
            <w:r>
              <w:rPr>
                <w:sz w:val="16"/>
                <w:szCs w:val="16"/>
              </w:rPr>
              <w:t>The tendency to devalue</w:t>
            </w:r>
            <w:r w:rsidRPr="15539932">
              <w:rPr>
                <w:sz w:val="16"/>
                <w:szCs w:val="16"/>
              </w:rPr>
              <w:t xml:space="preserve"> an idea because it originated from an adversary or opponent.</w:t>
            </w: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1388B5" w14:textId="4D42358C" w:rsidR="007C1761" w:rsidRDefault="007C1761" w:rsidP="00567BBA">
            <w:pPr>
              <w:rPr>
                <w:rFonts w:eastAsiaTheme="minorEastAsia"/>
                <w:color w:val="000000" w:themeColor="text1"/>
                <w:sz w:val="16"/>
                <w:szCs w:val="16"/>
              </w:rPr>
            </w:pPr>
            <w:r>
              <w:rPr>
                <w:rFonts w:eastAsiaTheme="minorEastAsia"/>
                <w:color w:val="000000" w:themeColor="text1"/>
                <w:sz w:val="16"/>
                <w:szCs w:val="16"/>
              </w:rPr>
              <w:t xml:space="preserve">If a conservation </w:t>
            </w:r>
            <w:proofErr w:type="spellStart"/>
            <w:r>
              <w:rPr>
                <w:rFonts w:eastAsiaTheme="minorEastAsia"/>
                <w:color w:val="000000" w:themeColor="text1"/>
                <w:sz w:val="16"/>
                <w:szCs w:val="16"/>
              </w:rPr>
              <w:t>eNGO</w:t>
            </w:r>
            <w:proofErr w:type="spellEnd"/>
            <w:r>
              <w:rPr>
                <w:rFonts w:eastAsiaTheme="minorEastAsia"/>
                <w:color w:val="000000" w:themeColor="text1"/>
                <w:sz w:val="16"/>
                <w:szCs w:val="16"/>
              </w:rPr>
              <w:t xml:space="preserve"> advocates for surveillance cameras on</w:t>
            </w:r>
            <w:r w:rsidR="00B40FD4">
              <w:rPr>
                <w:rFonts w:eastAsiaTheme="minorEastAsia"/>
                <w:color w:val="000000" w:themeColor="text1"/>
                <w:sz w:val="16"/>
                <w:szCs w:val="16"/>
              </w:rPr>
              <w:t xml:space="preserve"> </w:t>
            </w:r>
            <w:r>
              <w:rPr>
                <w:rFonts w:eastAsiaTheme="minorEastAsia"/>
                <w:color w:val="000000" w:themeColor="text1"/>
                <w:sz w:val="16"/>
                <w:szCs w:val="16"/>
              </w:rPr>
              <w:t>board vessels, fishers will automatically oppose it</w:t>
            </w:r>
            <w:r w:rsidR="00B40FD4">
              <w:rPr>
                <w:rFonts w:eastAsiaTheme="minorEastAsia"/>
                <w:color w:val="000000" w:themeColor="text1"/>
                <w:sz w:val="16"/>
                <w:szCs w:val="16"/>
              </w:rPr>
              <w:t>;</w:t>
            </w:r>
            <w:r>
              <w:rPr>
                <w:rFonts w:eastAsiaTheme="minorEastAsia"/>
                <w:color w:val="000000" w:themeColor="text1"/>
                <w:sz w:val="16"/>
                <w:szCs w:val="16"/>
              </w:rPr>
              <w:t xml:space="preserve"> but if the suggestion comes from within the co-operative or producer organization then they may support it.*</w:t>
            </w:r>
          </w:p>
        </w:tc>
      </w:tr>
      <w:tr w:rsidR="007C1761" w14:paraId="339C5797" w14:textId="77777777" w:rsidTr="2BD12D09">
        <w:tc>
          <w:tcPr>
            <w:tcW w:w="2547" w:type="dxa"/>
            <w:vMerge/>
            <w:tcBorders>
              <w:left w:val="single" w:sz="4" w:space="0" w:color="auto"/>
              <w:bottom w:val="single" w:sz="4" w:space="0" w:color="auto"/>
              <w:right w:val="single" w:sz="4" w:space="0" w:color="auto"/>
            </w:tcBorders>
            <w:shd w:val="clear" w:color="auto" w:fill="E2EFD9" w:themeFill="accent6" w:themeFillTint="33"/>
          </w:tcPr>
          <w:p w14:paraId="3FC75C9E" w14:textId="77777777" w:rsidR="007C1761" w:rsidRPr="590D11F9" w:rsidRDefault="007C1761" w:rsidP="00567BBA">
            <w:pPr>
              <w:rPr>
                <w:rFonts w:eastAsiaTheme="minorEastAsia"/>
                <w:b/>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8E2E7" w14:textId="77777777" w:rsidR="007C1761" w:rsidRDefault="007C1761" w:rsidP="00567BBA">
            <w:pPr>
              <w:rPr>
                <w:rFonts w:eastAsiaTheme="minorEastAsia"/>
                <w:b/>
                <w:bCs/>
                <w:sz w:val="16"/>
                <w:szCs w:val="16"/>
              </w:rPr>
            </w:pPr>
            <w:r w:rsidRPr="590D11F9">
              <w:rPr>
                <w:rFonts w:eastAsiaTheme="minorEastAsia"/>
                <w:b/>
                <w:bCs/>
                <w:sz w:val="16"/>
                <w:szCs w:val="16"/>
              </w:rPr>
              <w:t>Stereotyping</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659906" w14:textId="77777777" w:rsidR="007C1761" w:rsidRDefault="007C1761" w:rsidP="00567BBA">
            <w:pPr>
              <w:rPr>
                <w:sz w:val="16"/>
                <w:szCs w:val="16"/>
              </w:rPr>
            </w:pPr>
            <w:r>
              <w:rPr>
                <w:sz w:val="16"/>
                <w:szCs w:val="16"/>
              </w:rPr>
              <w:t>The tendency to assume that</w:t>
            </w:r>
            <w:r w:rsidRPr="15539932">
              <w:rPr>
                <w:sz w:val="16"/>
                <w:szCs w:val="16"/>
              </w:rPr>
              <w:t xml:space="preserve"> a person has characteristics because they are a member of a group.</w:t>
            </w:r>
          </w:p>
        </w:tc>
        <w:tc>
          <w:tcPr>
            <w:tcW w:w="4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AC649B" w14:textId="77777777" w:rsidR="007C1761" w:rsidRDefault="007C1761" w:rsidP="00567BBA">
            <w:pPr>
              <w:rPr>
                <w:rFonts w:eastAsiaTheme="minorEastAsia"/>
                <w:color w:val="000000" w:themeColor="text1"/>
                <w:sz w:val="16"/>
                <w:szCs w:val="16"/>
              </w:rPr>
            </w:pPr>
            <w:r w:rsidRPr="590D11F9">
              <w:rPr>
                <w:rFonts w:eastAsiaTheme="minorEastAsia"/>
                <w:color w:val="000000" w:themeColor="text1"/>
                <w:sz w:val="16"/>
                <w:szCs w:val="16"/>
              </w:rPr>
              <w:t>“Fishers never listen to managers.”</w:t>
            </w:r>
            <w:r>
              <w:rPr>
                <w:rFonts w:eastAsiaTheme="minorEastAsia"/>
                <w:color w:val="000000" w:themeColor="text1"/>
                <w:sz w:val="16"/>
                <w:szCs w:val="16"/>
              </w:rPr>
              <w:t>*</w:t>
            </w:r>
          </w:p>
        </w:tc>
      </w:tr>
    </w:tbl>
    <w:p w14:paraId="0FD90810" w14:textId="77777777" w:rsidR="007C1761" w:rsidRDefault="007C1761" w:rsidP="007C1761">
      <w:pPr>
        <w:rPr>
          <w:sz w:val="20"/>
        </w:rPr>
      </w:pPr>
    </w:p>
    <w:p w14:paraId="613086D4" w14:textId="77777777" w:rsidR="000D3548" w:rsidRDefault="000D3548" w:rsidP="007C1761">
      <w:pPr>
        <w:rPr>
          <w:b/>
          <w:sz w:val="20"/>
        </w:rPr>
      </w:pPr>
    </w:p>
    <w:p w14:paraId="395F16E2" w14:textId="77777777" w:rsidR="000D3548" w:rsidRDefault="000D3548" w:rsidP="007C1761">
      <w:pPr>
        <w:rPr>
          <w:b/>
          <w:sz w:val="20"/>
        </w:rPr>
      </w:pPr>
    </w:p>
    <w:p w14:paraId="1416F6E0" w14:textId="1DB1643C" w:rsidR="007C1761" w:rsidRPr="007C1761" w:rsidRDefault="007C1761" w:rsidP="007C1761">
      <w:pPr>
        <w:rPr>
          <w:b/>
          <w:sz w:val="20"/>
        </w:rPr>
      </w:pPr>
      <w:bookmarkStart w:id="0" w:name="_GoBack"/>
      <w:bookmarkEnd w:id="0"/>
      <w:r>
        <w:rPr>
          <w:b/>
          <w:sz w:val="20"/>
        </w:rPr>
        <w:t>References</w:t>
      </w:r>
    </w:p>
    <w:p w14:paraId="29E1CC23" w14:textId="77777777" w:rsidR="004824C6" w:rsidRPr="004824C6" w:rsidRDefault="007C1761" w:rsidP="004824C6">
      <w:pPr>
        <w:pStyle w:val="Bibliography"/>
        <w:rPr>
          <w:rFonts w:ascii="Calibri" w:hAnsi="Calibri" w:cs="Calibri"/>
          <w:sz w:val="20"/>
        </w:rPr>
      </w:pPr>
      <w:r>
        <w:rPr>
          <w:sz w:val="20"/>
        </w:rPr>
        <w:fldChar w:fldCharType="begin"/>
      </w:r>
      <w:r>
        <w:rPr>
          <w:sz w:val="20"/>
        </w:rPr>
        <w:instrText xml:space="preserve"> ADDIN ZOTERO_BIBL {"uncited":[],"omitted":[],"custom":[]} CSL_BIBLIOGRAPHY </w:instrText>
      </w:r>
      <w:r>
        <w:rPr>
          <w:sz w:val="20"/>
        </w:rPr>
        <w:fldChar w:fldCharType="separate"/>
      </w:r>
      <w:r w:rsidR="004824C6" w:rsidRPr="004824C6">
        <w:rPr>
          <w:rFonts w:ascii="Calibri" w:hAnsi="Calibri" w:cs="Calibri"/>
          <w:sz w:val="20"/>
        </w:rPr>
        <w:t xml:space="preserve">1. </w:t>
      </w:r>
      <w:r w:rsidR="004824C6" w:rsidRPr="004824C6">
        <w:rPr>
          <w:rFonts w:ascii="Calibri" w:hAnsi="Calibri" w:cs="Calibri"/>
          <w:sz w:val="20"/>
        </w:rPr>
        <w:tab/>
        <w:t>Pauly D. Anecdotes and the shifting baseline syndrome of fisheries. Trends Ecol Evol. 1995;10: 430. doi:10.1016/s0169-5347(00)89171-5</w:t>
      </w:r>
    </w:p>
    <w:p w14:paraId="56613394"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 </w:t>
      </w:r>
      <w:r w:rsidRPr="004824C6">
        <w:rPr>
          <w:rFonts w:ascii="Calibri" w:hAnsi="Calibri" w:cs="Calibri"/>
          <w:sz w:val="20"/>
        </w:rPr>
        <w:tab/>
        <w:t>Tversky A, Kahneman D. Judgment under Uncertainty: Heuristics and Biases. Science. 1974;185: 1124–1131. doi:10.1126/science.185.4157.1124</w:t>
      </w:r>
    </w:p>
    <w:p w14:paraId="6A049EF0"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3. </w:t>
      </w:r>
      <w:r w:rsidRPr="004824C6">
        <w:rPr>
          <w:rFonts w:ascii="Calibri" w:hAnsi="Calibri" w:cs="Calibri"/>
          <w:sz w:val="20"/>
        </w:rPr>
        <w:tab/>
        <w:t>Furnham A, Boo HC. A literature review of the anchoring effect. The Journal of Socio-Economics. 2011;40: 35–42. doi:10.1016/j.socec.2010.10.008</w:t>
      </w:r>
    </w:p>
    <w:p w14:paraId="4E5245C9"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4. </w:t>
      </w:r>
      <w:r w:rsidRPr="004824C6">
        <w:rPr>
          <w:rFonts w:ascii="Calibri" w:hAnsi="Calibri" w:cs="Calibri"/>
          <w:sz w:val="20"/>
        </w:rPr>
        <w:tab/>
        <w:t xml:space="preserve">Nguyen Q, Leung P. Do Fishermen Have Different Attitudes Toward Risk? An Application of Prospect Theory to the Study of Vietnamese Fishermen. J Agric Resour Econ. 2009;34: 518–538. </w:t>
      </w:r>
    </w:p>
    <w:p w14:paraId="454C1FBD"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5. </w:t>
      </w:r>
      <w:r w:rsidRPr="004824C6">
        <w:rPr>
          <w:rFonts w:ascii="Calibri" w:hAnsi="Calibri" w:cs="Calibri"/>
          <w:sz w:val="20"/>
        </w:rPr>
        <w:tab/>
        <w:t>van der Werff E, Steg L, Keizer K. It is a moral issue: The relationship between environmental self-identity, obligation-based intrinsic motivation and pro-environmental behaviour. Global Environmental Change. 2013;23: 1258–1265. doi:10.1016/j.gloenvcha.2013.07.018</w:t>
      </w:r>
    </w:p>
    <w:p w14:paraId="146A68D5"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6. </w:t>
      </w:r>
      <w:r w:rsidRPr="004824C6">
        <w:rPr>
          <w:rFonts w:ascii="Calibri" w:hAnsi="Calibri" w:cs="Calibri"/>
          <w:sz w:val="20"/>
        </w:rPr>
        <w:tab/>
        <w:t>Kraak SBM, Hart PJB. Creating a Breeding Ground for Compliance and Honest Reporting Under the Landing Obligation: Insights from Behavioural Science. In: Uhlmann SS, Ulrich C, Kennelly SJ, editors. The European Landing Obligation: Reducing Discards in Complex, Multi-Species and Multi-Jurisdictional Fisheries. Cham: Springer International Publishing; 2019. pp. 219–236. doi:10.1007/978-3-030-03308-8_11</w:t>
      </w:r>
    </w:p>
    <w:p w14:paraId="51447EAE"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7. </w:t>
      </w:r>
      <w:r w:rsidRPr="004824C6">
        <w:rPr>
          <w:rFonts w:ascii="Calibri" w:hAnsi="Calibri" w:cs="Calibri"/>
          <w:sz w:val="20"/>
        </w:rPr>
        <w:tab/>
        <w:t>Drupp MA, Khadjavi M, Quaas MF. Truth-telling and the regulator. Experimental evidence from commercial fishermen. European Economic Review. 2019;120: 103310. doi:10.1016/j.euroecorev.2019.103310</w:t>
      </w:r>
    </w:p>
    <w:p w14:paraId="4BBCC81B"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8. </w:t>
      </w:r>
      <w:r w:rsidRPr="004824C6">
        <w:rPr>
          <w:rFonts w:ascii="Calibri" w:hAnsi="Calibri" w:cs="Calibri"/>
          <w:sz w:val="20"/>
        </w:rPr>
        <w:tab/>
        <w:t>Ertör-Akyazi P. Formal versus informal institutions: Extraction and earnings in framed field experiments with small-scale fishing communities in Turkey. Marine Policy. 2019;109: 103673. doi:10.1016/j.marpol.2019.103673</w:t>
      </w:r>
    </w:p>
    <w:p w14:paraId="2455870E"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9. </w:t>
      </w:r>
      <w:r w:rsidRPr="004824C6">
        <w:rPr>
          <w:rFonts w:ascii="Calibri" w:hAnsi="Calibri" w:cs="Calibri"/>
          <w:sz w:val="20"/>
        </w:rPr>
        <w:tab/>
        <w:t xml:space="preserve">Schwartz B. The paradox of choice: Why more is less. New York, NY, US: HarperCollins Publishers; 2004. pp. xi, 265. </w:t>
      </w:r>
    </w:p>
    <w:p w14:paraId="002AF65D"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lastRenderedPageBreak/>
        <w:t xml:space="preserve">10. </w:t>
      </w:r>
      <w:r w:rsidRPr="004824C6">
        <w:rPr>
          <w:rFonts w:ascii="Calibri" w:hAnsi="Calibri" w:cs="Calibri"/>
          <w:sz w:val="20"/>
        </w:rPr>
        <w:tab/>
        <w:t xml:space="preserve">www.zachhellermarketing.com. </w:t>
      </w:r>
    </w:p>
    <w:p w14:paraId="0B39EBD6"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11. </w:t>
      </w:r>
      <w:r w:rsidRPr="004824C6">
        <w:rPr>
          <w:rFonts w:ascii="Calibri" w:hAnsi="Calibri" w:cs="Calibri"/>
          <w:sz w:val="20"/>
        </w:rPr>
        <w:tab/>
        <w:t xml:space="preserve">Foucault M. Discipline and Punish: The Birth of the Prison. Vintage Books; 1995. </w:t>
      </w:r>
    </w:p>
    <w:p w14:paraId="48191E00"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12. </w:t>
      </w:r>
      <w:r w:rsidRPr="004824C6">
        <w:rPr>
          <w:rFonts w:ascii="Calibri" w:hAnsi="Calibri" w:cs="Calibri"/>
          <w:sz w:val="20"/>
        </w:rPr>
        <w:tab/>
        <w:t xml:space="preserve">www.behavioraleconomics.com. </w:t>
      </w:r>
    </w:p>
    <w:p w14:paraId="06A0C321"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13. </w:t>
      </w:r>
      <w:r w:rsidRPr="004824C6">
        <w:rPr>
          <w:rFonts w:ascii="Calibri" w:hAnsi="Calibri" w:cs="Calibri"/>
          <w:sz w:val="20"/>
        </w:rPr>
        <w:tab/>
        <w:t>The Predictably Irrational by Dan Ariely – Audiobooks on Google Play. [cited 11 Mar 2021]. Available: https://play.google.com/store/audiobooks/details/The_Predictably_Irrational?id=AQAAAAAUxnvGfM&amp;hl=en_GB&amp;gl=IE</w:t>
      </w:r>
    </w:p>
    <w:p w14:paraId="606A8B13"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14. </w:t>
      </w:r>
      <w:r w:rsidRPr="004824C6">
        <w:rPr>
          <w:rFonts w:ascii="Calibri" w:hAnsi="Calibri" w:cs="Calibri"/>
          <w:sz w:val="20"/>
        </w:rPr>
        <w:tab/>
        <w:t>Young OR, Webster DG, Cox ME, Raakjær J, Blaxekjær LØ, Einarsson N, et al. Moving beyond panaceas in fisheries governance. PNAS. 2018;115: 9065–9073. doi:10.1073/pnas.1716545115</w:t>
      </w:r>
    </w:p>
    <w:p w14:paraId="726639AE"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15. </w:t>
      </w:r>
      <w:r w:rsidRPr="004824C6">
        <w:rPr>
          <w:rFonts w:ascii="Calibri" w:hAnsi="Calibri" w:cs="Calibri"/>
          <w:sz w:val="20"/>
        </w:rPr>
        <w:tab/>
        <w:t>Dankel DJ, Aps R, Padda G, Röckmann C, van der Sluijs JP, Wilson DC, et al. Advice under uncertainty in the marine system. ICES Journal of Marine Science. 2012;69: 3–7. doi:10.1093/icesjms/fsr179</w:t>
      </w:r>
    </w:p>
    <w:p w14:paraId="56BFC9FC"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16. </w:t>
      </w:r>
      <w:r w:rsidRPr="004824C6">
        <w:rPr>
          <w:rFonts w:ascii="Calibri" w:hAnsi="Calibri" w:cs="Calibri"/>
          <w:sz w:val="20"/>
        </w:rPr>
        <w:tab/>
        <w:t>Rochet M-J, Rice JC. Simulation-based management strategy evaluation: ignorance disguised as mathematics? ICES Journal of Marine Science. 2009;66: 754–762. doi:10.1093/icesjms/fsp023</w:t>
      </w:r>
    </w:p>
    <w:p w14:paraId="16B4B977"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17. </w:t>
      </w:r>
      <w:r w:rsidRPr="004824C6">
        <w:rPr>
          <w:rFonts w:ascii="Calibri" w:hAnsi="Calibri" w:cs="Calibri"/>
          <w:sz w:val="20"/>
        </w:rPr>
        <w:tab/>
        <w:t>Bromley DW. Abdicating Responsibility: The Deceits of Fisheries Policy. Fisheries. 2009;34: 280–290. doi:https://doi.org/10.1577/1548-8446-34.6.280</w:t>
      </w:r>
    </w:p>
    <w:p w14:paraId="2E3BD9CE"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18. </w:t>
      </w:r>
      <w:r w:rsidRPr="004824C6">
        <w:rPr>
          <w:rFonts w:ascii="Calibri" w:hAnsi="Calibri" w:cs="Calibri"/>
          <w:sz w:val="20"/>
        </w:rPr>
        <w:tab/>
        <w:t xml:space="preserve">www.psychology.iresearchnet.com. </w:t>
      </w:r>
    </w:p>
    <w:p w14:paraId="491F89EE"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19. </w:t>
      </w:r>
      <w:r w:rsidRPr="004824C6">
        <w:rPr>
          <w:rFonts w:ascii="Calibri" w:hAnsi="Calibri" w:cs="Calibri"/>
          <w:sz w:val="20"/>
        </w:rPr>
        <w:tab/>
        <w:t>Kahneman D, Tversky A. Prospect theory:  An analysis of decision under risk. New York, NY, US: Cambridge University Press; 1988. p. 214. doi:10.1017/CBO9780511609220.014</w:t>
      </w:r>
    </w:p>
    <w:p w14:paraId="59FB3DFC"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20. </w:t>
      </w:r>
      <w:r w:rsidRPr="004824C6">
        <w:rPr>
          <w:rFonts w:ascii="Calibri" w:hAnsi="Calibri" w:cs="Calibri"/>
          <w:sz w:val="20"/>
        </w:rPr>
        <w:tab/>
        <w:t>Arkes HR, Blumer C. The psychology of sunk cost. Organizational Behavior and Human Decision Processes. 1985;35: 124–140. doi:10.1016/0749-5978(85)90049-4</w:t>
      </w:r>
    </w:p>
    <w:p w14:paraId="1685D42D"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21. </w:t>
      </w:r>
      <w:r w:rsidRPr="004824C6">
        <w:rPr>
          <w:rFonts w:ascii="Calibri" w:hAnsi="Calibri" w:cs="Calibri"/>
          <w:sz w:val="20"/>
        </w:rPr>
        <w:tab/>
        <w:t>Shefrin H, Statman M. The Disposition to Sell Winners Too Early and Ride Losers Too Long: Theory and Evidence. The Journal of Finance. 1985;40: 777–790. doi:10.2307/2327802</w:t>
      </w:r>
    </w:p>
    <w:p w14:paraId="27297DD8"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22. </w:t>
      </w:r>
      <w:r w:rsidRPr="004824C6">
        <w:rPr>
          <w:rFonts w:ascii="Calibri" w:hAnsi="Calibri" w:cs="Calibri"/>
          <w:sz w:val="20"/>
        </w:rPr>
        <w:tab/>
        <w:t>Duncan S, Hepburn C, Papachristodoulou A. Optimal harvesting of fish stocks under a time-varying discount rate. J Theor Biol. 2011;269: 166–173. doi:10.1016/j.jtbi.2010.10.002</w:t>
      </w:r>
    </w:p>
    <w:p w14:paraId="7DCD837C"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23. </w:t>
      </w:r>
      <w:r w:rsidRPr="004824C6">
        <w:rPr>
          <w:rFonts w:ascii="Calibri" w:hAnsi="Calibri" w:cs="Calibri"/>
          <w:sz w:val="20"/>
        </w:rPr>
        <w:tab/>
        <w:t>Dolan P, Hallsworth M, Halpern D, King D, Vlaev I. MINDSPACE: influencing behaviour for public policy. London, UK: Institute of Government; 2010 [cited 17 Mar 2021]. Available: http://www.instituteforgovernment.org.uk/publications/</w:t>
      </w:r>
    </w:p>
    <w:p w14:paraId="503A18D8"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lastRenderedPageBreak/>
        <w:t xml:space="preserve">24. </w:t>
      </w:r>
      <w:r w:rsidRPr="004824C6">
        <w:rPr>
          <w:rFonts w:ascii="Calibri" w:hAnsi="Calibri" w:cs="Calibri"/>
          <w:sz w:val="20"/>
        </w:rPr>
        <w:tab/>
        <w:t>Putten I van, Longo C, Arton A, Watson M, Anderson CM, Himes-Cornell A, et al. Shifting focus: The impacts of sustainable seafood certification. PLOS ONE. 2020;15: e0233237. doi:10.1371/journal.pone.0233237</w:t>
      </w:r>
    </w:p>
    <w:p w14:paraId="5FD7E66A" w14:textId="77777777" w:rsidR="004824C6" w:rsidRPr="004824C6" w:rsidRDefault="004824C6" w:rsidP="004824C6">
      <w:pPr>
        <w:pStyle w:val="Bibliography"/>
        <w:rPr>
          <w:rFonts w:ascii="Calibri" w:hAnsi="Calibri" w:cs="Calibri"/>
          <w:sz w:val="20"/>
        </w:rPr>
      </w:pPr>
      <w:r w:rsidRPr="004824C6">
        <w:rPr>
          <w:rFonts w:ascii="Calibri" w:hAnsi="Calibri" w:cs="Calibri"/>
          <w:sz w:val="20"/>
        </w:rPr>
        <w:t xml:space="preserve">25. </w:t>
      </w:r>
      <w:r w:rsidRPr="004824C6">
        <w:rPr>
          <w:rFonts w:ascii="Calibri" w:hAnsi="Calibri" w:cs="Calibri"/>
          <w:sz w:val="20"/>
        </w:rPr>
        <w:tab/>
        <w:t>Mackay M, Yamazaki S, Jennings S, Sibly H, Putten I, Putten I, et al. The influence of nudges on compliance behaviour in recreational fisheries: a laboratory experiment. 2019. doi:10.1093/ICESJMS/FSZ020</w:t>
      </w:r>
    </w:p>
    <w:p w14:paraId="30416C08" w14:textId="7C6CF455" w:rsidR="007C1761" w:rsidRPr="007C1761" w:rsidRDefault="007C1761" w:rsidP="007C1761">
      <w:pPr>
        <w:rPr>
          <w:sz w:val="20"/>
        </w:rPr>
      </w:pPr>
      <w:r>
        <w:rPr>
          <w:sz w:val="20"/>
        </w:rPr>
        <w:fldChar w:fldCharType="end"/>
      </w:r>
    </w:p>
    <w:sectPr w:rsidR="007C1761" w:rsidRPr="007C1761" w:rsidSect="00B23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1"/>
    <w:rsid w:val="000D3548"/>
    <w:rsid w:val="00105568"/>
    <w:rsid w:val="003006D4"/>
    <w:rsid w:val="003805B7"/>
    <w:rsid w:val="004221F4"/>
    <w:rsid w:val="004824C6"/>
    <w:rsid w:val="004C5F3D"/>
    <w:rsid w:val="007419A8"/>
    <w:rsid w:val="007C1761"/>
    <w:rsid w:val="008F690F"/>
    <w:rsid w:val="00B23BC1"/>
    <w:rsid w:val="00B33570"/>
    <w:rsid w:val="00B40FD4"/>
    <w:rsid w:val="00E24BC5"/>
    <w:rsid w:val="00FD1B20"/>
    <w:rsid w:val="02DD588A"/>
    <w:rsid w:val="115F9979"/>
    <w:rsid w:val="18A1880D"/>
    <w:rsid w:val="22A10B71"/>
    <w:rsid w:val="2BD12D09"/>
    <w:rsid w:val="3A58652B"/>
    <w:rsid w:val="3B08601F"/>
    <w:rsid w:val="3B1BA661"/>
    <w:rsid w:val="3B4AF8D8"/>
    <w:rsid w:val="3C31EA2F"/>
    <w:rsid w:val="4C1246DC"/>
    <w:rsid w:val="5CF40080"/>
    <w:rsid w:val="683BA309"/>
    <w:rsid w:val="73168758"/>
    <w:rsid w:val="76399F66"/>
    <w:rsid w:val="7A6701F1"/>
    <w:rsid w:val="7C1C0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E149"/>
  <w15:chartTrackingRefBased/>
  <w15:docId w15:val="{0C07A53A-6899-4D1C-864C-D0828E7D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7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761"/>
    <w:rPr>
      <w:sz w:val="16"/>
      <w:szCs w:val="16"/>
    </w:rPr>
  </w:style>
  <w:style w:type="paragraph" w:styleId="CommentText">
    <w:name w:val="annotation text"/>
    <w:basedOn w:val="Normal"/>
    <w:link w:val="CommentTextChar"/>
    <w:uiPriority w:val="99"/>
    <w:unhideWhenUsed/>
    <w:rsid w:val="007C1761"/>
    <w:pPr>
      <w:spacing w:line="240" w:lineRule="auto"/>
    </w:pPr>
    <w:rPr>
      <w:rFonts w:ascii="Verdana" w:hAnsi="Verdana"/>
      <w:sz w:val="20"/>
      <w:szCs w:val="20"/>
      <w:lang w:val="en-US"/>
    </w:rPr>
  </w:style>
  <w:style w:type="character" w:customStyle="1" w:styleId="CommentTextChar">
    <w:name w:val="Comment Text Char"/>
    <w:basedOn w:val="DefaultParagraphFont"/>
    <w:link w:val="CommentText"/>
    <w:uiPriority w:val="99"/>
    <w:rsid w:val="007C1761"/>
    <w:rPr>
      <w:rFonts w:ascii="Verdana" w:hAnsi="Verdana"/>
      <w:sz w:val="20"/>
      <w:szCs w:val="20"/>
      <w:lang w:val="en-US"/>
    </w:rPr>
  </w:style>
  <w:style w:type="character" w:styleId="EndnoteReference">
    <w:name w:val="endnote reference"/>
    <w:basedOn w:val="DefaultParagraphFont"/>
    <w:uiPriority w:val="99"/>
    <w:semiHidden/>
    <w:unhideWhenUsed/>
    <w:rsid w:val="007C1761"/>
    <w:rPr>
      <w:vertAlign w:val="superscript"/>
    </w:rPr>
  </w:style>
  <w:style w:type="paragraph" w:styleId="Bibliography">
    <w:name w:val="Bibliography"/>
    <w:basedOn w:val="Normal"/>
    <w:next w:val="Normal"/>
    <w:uiPriority w:val="37"/>
    <w:unhideWhenUsed/>
    <w:rsid w:val="007C1761"/>
    <w:pPr>
      <w:tabs>
        <w:tab w:val="left" w:pos="504"/>
      </w:tabs>
      <w:spacing w:after="240" w:line="240" w:lineRule="auto"/>
      <w:ind w:left="504" w:hanging="504"/>
    </w:pPr>
  </w:style>
  <w:style w:type="paragraph" w:styleId="CommentSubject">
    <w:name w:val="annotation subject"/>
    <w:basedOn w:val="CommentText"/>
    <w:next w:val="CommentText"/>
    <w:link w:val="CommentSubjectChar"/>
    <w:uiPriority w:val="99"/>
    <w:semiHidden/>
    <w:unhideWhenUsed/>
    <w:rsid w:val="003006D4"/>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3006D4"/>
    <w:rPr>
      <w:rFonts w:ascii="Verdana" w:hAnsi="Verdana"/>
      <w:b/>
      <w:bCs/>
      <w:sz w:val="20"/>
      <w:szCs w:val="20"/>
      <w:lang w:val="en-US"/>
    </w:rPr>
  </w:style>
  <w:style w:type="paragraph" w:styleId="BalloonText">
    <w:name w:val="Balloon Text"/>
    <w:basedOn w:val="Normal"/>
    <w:link w:val="BalloonTextChar"/>
    <w:uiPriority w:val="99"/>
    <w:semiHidden/>
    <w:unhideWhenUsed/>
    <w:rsid w:val="0030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489E0A02E1A46B948B665E3CD363B" ma:contentTypeVersion="8" ma:contentTypeDescription="Create a new document." ma:contentTypeScope="" ma:versionID="18ecf80bbf8801c8f0a29252f2bd99ec">
  <xsd:schema xmlns:xsd="http://www.w3.org/2001/XMLSchema" xmlns:xs="http://www.w3.org/2001/XMLSchema" xmlns:p="http://schemas.microsoft.com/office/2006/metadata/properties" xmlns:ns1="http://schemas.microsoft.com/sharepoint/v3" xmlns:ns2="4e0845d7-738d-40e7-8018-99bc6a75ba6f" xmlns:ns3="107b064c-5e17-43de-a528-0a35590bf6c6" targetNamespace="http://schemas.microsoft.com/office/2006/metadata/properties" ma:root="true" ma:fieldsID="c0a758ebae108d142d8b433704d298fc" ns1:_="" ns2:_="" ns3:_="">
    <xsd:import namespace="http://schemas.microsoft.com/sharepoint/v3"/>
    <xsd:import namespace="4e0845d7-738d-40e7-8018-99bc6a75ba6f"/>
    <xsd:import namespace="107b064c-5e17-43de-a528-0a35590bf6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845d7-738d-40e7-8018-99bc6a75b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b064c-5e17-43de-a528-0a35590bf6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88C63-273F-49EE-8842-DC3B5FD1FC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BD9C44-A537-48FE-BE18-C8D095253B0B}">
  <ds:schemaRefs>
    <ds:schemaRef ds:uri="http://schemas.microsoft.com/sharepoint/v3/contenttype/forms"/>
  </ds:schemaRefs>
</ds:datastoreItem>
</file>

<file path=customXml/itemProps3.xml><?xml version="1.0" encoding="utf-8"?>
<ds:datastoreItem xmlns:ds="http://schemas.openxmlformats.org/officeDocument/2006/customXml" ds:itemID="{365D5EE0-90CE-47FB-BFB9-0C098F9D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0845d7-738d-40e7-8018-99bc6a75ba6f"/>
    <ds:schemaRef ds:uri="107b064c-5e17-43de-a528-0a35590bf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10462</Words>
  <Characters>59636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Wieczorek</dc:creator>
  <cp:keywords/>
  <dc:description/>
  <cp:lastModifiedBy>Alina Wieczorek</cp:lastModifiedBy>
  <cp:revision>8</cp:revision>
  <cp:lastPrinted>2021-03-17T16:02:00Z</cp:lastPrinted>
  <dcterms:created xsi:type="dcterms:W3CDTF">2021-03-17T03:18:00Z</dcterms:created>
  <dcterms:modified xsi:type="dcterms:W3CDTF">2021-03-17T16:02:00Z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id="omQoDqaU"/&gt;&lt;style id="http://www.zotero.org/styles/plos-one" hasBibliography="1" bibliographyStyleHasBeenSet="1"/&gt;&lt;prefs&gt;&lt;pref name="fieldType" value="Field"/&gt;&lt;/prefs&gt;&lt;/data&gt;</vt:lpwstr>
  </property>
  <property fmtid="{D5CDD505-2E9C-101B-9397-08002B2CF9AE}" pid="3" name="ContentTypeId">
    <vt:lpwstr>0x010100901489E0A02E1A46B948B665E3CD363B</vt:lpwstr>
  </property>
</Properties>
</file>