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5C" w:rsidRDefault="00ED2270" w:rsidP="00E5035C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S6 </w:t>
      </w:r>
      <w:r w:rsidR="00E5035C" w:rsidRPr="001B0385">
        <w:rPr>
          <w:b/>
          <w:bCs/>
          <w:sz w:val="20"/>
          <w:szCs w:val="20"/>
          <w:lang w:val="en-US"/>
        </w:rPr>
        <w:t xml:space="preserve">Table: </w:t>
      </w:r>
      <w:r w:rsidR="00E5035C">
        <w:rPr>
          <w:b/>
          <w:bCs/>
          <w:sz w:val="20"/>
          <w:szCs w:val="20"/>
          <w:lang w:val="en-US"/>
        </w:rPr>
        <w:t xml:space="preserve">Relative Moral </w:t>
      </w:r>
      <w:r w:rsidR="00E5035C" w:rsidRPr="001B0385">
        <w:rPr>
          <w:b/>
          <w:bCs/>
          <w:sz w:val="20"/>
          <w:szCs w:val="20"/>
          <w:lang w:val="en-US"/>
        </w:rPr>
        <w:t xml:space="preserve">Opinions </w:t>
      </w:r>
      <w:r w:rsidR="00E5035C">
        <w:rPr>
          <w:b/>
          <w:bCs/>
          <w:sz w:val="20"/>
          <w:szCs w:val="20"/>
          <w:lang w:val="en-US"/>
        </w:rPr>
        <w:t>b</w:t>
      </w:r>
      <w:r w:rsidR="00E5035C" w:rsidRPr="001B0385">
        <w:rPr>
          <w:b/>
          <w:bCs/>
          <w:sz w:val="20"/>
          <w:szCs w:val="20"/>
          <w:lang w:val="en-US"/>
        </w:rPr>
        <w:t>y Political Affiliation</w:t>
      </w:r>
    </w:p>
    <w:p w:rsidR="00E5035C" w:rsidRPr="001B0385" w:rsidRDefault="00E5035C" w:rsidP="00E5035C">
      <w:pPr>
        <w:jc w:val="center"/>
        <w:rPr>
          <w:b/>
          <w:bCs/>
          <w:sz w:val="20"/>
          <w:szCs w:val="20"/>
          <w:lang w:val="en-US"/>
        </w:rPr>
      </w:pPr>
    </w:p>
    <w:tbl>
      <w:tblPr>
        <w:tblW w:w="5000" w:type="pct"/>
        <w:tblLook w:val="0000"/>
      </w:tblPr>
      <w:tblGrid>
        <w:gridCol w:w="1125"/>
        <w:gridCol w:w="1151"/>
        <w:gridCol w:w="1396"/>
        <w:gridCol w:w="1491"/>
        <w:gridCol w:w="1358"/>
        <w:gridCol w:w="1387"/>
        <w:gridCol w:w="1328"/>
      </w:tblGrid>
      <w:tr w:rsidR="00E5035C" w:rsidRPr="00204C25" w:rsidTr="00E2092F">
        <w:tc>
          <w:tcPr>
            <w:tcW w:w="609" w:type="pct"/>
            <w:tcBorders>
              <w:top w:val="single" w:sz="4" w:space="0" w:color="auto"/>
              <w:left w:val="nil"/>
              <w:right w:val="nil"/>
            </w:tcBorders>
          </w:tcPr>
          <w:p w:rsidR="00E5035C" w:rsidRDefault="00E5035C" w:rsidP="00E20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391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E5035C" w:rsidRPr="00F16028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Opinion on Mask wearers relative to Non-Mask Wearers for</w:t>
            </w:r>
          </w:p>
        </w:tc>
      </w:tr>
      <w:tr w:rsidR="00E5035C" w:rsidRPr="00204C25" w:rsidTr="00E2092F">
        <w:tc>
          <w:tcPr>
            <w:tcW w:w="609" w:type="pct"/>
            <w:tcBorders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6028">
              <w:rPr>
                <w:sz w:val="16"/>
                <w:szCs w:val="16"/>
                <w:lang w:val="en-US"/>
              </w:rPr>
              <w:t>Care</w:t>
            </w:r>
          </w:p>
        </w:tc>
        <w:tc>
          <w:tcPr>
            <w:tcW w:w="756" w:type="pct"/>
            <w:tcBorders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6028">
              <w:rPr>
                <w:sz w:val="16"/>
                <w:szCs w:val="16"/>
                <w:lang w:val="en-US"/>
              </w:rPr>
              <w:t>Fairness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6028">
              <w:rPr>
                <w:sz w:val="16"/>
                <w:szCs w:val="16"/>
                <w:lang w:val="en-US"/>
              </w:rPr>
              <w:t>Authority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6028">
              <w:rPr>
                <w:sz w:val="16"/>
                <w:szCs w:val="16"/>
                <w:lang w:val="en-US"/>
              </w:rPr>
              <w:t>Loyalty</w:t>
            </w:r>
          </w:p>
        </w:tc>
        <w:tc>
          <w:tcPr>
            <w:tcW w:w="751" w:type="pct"/>
            <w:tcBorders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F16028">
              <w:rPr>
                <w:sz w:val="16"/>
                <w:szCs w:val="16"/>
                <w:lang w:val="en-US"/>
              </w:rPr>
              <w:t>anctity</w:t>
            </w:r>
          </w:p>
        </w:tc>
        <w:tc>
          <w:tcPr>
            <w:tcW w:w="719" w:type="pct"/>
            <w:tcBorders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16028">
              <w:rPr>
                <w:sz w:val="16"/>
                <w:szCs w:val="16"/>
                <w:lang w:val="en-US"/>
              </w:rPr>
              <w:t>Liberty</w:t>
            </w:r>
          </w:p>
        </w:tc>
      </w:tr>
      <w:tr w:rsidR="00E5035C" w:rsidRPr="00204C25" w:rsidTr="00E2092F"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04C25">
              <w:rPr>
                <w:sz w:val="16"/>
                <w:szCs w:val="16"/>
                <w:lang w:val="en-US"/>
              </w:rPr>
              <w:t>Independent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-0.539**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-0.420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-0.511*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-0.426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-0.276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-0.102</w:t>
            </w:r>
          </w:p>
        </w:tc>
      </w:tr>
      <w:tr w:rsidR="00E5035C" w:rsidRPr="00204C25" w:rsidTr="00E2092F"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(0.240)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(0.263)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(0.260)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(0.274)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(0.279)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(0.288)</w:t>
            </w:r>
          </w:p>
        </w:tc>
      </w:tr>
      <w:tr w:rsidR="00E5035C" w:rsidRPr="00204C25" w:rsidTr="00E2092F"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04C25">
              <w:rPr>
                <w:sz w:val="16"/>
                <w:szCs w:val="16"/>
                <w:lang w:val="en-US"/>
              </w:rPr>
              <w:t xml:space="preserve">Republican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-0.930***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-0.782***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-0.716***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-0.331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-0.768***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-0.161</w:t>
            </w:r>
          </w:p>
        </w:tc>
      </w:tr>
      <w:tr w:rsidR="00E5035C" w:rsidRPr="00204C25" w:rsidTr="00E2092F"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(0.215)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(0.236)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(0.233)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(0.246)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(0.250)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(0.258)</w:t>
            </w:r>
          </w:p>
        </w:tc>
      </w:tr>
      <w:tr w:rsidR="00E5035C" w:rsidRPr="00204C25" w:rsidTr="00E2092F"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04C25">
              <w:rPr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-3.650*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-1.986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1.178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-4.332*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-2.707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-2.358</w:t>
            </w:r>
          </w:p>
        </w:tc>
      </w:tr>
      <w:tr w:rsidR="00E5035C" w:rsidRPr="00204C25" w:rsidTr="00E2092F"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(2.137)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(2.340)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(2.313)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(2.439)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(2.486)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0681A">
              <w:rPr>
                <w:sz w:val="16"/>
                <w:szCs w:val="16"/>
                <w:lang w:val="en-US"/>
              </w:rPr>
              <w:t>(2.559)</w:t>
            </w:r>
          </w:p>
        </w:tc>
      </w:tr>
      <w:tr w:rsidR="00E5035C" w:rsidRPr="00204C25" w:rsidTr="00E2092F"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5C" w:rsidRPr="00204C25" w:rsidRDefault="00E5035C" w:rsidP="00E209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04C25"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16C70">
              <w:rPr>
                <w:sz w:val="16"/>
                <w:szCs w:val="16"/>
                <w:lang w:val="en-US"/>
              </w:rPr>
              <w:t>615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16C70">
              <w:rPr>
                <w:sz w:val="16"/>
                <w:szCs w:val="16"/>
                <w:lang w:val="en-US"/>
              </w:rPr>
              <w:t>615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16C70">
              <w:rPr>
                <w:sz w:val="16"/>
                <w:szCs w:val="16"/>
                <w:lang w:val="en-US"/>
              </w:rPr>
              <w:t>615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16C70">
              <w:rPr>
                <w:sz w:val="16"/>
                <w:szCs w:val="16"/>
                <w:lang w:val="en-US"/>
              </w:rPr>
              <w:t>615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16C70">
              <w:rPr>
                <w:sz w:val="16"/>
                <w:szCs w:val="16"/>
                <w:lang w:val="en-US"/>
              </w:rPr>
              <w:t>615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5C" w:rsidRPr="00116C70" w:rsidRDefault="00E5035C" w:rsidP="00E20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16C70">
              <w:rPr>
                <w:sz w:val="16"/>
                <w:szCs w:val="16"/>
                <w:lang w:val="en-US"/>
              </w:rPr>
              <w:t>615</w:t>
            </w:r>
          </w:p>
        </w:tc>
      </w:tr>
    </w:tbl>
    <w:p w:rsidR="00E5035C" w:rsidRPr="005820EC" w:rsidRDefault="00E5035C" w:rsidP="00E5035C">
      <w:pPr>
        <w:rPr>
          <w:rFonts w:ascii="Times" w:hAnsi="Times"/>
          <w:b/>
          <w:bCs/>
          <w:color w:val="FF0000"/>
          <w:sz w:val="18"/>
          <w:szCs w:val="18"/>
        </w:rPr>
      </w:pPr>
      <w:proofErr w:type="gramStart"/>
      <w:r w:rsidRPr="005820EC">
        <w:rPr>
          <w:sz w:val="18"/>
          <w:szCs w:val="18"/>
          <w:lang w:val="en-US"/>
        </w:rPr>
        <w:t>* 0.10 ** 0.05 *** 0.01.</w:t>
      </w:r>
      <w:proofErr w:type="gramEnd"/>
      <w:r w:rsidRPr="005820EC">
        <w:rPr>
          <w:sz w:val="18"/>
          <w:szCs w:val="18"/>
          <w:lang w:val="en-US"/>
        </w:rPr>
        <w:t xml:space="preserve"> </w:t>
      </w:r>
      <w:proofErr w:type="gramStart"/>
      <w:r w:rsidRPr="005820EC">
        <w:rPr>
          <w:sz w:val="18"/>
          <w:szCs w:val="18"/>
          <w:lang w:val="en-US"/>
        </w:rPr>
        <w:t>Standard errors in parentheses.</w:t>
      </w:r>
      <w:proofErr w:type="gramEnd"/>
      <w:r w:rsidRPr="005820EC">
        <w:rPr>
          <w:sz w:val="18"/>
          <w:szCs w:val="18"/>
          <w:lang w:val="en-US"/>
        </w:rPr>
        <w:t xml:space="preserve"> OLS regressions with controls for own mask usage, gender, age, ethnicity, education, household income, the exchange rate, and the order of the PD games. Baseline group is Democrats. </w:t>
      </w:r>
    </w:p>
    <w:p w:rsidR="001A764E" w:rsidRDefault="00ED2270"/>
    <w:sectPr w:rsidR="001A764E" w:rsidSect="00010D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ԝ፠䟁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applyBreakingRules/>
  </w:compat>
  <w:rsids>
    <w:rsidRoot w:val="00E5035C"/>
    <w:rsid w:val="00010D4D"/>
    <w:rsid w:val="00096E6E"/>
    <w:rsid w:val="000C5256"/>
    <w:rsid w:val="002A67BC"/>
    <w:rsid w:val="00394987"/>
    <w:rsid w:val="0040657D"/>
    <w:rsid w:val="00440B8D"/>
    <w:rsid w:val="00493B13"/>
    <w:rsid w:val="006D5996"/>
    <w:rsid w:val="006F3FC2"/>
    <w:rsid w:val="007852F7"/>
    <w:rsid w:val="00811BE9"/>
    <w:rsid w:val="00856CBF"/>
    <w:rsid w:val="00AA0BCF"/>
    <w:rsid w:val="00AA2E7D"/>
    <w:rsid w:val="00AA4CF6"/>
    <w:rsid w:val="00AF4F59"/>
    <w:rsid w:val="00BE65BF"/>
    <w:rsid w:val="00C76A39"/>
    <w:rsid w:val="00C94495"/>
    <w:rsid w:val="00D54C54"/>
    <w:rsid w:val="00D70422"/>
    <w:rsid w:val="00DC5810"/>
    <w:rsid w:val="00E47841"/>
    <w:rsid w:val="00E5035C"/>
    <w:rsid w:val="00ED2270"/>
    <w:rsid w:val="00F5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5C"/>
    <w:rPr>
      <w:rFonts w:ascii="Times New Roman" w:eastAsia="Times New Roman" w:hAnsi="Times New Roman" w:cs="Times New Roman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Powdthavee, Nattavudh</dc:creator>
  <cp:keywords/>
  <dc:description/>
  <cp:lastModifiedBy>Editor</cp:lastModifiedBy>
  <cp:revision>2</cp:revision>
  <dcterms:created xsi:type="dcterms:W3CDTF">2021-06-03T17:59:00Z</dcterms:created>
  <dcterms:modified xsi:type="dcterms:W3CDTF">2021-06-04T06:12:00Z</dcterms:modified>
</cp:coreProperties>
</file>