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ECA6A" w14:textId="77777777" w:rsidR="00C30437" w:rsidRDefault="00B00B7B">
      <w:pPr>
        <w:spacing w:after="12"/>
        <w:jc w:val="both"/>
      </w:pPr>
      <w:r>
        <w:rPr>
          <w:rFonts w:ascii="Times New Roman" w:hAnsi="Times New Roman"/>
          <w:color w:val="000000"/>
        </w:rPr>
        <w:t>Comparison of canopy thresholds using FAO CHELSA for tropical dry forest cover (km</w:t>
      </w:r>
      <w:r>
        <w:rPr>
          <w:rFonts w:ascii="Times New Roman" w:hAnsi="Times New Roman"/>
          <w:color w:val="000000"/>
          <w:vertAlign w:val="superscript"/>
        </w:rPr>
        <w:t>2</w:t>
      </w:r>
      <w:r>
        <w:rPr>
          <w:rFonts w:ascii="Times New Roman" w:hAnsi="Times New Roman"/>
          <w:color w:val="000000"/>
        </w:rPr>
        <w:t xml:space="preserve">) in 2000 and 2020 between </w:t>
      </w:r>
      <w:r>
        <w:rPr>
          <w:rFonts w:ascii="Times New Roman" w:hAnsi="Times New Roman"/>
          <w:iCs/>
          <w:color w:val="000000"/>
        </w:rPr>
        <w:t>30˚N and 30˚S</w:t>
      </w:r>
      <w:r>
        <w:rPr>
          <w:rFonts w:ascii="Times New Roman" w:hAnsi="Times New Roman"/>
          <w:color w:val="000000"/>
        </w:rPr>
        <w:t xml:space="preserve">. </w:t>
      </w:r>
    </w:p>
    <w:p w14:paraId="55683726" w14:textId="77777777" w:rsidR="00C30437" w:rsidRDefault="00C30437">
      <w:pPr>
        <w:spacing w:after="12"/>
        <w:jc w:val="both"/>
        <w:rPr>
          <w:b/>
          <w:bCs/>
          <w:color w:val="000000"/>
        </w:rPr>
      </w:pPr>
    </w:p>
    <w:tbl>
      <w:tblPr>
        <w:tblW w:w="10087" w:type="dxa"/>
        <w:tblCellMar>
          <w:top w:w="29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2083"/>
        <w:gridCol w:w="1970"/>
        <w:gridCol w:w="2443"/>
        <w:gridCol w:w="1717"/>
        <w:gridCol w:w="1874"/>
      </w:tblGrid>
      <w:tr w:rsidR="00C30437" w14:paraId="237836A1" w14:textId="77777777">
        <w:trPr>
          <w:trHeight w:val="288"/>
        </w:trPr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1A188359" w14:textId="77777777" w:rsidR="00C30437" w:rsidRDefault="00B00B7B">
            <w:pPr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Canopy Cover</w:t>
            </w:r>
          </w:p>
        </w:tc>
        <w:tc>
          <w:tcPr>
            <w:tcW w:w="19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3973BF4E" w14:textId="77777777" w:rsidR="00C30437" w:rsidRDefault="00B00B7B">
            <w:pPr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Forest Cover </w:t>
            </w:r>
          </w:p>
          <w:p w14:paraId="287EE23D" w14:textId="77777777" w:rsidR="00C30437" w:rsidRDefault="00B00B7B">
            <w:pPr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2000</w:t>
            </w:r>
          </w:p>
        </w:tc>
        <w:tc>
          <w:tcPr>
            <w:tcW w:w="24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26B9FBE7" w14:textId="77777777" w:rsidR="00C30437" w:rsidRDefault="00B00B7B">
            <w:pPr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Estimated Cover </w:t>
            </w:r>
          </w:p>
          <w:p w14:paraId="48019A2B" w14:textId="77777777" w:rsidR="00C30437" w:rsidRDefault="00B00B7B">
            <w:pPr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2020</w:t>
            </w:r>
          </w:p>
        </w:tc>
        <w:tc>
          <w:tcPr>
            <w:tcW w:w="17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008447E1" w14:textId="77777777" w:rsidR="00C30437" w:rsidRDefault="00B00B7B">
            <w:pPr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Gross Loss </w:t>
            </w:r>
          </w:p>
          <w:p w14:paraId="6DC6378F" w14:textId="77777777" w:rsidR="00C30437" w:rsidRDefault="00B00B7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2001-2020</w:t>
            </w:r>
          </w:p>
        </w:tc>
        <w:tc>
          <w:tcPr>
            <w:tcW w:w="18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684E6B53" w14:textId="77777777" w:rsidR="00C30437" w:rsidRDefault="00B00B7B">
            <w:pPr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Percent Loss</w:t>
            </w:r>
          </w:p>
        </w:tc>
      </w:tr>
      <w:tr w:rsidR="00C30437" w14:paraId="7896E507" w14:textId="77777777">
        <w:trPr>
          <w:trHeight w:val="320"/>
        </w:trPr>
        <w:tc>
          <w:tcPr>
            <w:tcW w:w="20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49268" w14:textId="77777777" w:rsidR="00C30437" w:rsidRDefault="00B00B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Open, </w:t>
            </w:r>
            <w:r>
              <w:rPr>
                <w:rFonts w:ascii="Times New Roman" w:hAnsi="Times New Roman"/>
                <w:u w:val="single"/>
              </w:rPr>
              <w:t>&gt;</w:t>
            </w:r>
            <w:r>
              <w:rPr>
                <w:rFonts w:ascii="Times New Roman" w:hAnsi="Times New Roman"/>
              </w:rPr>
              <w:t xml:space="preserve"> 10%</w:t>
            </w:r>
          </w:p>
        </w:tc>
        <w:tc>
          <w:tcPr>
            <w:tcW w:w="197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7018A67" w14:textId="77777777" w:rsidR="00C30437" w:rsidRDefault="00B00B7B">
            <w:pPr>
              <w:jc w:val="right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9,625,291</w:t>
            </w:r>
          </w:p>
        </w:tc>
        <w:tc>
          <w:tcPr>
            <w:tcW w:w="24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1277D76" w14:textId="77777777" w:rsidR="00C30437" w:rsidRDefault="00B00B7B">
            <w:pPr>
              <w:jc w:val="right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8,883,523</w:t>
            </w:r>
          </w:p>
        </w:tc>
        <w:tc>
          <w:tcPr>
            <w:tcW w:w="171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305153A" w14:textId="77777777" w:rsidR="00C30437" w:rsidRDefault="00B00B7B">
            <w:pPr>
              <w:jc w:val="right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741,768</w:t>
            </w:r>
          </w:p>
        </w:tc>
        <w:tc>
          <w:tcPr>
            <w:tcW w:w="187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50C0133" w14:textId="77777777" w:rsidR="00C30437" w:rsidRDefault="00B00B7B">
            <w:pPr>
              <w:jc w:val="right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7.71%</w:t>
            </w:r>
          </w:p>
        </w:tc>
      </w:tr>
      <w:tr w:rsidR="00C30437" w14:paraId="4D463372" w14:textId="77777777">
        <w:trPr>
          <w:trHeight w:val="320"/>
        </w:trPr>
        <w:tc>
          <w:tcPr>
            <w:tcW w:w="208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FDD4623" w14:textId="77777777" w:rsidR="00C30437" w:rsidRDefault="00B00B7B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Closed, </w:t>
            </w:r>
            <w:r>
              <w:rPr>
                <w:rFonts w:ascii="Times New Roman" w:eastAsia="Times New Roman" w:hAnsi="Times New Roman"/>
                <w:color w:val="000000"/>
                <w:u w:val="single"/>
              </w:rPr>
              <w:t>&gt;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40%</w:t>
            </w:r>
          </w:p>
        </w:tc>
        <w:tc>
          <w:tcPr>
            <w:tcW w:w="1970" w:type="dxa"/>
            <w:tcBorders>
              <w:bottom w:val="single" w:sz="4" w:space="0" w:color="000000"/>
            </w:tcBorders>
            <w:vAlign w:val="center"/>
          </w:tcPr>
          <w:p w14:paraId="76D88BA5" w14:textId="77777777" w:rsidR="00C30437" w:rsidRDefault="00B00B7B">
            <w:pPr>
              <w:jc w:val="right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4,931,414</w:t>
            </w:r>
          </w:p>
        </w:tc>
        <w:tc>
          <w:tcPr>
            <w:tcW w:w="2443" w:type="dxa"/>
            <w:tcBorders>
              <w:bottom w:val="single" w:sz="4" w:space="0" w:color="000000"/>
            </w:tcBorders>
            <w:vAlign w:val="center"/>
          </w:tcPr>
          <w:p w14:paraId="6C723E76" w14:textId="77777777" w:rsidR="00C30437" w:rsidRDefault="00B00B7B">
            <w:pPr>
              <w:jc w:val="right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bookmarkStart w:id="0" w:name="__DdeLink__5902_42929639991"/>
            <w:r>
              <w:rPr>
                <w:rFonts w:ascii="Times New Roman" w:eastAsia="Times New Roman" w:hAnsi="Times New Roman"/>
                <w:color w:val="000000"/>
              </w:rPr>
              <w:t>4,</w:t>
            </w:r>
            <w:bookmarkEnd w:id="0"/>
            <w:r>
              <w:rPr>
                <w:rFonts w:ascii="Times New Roman" w:eastAsia="Times New Roman" w:hAnsi="Times New Roman"/>
                <w:color w:val="000000"/>
              </w:rPr>
              <w:t>369,695</w:t>
            </w:r>
          </w:p>
        </w:tc>
        <w:tc>
          <w:tcPr>
            <w:tcW w:w="1717" w:type="dxa"/>
            <w:tcBorders>
              <w:bottom w:val="single" w:sz="4" w:space="0" w:color="000000"/>
            </w:tcBorders>
            <w:vAlign w:val="center"/>
          </w:tcPr>
          <w:p w14:paraId="75D32914" w14:textId="77777777" w:rsidR="00C30437" w:rsidRDefault="00B00B7B">
            <w:pPr>
              <w:jc w:val="right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561,719</w:t>
            </w:r>
          </w:p>
        </w:tc>
        <w:tc>
          <w:tcPr>
            <w:tcW w:w="1874" w:type="dxa"/>
            <w:tcBorders>
              <w:bottom w:val="single" w:sz="4" w:space="0" w:color="000000"/>
            </w:tcBorders>
            <w:vAlign w:val="center"/>
          </w:tcPr>
          <w:p w14:paraId="40DBD9FA" w14:textId="77777777" w:rsidR="00C30437" w:rsidRDefault="00B00B7B">
            <w:pPr>
              <w:jc w:val="right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11.39%</w:t>
            </w:r>
          </w:p>
        </w:tc>
      </w:tr>
      <w:tr w:rsidR="00C30437" w14:paraId="6A00020A" w14:textId="77777777">
        <w:trPr>
          <w:trHeight w:val="320"/>
        </w:trPr>
        <w:tc>
          <w:tcPr>
            <w:tcW w:w="208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9307E46" w14:textId="77777777" w:rsidR="00C30437" w:rsidRDefault="00B00B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Closed, </w:t>
            </w:r>
            <w:r>
              <w:rPr>
                <w:rFonts w:ascii="Times New Roman" w:hAnsi="Times New Roman"/>
                <w:u w:val="single"/>
              </w:rPr>
              <w:t>&gt;</w:t>
            </w:r>
            <w:r>
              <w:rPr>
                <w:rFonts w:ascii="Times New Roman" w:hAnsi="Times New Roman"/>
              </w:rPr>
              <w:t xml:space="preserve"> 60%</w:t>
            </w:r>
          </w:p>
        </w:tc>
        <w:tc>
          <w:tcPr>
            <w:tcW w:w="1970" w:type="dxa"/>
            <w:tcBorders>
              <w:bottom w:val="single" w:sz="4" w:space="0" w:color="000000"/>
            </w:tcBorders>
            <w:vAlign w:val="center"/>
          </w:tcPr>
          <w:p w14:paraId="7468FF72" w14:textId="77777777" w:rsidR="00C30437" w:rsidRDefault="00B00B7B">
            <w:pPr>
              <w:jc w:val="right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2,364,346</w:t>
            </w:r>
          </w:p>
        </w:tc>
        <w:tc>
          <w:tcPr>
            <w:tcW w:w="2443" w:type="dxa"/>
            <w:tcBorders>
              <w:bottom w:val="single" w:sz="4" w:space="0" w:color="000000"/>
            </w:tcBorders>
            <w:vAlign w:val="center"/>
          </w:tcPr>
          <w:p w14:paraId="7B1CA535" w14:textId="77777777" w:rsidR="00C30437" w:rsidRDefault="00B00B7B">
            <w:pPr>
              <w:jc w:val="right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2,085,084</w:t>
            </w:r>
          </w:p>
        </w:tc>
        <w:tc>
          <w:tcPr>
            <w:tcW w:w="1717" w:type="dxa"/>
            <w:tcBorders>
              <w:bottom w:val="single" w:sz="4" w:space="0" w:color="000000"/>
            </w:tcBorders>
            <w:vAlign w:val="center"/>
          </w:tcPr>
          <w:p w14:paraId="14FAD892" w14:textId="77777777" w:rsidR="00C30437" w:rsidRDefault="00B00B7B">
            <w:pPr>
              <w:jc w:val="right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279,262</w:t>
            </w:r>
          </w:p>
        </w:tc>
        <w:tc>
          <w:tcPr>
            <w:tcW w:w="1874" w:type="dxa"/>
            <w:tcBorders>
              <w:bottom w:val="single" w:sz="4" w:space="0" w:color="000000"/>
            </w:tcBorders>
            <w:vAlign w:val="center"/>
          </w:tcPr>
          <w:p w14:paraId="76530552" w14:textId="77777777" w:rsidR="00C30437" w:rsidRDefault="00B00B7B">
            <w:pPr>
              <w:jc w:val="right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11.81%</w:t>
            </w:r>
          </w:p>
        </w:tc>
      </w:tr>
    </w:tbl>
    <w:p w14:paraId="1D5B1F2A" w14:textId="77777777" w:rsidR="00C30437" w:rsidRDefault="00C30437">
      <w:pPr>
        <w:rPr>
          <w:rFonts w:ascii="Times New Roman" w:hAnsi="Times New Roman"/>
        </w:rPr>
      </w:pPr>
    </w:p>
    <w:p w14:paraId="4BC74674" w14:textId="77777777" w:rsidR="00C30437" w:rsidRDefault="00C30437">
      <w:pPr>
        <w:spacing w:after="12"/>
        <w:jc w:val="both"/>
        <w:rPr>
          <w:color w:val="000000"/>
        </w:rPr>
      </w:pPr>
    </w:p>
    <w:p w14:paraId="36E6B2D2" w14:textId="77777777" w:rsidR="00C30437" w:rsidRDefault="00B00B7B">
      <w:pPr>
        <w:spacing w:after="12"/>
        <w:jc w:val="both"/>
      </w:pPr>
      <w:r>
        <w:rPr>
          <w:color w:val="000000"/>
        </w:rPr>
        <w:t xml:space="preserve">Comparisons of best methods for estimating tropical dry forest extent and forest cover in 2000 and 2020 with open (&gt; 10% open canopy) and closed (&gt; 40% closed canopy) canopies between </w:t>
      </w:r>
      <w:r>
        <w:rPr>
          <w:iCs/>
          <w:color w:val="000000"/>
        </w:rPr>
        <w:t>30˚N and 30˚S</w:t>
      </w:r>
      <w:r>
        <w:rPr>
          <w:color w:val="000000"/>
        </w:rPr>
        <w:t xml:space="preserve">. </w:t>
      </w:r>
    </w:p>
    <w:p w14:paraId="4B670498" w14:textId="77777777" w:rsidR="00C30437" w:rsidRDefault="00C30437">
      <w:pPr>
        <w:spacing w:after="12"/>
        <w:jc w:val="both"/>
        <w:rPr>
          <w:color w:val="000000"/>
        </w:rPr>
      </w:pPr>
    </w:p>
    <w:tbl>
      <w:tblPr>
        <w:tblW w:w="10087" w:type="dxa"/>
        <w:tblInd w:w="115" w:type="dxa"/>
        <w:tblCellMar>
          <w:top w:w="29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899"/>
        <w:gridCol w:w="1440"/>
        <w:gridCol w:w="986"/>
        <w:gridCol w:w="1440"/>
        <w:gridCol w:w="1444"/>
        <w:gridCol w:w="1438"/>
        <w:gridCol w:w="1440"/>
      </w:tblGrid>
      <w:tr w:rsidR="00C30437" w14:paraId="176AF3DF" w14:textId="77777777">
        <w:trPr>
          <w:trHeight w:val="288"/>
        </w:trPr>
        <w:tc>
          <w:tcPr>
            <w:tcW w:w="1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A28210C" w14:textId="77777777" w:rsidR="00C30437" w:rsidRDefault="00B00B7B">
            <w:pPr>
              <w:rPr>
                <w:rFonts w:eastAsia="Times New Roman"/>
                <w:b/>
                <w:color w:val="000000"/>
                <w:sz w:val="22"/>
                <w:szCs w:val="22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</w:rPr>
              <w:t>Definition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00889D6F" w14:textId="77777777" w:rsidR="00C30437" w:rsidRDefault="00B00B7B">
            <w:pPr>
              <w:rPr>
                <w:rFonts w:eastAsia="Times New Roman"/>
                <w:b/>
                <w:color w:val="000000"/>
                <w:sz w:val="22"/>
                <w:szCs w:val="22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</w:rPr>
              <w:t>Source</w:t>
            </w: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140C5729" w14:textId="77777777" w:rsidR="00C30437" w:rsidRDefault="00B00B7B">
            <w:pPr>
              <w:rPr>
                <w:rFonts w:eastAsia="Times New Roman"/>
                <w:b/>
                <w:color w:val="000000"/>
                <w:sz w:val="22"/>
                <w:szCs w:val="22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</w:rPr>
              <w:t>Canopy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38787D56" w14:textId="77777777" w:rsidR="00C30437" w:rsidRDefault="00B00B7B">
            <w:pPr>
              <w:jc w:val="right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</w:rPr>
              <w:t>Forest Cover 2000</w:t>
            </w:r>
          </w:p>
        </w:tc>
        <w:tc>
          <w:tcPr>
            <w:tcW w:w="144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016D2F7D" w14:textId="77777777" w:rsidR="00C30437" w:rsidRDefault="00B00B7B">
            <w:pPr>
              <w:jc w:val="right"/>
              <w:rPr>
                <w:sz w:val="22"/>
                <w:szCs w:val="22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</w:rPr>
              <w:t>Estimated Cover 2020</w:t>
            </w:r>
          </w:p>
        </w:tc>
        <w:tc>
          <w:tcPr>
            <w:tcW w:w="14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54C3851B" w14:textId="77777777" w:rsidR="00C30437" w:rsidRDefault="00B00B7B">
            <w:pPr>
              <w:jc w:val="right"/>
              <w:rPr>
                <w:sz w:val="22"/>
                <w:szCs w:val="22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</w:rPr>
              <w:t>Gross Loss 2001-2020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6BD64D93" w14:textId="77777777" w:rsidR="00C30437" w:rsidRDefault="00B00B7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Percent Gross Loss</w:t>
            </w:r>
          </w:p>
        </w:tc>
      </w:tr>
      <w:tr w:rsidR="00C30437" w14:paraId="3D87AE6E" w14:textId="77777777">
        <w:trPr>
          <w:trHeight w:val="320"/>
        </w:trPr>
        <w:tc>
          <w:tcPr>
            <w:tcW w:w="18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A620A" w14:textId="77777777" w:rsidR="00C30437" w:rsidRDefault="00B00B7B">
            <w:pPr>
              <w:rPr>
                <w:rFonts w:eastAsia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Pantropics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300407" w14:textId="77777777" w:rsidR="00C30437" w:rsidRDefault="00B00B7B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GFC</w:t>
            </w: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5177E0C" w14:textId="77777777" w:rsidR="00C30437" w:rsidRDefault="00B00B7B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Open</w:t>
            </w:r>
          </w:p>
          <w:p w14:paraId="514B75CA" w14:textId="77777777" w:rsidR="00C30437" w:rsidRDefault="00B00B7B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Closed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6F2A1A5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27,352,569</w:t>
            </w:r>
          </w:p>
          <w:p w14:paraId="353019EC" w14:textId="77777777" w:rsidR="00C30437" w:rsidRDefault="00B00B7B">
            <w:pPr>
              <w:jc w:val="right"/>
              <w:textAlignment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20,064,659</w:t>
            </w:r>
          </w:p>
        </w:tc>
        <w:tc>
          <w:tcPr>
            <w:tcW w:w="14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15F4A8E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24,977,794</w:t>
            </w:r>
          </w:p>
          <w:p w14:paraId="0FBBD892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17,962,101</w:t>
            </w:r>
          </w:p>
        </w:tc>
        <w:tc>
          <w:tcPr>
            <w:tcW w:w="14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470083F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2,374,775</w:t>
            </w:r>
          </w:p>
          <w:p w14:paraId="48F91CFF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2,102,558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DA40C0" w14:textId="77777777" w:rsidR="00C30437" w:rsidRDefault="00B00B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8.68%</w:t>
            </w:r>
          </w:p>
          <w:p w14:paraId="2AF2BE9F" w14:textId="77777777" w:rsidR="00C30437" w:rsidRDefault="00B00B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10.48%</w:t>
            </w:r>
          </w:p>
        </w:tc>
      </w:tr>
      <w:tr w:rsidR="00C30437" w14:paraId="0495B6A2" w14:textId="77777777">
        <w:trPr>
          <w:trHeight w:val="320"/>
        </w:trPr>
        <w:tc>
          <w:tcPr>
            <w:tcW w:w="18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B958B" w14:textId="77777777" w:rsidR="00C30437" w:rsidRDefault="00B00B7B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Biodiversity Hotspots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E4B856" w14:textId="77777777" w:rsidR="00C30437" w:rsidRDefault="00B00B7B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Hoffmann et al. 2016</w:t>
            </w: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A806F9D" w14:textId="77777777" w:rsidR="00C30437" w:rsidRDefault="00B00B7B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Open</w:t>
            </w:r>
          </w:p>
          <w:p w14:paraId="5C46D8F6" w14:textId="77777777" w:rsidR="00C30437" w:rsidRDefault="00B00B7B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Closed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4FE4A08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8,828,443</w:t>
            </w:r>
          </w:p>
          <w:p w14:paraId="4A6AE7A0" w14:textId="77777777" w:rsidR="00C30437" w:rsidRDefault="00B00B7B">
            <w:pPr>
              <w:jc w:val="right"/>
              <w:textAlignment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7,096,634</w:t>
            </w:r>
          </w:p>
        </w:tc>
        <w:tc>
          <w:tcPr>
            <w:tcW w:w="14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244D359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7,679,278</w:t>
            </w:r>
          </w:p>
          <w:p w14:paraId="256CB83A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6,034,221</w:t>
            </w:r>
          </w:p>
        </w:tc>
        <w:tc>
          <w:tcPr>
            <w:tcW w:w="14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6E45A12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1,149,165</w:t>
            </w:r>
          </w:p>
          <w:p w14:paraId="11603C95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1,062,413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400E404" w14:textId="77777777" w:rsidR="00C30437" w:rsidRDefault="00B00B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13.02%</w:t>
            </w:r>
          </w:p>
          <w:p w14:paraId="213836A9" w14:textId="77777777" w:rsidR="00C30437" w:rsidRDefault="00B00B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14.97%</w:t>
            </w:r>
          </w:p>
        </w:tc>
      </w:tr>
      <w:tr w:rsidR="00C30437" w14:paraId="09A540D3" w14:textId="77777777">
        <w:trPr>
          <w:trHeight w:val="320"/>
        </w:trPr>
        <w:tc>
          <w:tcPr>
            <w:tcW w:w="189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E8C1208" w14:textId="77777777" w:rsidR="00C30437" w:rsidRDefault="00B00B7B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FAO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9CAB0D" w14:textId="77777777" w:rsidR="00C30437" w:rsidRDefault="00B00B7B">
            <w:pPr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CHELSA</w:t>
            </w:r>
          </w:p>
        </w:tc>
        <w:tc>
          <w:tcPr>
            <w:tcW w:w="986" w:type="dxa"/>
            <w:tcBorders>
              <w:bottom w:val="single" w:sz="4" w:space="0" w:color="000000"/>
            </w:tcBorders>
            <w:vAlign w:val="center"/>
          </w:tcPr>
          <w:p w14:paraId="3B5AEC29" w14:textId="77777777" w:rsidR="00C30437" w:rsidRDefault="00B00B7B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Open</w:t>
            </w:r>
          </w:p>
          <w:p w14:paraId="2A22C3F4" w14:textId="77777777" w:rsidR="00C30437" w:rsidRDefault="00B00B7B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Closed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  <w:vAlign w:val="center"/>
          </w:tcPr>
          <w:p w14:paraId="12C42011" w14:textId="77777777" w:rsidR="00C30437" w:rsidRDefault="00B00B7B">
            <w:pPr>
              <w:jc w:val="right"/>
              <w:textAlignment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9,625,291</w:t>
            </w:r>
          </w:p>
          <w:p w14:paraId="090ED70A" w14:textId="77777777" w:rsidR="00C30437" w:rsidRDefault="00B00B7B">
            <w:pPr>
              <w:jc w:val="right"/>
              <w:textAlignment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4,931,461</w:t>
            </w:r>
          </w:p>
        </w:tc>
        <w:tc>
          <w:tcPr>
            <w:tcW w:w="1444" w:type="dxa"/>
            <w:tcBorders>
              <w:bottom w:val="single" w:sz="4" w:space="0" w:color="000000"/>
            </w:tcBorders>
            <w:vAlign w:val="center"/>
          </w:tcPr>
          <w:p w14:paraId="195C4A37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8,883,523</w:t>
            </w:r>
          </w:p>
          <w:p w14:paraId="0497E093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4,369,742</w:t>
            </w:r>
          </w:p>
        </w:tc>
        <w:tc>
          <w:tcPr>
            <w:tcW w:w="1438" w:type="dxa"/>
            <w:tcBorders>
              <w:bottom w:val="single" w:sz="4" w:space="0" w:color="000000"/>
            </w:tcBorders>
            <w:vAlign w:val="center"/>
          </w:tcPr>
          <w:p w14:paraId="518F0A8B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741,768</w:t>
            </w:r>
          </w:p>
          <w:p w14:paraId="7794579A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561,719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  <w:vAlign w:val="center"/>
          </w:tcPr>
          <w:p w14:paraId="10F1985F" w14:textId="77777777" w:rsidR="00C30437" w:rsidRDefault="00B00B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7.71%</w:t>
            </w:r>
          </w:p>
          <w:p w14:paraId="1F6F3DDE" w14:textId="77777777" w:rsidR="00C30437" w:rsidRDefault="00B00B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11.39%</w:t>
            </w:r>
          </w:p>
        </w:tc>
      </w:tr>
      <w:tr w:rsidR="00C30437" w14:paraId="67E44A6E" w14:textId="77777777">
        <w:trPr>
          <w:trHeight w:val="320"/>
        </w:trPr>
        <w:tc>
          <w:tcPr>
            <w:tcW w:w="18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48398" w14:textId="77777777" w:rsidR="00C30437" w:rsidRDefault="00B00B7B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Murphy &amp; Lugo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2926BF" w14:textId="77777777" w:rsidR="00C30437" w:rsidRDefault="00B00B7B">
            <w:pPr>
              <w:rPr>
                <w:rFonts w:eastAsia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Worldclim</w:t>
            </w:r>
            <w:proofErr w:type="spellEnd"/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8C066FF" w14:textId="77777777" w:rsidR="00C30437" w:rsidRDefault="00B00B7B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Open</w:t>
            </w:r>
          </w:p>
          <w:p w14:paraId="183C16E9" w14:textId="77777777" w:rsidR="00C30437" w:rsidRDefault="00B00B7B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Closed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447AD0E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11,626,015</w:t>
            </w:r>
          </w:p>
          <w:p w14:paraId="5CC6C5B4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7,706,856</w:t>
            </w:r>
          </w:p>
        </w:tc>
        <w:tc>
          <w:tcPr>
            <w:tcW w:w="14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09B7F81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10,532,421</w:t>
            </w:r>
          </w:p>
          <w:p w14:paraId="78774E07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6,779,772</w:t>
            </w:r>
          </w:p>
        </w:tc>
        <w:tc>
          <w:tcPr>
            <w:tcW w:w="14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3F95E67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1,093,594</w:t>
            </w:r>
          </w:p>
          <w:p w14:paraId="60A752A2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927,084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E19FA0E" w14:textId="77777777" w:rsidR="00C30437" w:rsidRDefault="00B00B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9.41%</w:t>
            </w:r>
          </w:p>
          <w:p w14:paraId="159A9F77" w14:textId="77777777" w:rsidR="00C30437" w:rsidRDefault="00B00B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12.03%</w:t>
            </w:r>
          </w:p>
        </w:tc>
      </w:tr>
      <w:tr w:rsidR="00C30437" w14:paraId="15CF9C59" w14:textId="77777777">
        <w:trPr>
          <w:trHeight w:val="320"/>
        </w:trPr>
        <w:tc>
          <w:tcPr>
            <w:tcW w:w="18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852A0" w14:textId="77777777" w:rsidR="00C30437" w:rsidRDefault="00B00B7B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TSDBF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5696D9" w14:textId="77777777" w:rsidR="00C30437" w:rsidRDefault="00B00B7B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WWF</w:t>
            </w: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2E5CAB0" w14:textId="77777777" w:rsidR="00C30437" w:rsidRDefault="00B00B7B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Open</w:t>
            </w:r>
          </w:p>
          <w:p w14:paraId="249DA332" w14:textId="77777777" w:rsidR="00C30437" w:rsidRDefault="00B00B7B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Closed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E8A8629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1,049,668</w:t>
            </w:r>
          </w:p>
          <w:p w14:paraId="3349BA4C" w14:textId="77777777" w:rsidR="00C30437" w:rsidRDefault="00B00B7B">
            <w:pPr>
              <w:jc w:val="right"/>
              <w:textAlignment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782,492</w:t>
            </w:r>
          </w:p>
        </w:tc>
        <w:tc>
          <w:tcPr>
            <w:tcW w:w="14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E7CC290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927,467</w:t>
            </w:r>
          </w:p>
          <w:p w14:paraId="0340D6B2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670,336</w:t>
            </w:r>
          </w:p>
        </w:tc>
        <w:tc>
          <w:tcPr>
            <w:tcW w:w="14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9792FF8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122,201</w:t>
            </w:r>
          </w:p>
          <w:p w14:paraId="69323DF8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112,156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780541F" w14:textId="77777777" w:rsidR="00C30437" w:rsidRDefault="00B00B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11.64%</w:t>
            </w:r>
          </w:p>
          <w:p w14:paraId="2127FADC" w14:textId="77777777" w:rsidR="00C30437" w:rsidRDefault="00B00B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14.33%</w:t>
            </w:r>
          </w:p>
        </w:tc>
      </w:tr>
      <w:tr w:rsidR="00C30437" w14:paraId="0F5ECA27" w14:textId="77777777">
        <w:trPr>
          <w:trHeight w:val="320"/>
        </w:trPr>
        <w:tc>
          <w:tcPr>
            <w:tcW w:w="1898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DAE50" w14:textId="77777777" w:rsidR="00C30437" w:rsidRDefault="00B00B7B">
            <w:pPr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Consensus (all)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0524CE" w14:textId="77777777" w:rsidR="00C30437" w:rsidRDefault="00B00B7B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CHELSA</w:t>
            </w: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261C256" w14:textId="77777777" w:rsidR="00C30437" w:rsidRDefault="00B00B7B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Open</w:t>
            </w:r>
          </w:p>
          <w:p w14:paraId="0B692C5F" w14:textId="77777777" w:rsidR="00C30437" w:rsidRDefault="00B00B7B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Closed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CD7E4CB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98,632</w:t>
            </w:r>
          </w:p>
          <w:p w14:paraId="617126FF" w14:textId="77777777" w:rsidR="00C30437" w:rsidRDefault="00B00B7B">
            <w:pPr>
              <w:jc w:val="right"/>
              <w:textAlignment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20,758</w:t>
            </w:r>
          </w:p>
        </w:tc>
        <w:tc>
          <w:tcPr>
            <w:tcW w:w="14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CF1EA04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94,772</w:t>
            </w:r>
          </w:p>
          <w:p w14:paraId="77AB6C13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19,166</w:t>
            </w:r>
          </w:p>
        </w:tc>
        <w:tc>
          <w:tcPr>
            <w:tcW w:w="14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65DFFD4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3,860</w:t>
            </w:r>
          </w:p>
          <w:p w14:paraId="5F2C2348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1,592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5274FF" w14:textId="77777777" w:rsidR="00C30437" w:rsidRDefault="00B00B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3.91%</w:t>
            </w:r>
          </w:p>
          <w:p w14:paraId="655F2D6E" w14:textId="77777777" w:rsidR="00C30437" w:rsidRDefault="00B00B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7.67%</w:t>
            </w:r>
          </w:p>
        </w:tc>
      </w:tr>
      <w:tr w:rsidR="00C30437" w14:paraId="05DF3E3B" w14:textId="77777777">
        <w:trPr>
          <w:trHeight w:val="320"/>
        </w:trPr>
        <w:tc>
          <w:tcPr>
            <w:tcW w:w="1898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DF0F1" w14:textId="77777777" w:rsidR="00C30437" w:rsidRDefault="00C30437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911EEC" w14:textId="77777777" w:rsidR="00C30437" w:rsidRDefault="00B00B7B">
            <w:pPr>
              <w:rPr>
                <w:rFonts w:eastAsia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Worldclim</w:t>
            </w:r>
            <w:proofErr w:type="spellEnd"/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E5C279C" w14:textId="77777777" w:rsidR="00C30437" w:rsidRDefault="00B00B7B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Open</w:t>
            </w:r>
          </w:p>
          <w:p w14:paraId="306890D2" w14:textId="77777777" w:rsidR="00C30437" w:rsidRDefault="00B00B7B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Closed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6889996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813,914</w:t>
            </w:r>
          </w:p>
          <w:p w14:paraId="3178EC68" w14:textId="77777777" w:rsidR="00C30437" w:rsidRDefault="00B00B7B">
            <w:pPr>
              <w:jc w:val="right"/>
              <w:textAlignment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332,336</w:t>
            </w:r>
          </w:p>
        </w:tc>
        <w:tc>
          <w:tcPr>
            <w:tcW w:w="14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120E41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769,348</w:t>
            </w:r>
          </w:p>
          <w:p w14:paraId="5AB97721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305,973</w:t>
            </w:r>
          </w:p>
        </w:tc>
        <w:tc>
          <w:tcPr>
            <w:tcW w:w="14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81C0A94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44,566</w:t>
            </w:r>
          </w:p>
          <w:p w14:paraId="06CE7E3A" w14:textId="77777777" w:rsidR="00C30437" w:rsidRDefault="00B00B7B">
            <w:pPr>
              <w:jc w:val="righ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26,363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ACD1BDC" w14:textId="77777777" w:rsidR="00C30437" w:rsidRDefault="00B00B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5.48%</w:t>
            </w:r>
          </w:p>
          <w:p w14:paraId="69B2A7E0" w14:textId="77777777" w:rsidR="00C30437" w:rsidRDefault="00B00B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7.93%</w:t>
            </w:r>
          </w:p>
        </w:tc>
      </w:tr>
    </w:tbl>
    <w:p w14:paraId="60630897" w14:textId="77777777" w:rsidR="00C30437" w:rsidRDefault="00C30437">
      <w:pPr>
        <w:rPr>
          <w:rFonts w:ascii="Times New Roman" w:hAnsi="Times New Roman"/>
        </w:rPr>
      </w:pPr>
    </w:p>
    <w:p w14:paraId="524D7AAC" w14:textId="77777777" w:rsidR="00C30437" w:rsidRDefault="00B00B7B">
      <w:pPr>
        <w:rPr>
          <w:rFonts w:ascii="Times New Roman" w:hAnsi="Times New Roman"/>
        </w:rPr>
      </w:pPr>
      <w:r>
        <w:br w:type="page"/>
      </w:r>
    </w:p>
    <w:p w14:paraId="0167EEF5" w14:textId="6442DA2A" w:rsidR="00C30437" w:rsidRDefault="00B00B7B">
      <w:r>
        <w:rPr>
          <w:rFonts w:ascii="Times New Roman" w:hAnsi="Times New Roman"/>
          <w:color w:val="000000"/>
        </w:rPr>
        <w:lastRenderedPageBreak/>
        <w:t xml:space="preserve">Regional comparisons of (a) mean, (b) maximum, and (c) minimum forest cover percentage at 1 km over tropical dry forest field plots in 2000 between 30˚N and 30˚S. </w:t>
      </w:r>
      <w:r>
        <w:rPr>
          <w:rFonts w:ascii="Times New Roman" w:hAnsi="Times New Roman"/>
          <w:color w:val="000000"/>
        </w:rPr>
        <w:t xml:space="preserve"> </w:t>
      </w:r>
    </w:p>
    <w:p w14:paraId="0B46D1A6" w14:textId="77777777" w:rsidR="00C30437" w:rsidRDefault="00C30437"/>
    <w:p w14:paraId="36E579F7" w14:textId="77777777" w:rsidR="00C30437" w:rsidRDefault="00B00B7B">
      <w:r>
        <w:t>(a) Mean Cover Percentage</w:t>
      </w:r>
    </w:p>
    <w:p w14:paraId="1C84C19A" w14:textId="77777777" w:rsidR="00C30437" w:rsidRDefault="00B00B7B">
      <w:r>
        <w:rPr>
          <w:noProof/>
        </w:rPr>
        <w:drawing>
          <wp:inline distT="0" distB="0" distL="0" distR="0" wp14:anchorId="6CFC6273" wp14:editId="2959C75F">
            <wp:extent cx="6309360" cy="7162800"/>
            <wp:effectExtent l="0" t="0" r="0" b="0"/>
            <wp:docPr id="1" name="Imagen 1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3EA0B" w14:textId="77777777" w:rsidR="00C30437" w:rsidRDefault="00B00B7B">
      <w:r>
        <w:br w:type="page"/>
      </w:r>
    </w:p>
    <w:p w14:paraId="2D366B35" w14:textId="77777777" w:rsidR="00C30437" w:rsidRDefault="00B00B7B">
      <w:r>
        <w:lastRenderedPageBreak/>
        <w:t>(b) Maximum Cover Percentage</w:t>
      </w:r>
    </w:p>
    <w:p w14:paraId="1BBBA779" w14:textId="77777777" w:rsidR="00C30437" w:rsidRDefault="00B00B7B">
      <w:r>
        <w:rPr>
          <w:noProof/>
        </w:rPr>
        <w:drawing>
          <wp:inline distT="0" distB="0" distL="0" distR="0" wp14:anchorId="74424912" wp14:editId="2DFA3545">
            <wp:extent cx="6320155" cy="741616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490EC" w14:textId="77777777" w:rsidR="00C30437" w:rsidRDefault="00B00B7B">
      <w:r>
        <w:br w:type="page"/>
      </w:r>
    </w:p>
    <w:p w14:paraId="7508578B" w14:textId="77777777" w:rsidR="00C30437" w:rsidRDefault="00B00B7B">
      <w:r>
        <w:lastRenderedPageBreak/>
        <w:t xml:space="preserve">(c) Minimum Cover </w:t>
      </w:r>
      <w:r>
        <w:t>Percentage</w:t>
      </w:r>
    </w:p>
    <w:p w14:paraId="5C1356F8" w14:textId="77777777" w:rsidR="00C30437" w:rsidRDefault="00B00B7B">
      <w:r>
        <w:rPr>
          <w:noProof/>
        </w:rPr>
        <w:drawing>
          <wp:inline distT="0" distB="0" distL="0" distR="0" wp14:anchorId="72DA6A1C" wp14:editId="4025B067">
            <wp:extent cx="6320155" cy="70567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5" cy="705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437">
      <w:pgSz w:w="12240" w:h="15840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0437"/>
    <w:rsid w:val="00B00B7B"/>
    <w:rsid w:val="00C3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BDFC9"/>
  <w15:docId w15:val="{36108E9F-B2B0-4904-8902-142D7EAB3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kern w:val="2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HorizontalLine">
    <w:name w:val="Horizontal Line"/>
    <w:basedOn w:val="Normal"/>
    <w:next w:val="BodyText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chn off35</cp:lastModifiedBy>
  <cp:revision>21</cp:revision>
  <dcterms:created xsi:type="dcterms:W3CDTF">2021-04-21T13:29:00Z</dcterms:created>
  <dcterms:modified xsi:type="dcterms:W3CDTF">2021-05-14T12:15:00Z</dcterms:modified>
  <dc:language>en-US</dc:language>
</cp:coreProperties>
</file>