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2EFA" w14:textId="77777777" w:rsidR="00C508EA" w:rsidRDefault="00C508EA" w:rsidP="00C508EA">
      <w:pPr>
        <w:spacing w:line="480" w:lineRule="auto"/>
        <w:jc w:val="center"/>
        <w:rPr>
          <w:b/>
          <w:bCs/>
          <w:color w:val="000000" w:themeColor="text1"/>
          <w:szCs w:val="24"/>
          <w:lang w:val="en-US"/>
        </w:rPr>
      </w:pPr>
      <w:bookmarkStart w:id="0" w:name="_Hlk535421311"/>
      <w:r>
        <w:rPr>
          <w:b/>
          <w:bCs/>
          <w:noProof/>
          <w:color w:val="000000" w:themeColor="text1"/>
          <w:szCs w:val="24"/>
          <w:lang w:val="en-US"/>
        </w:rPr>
        <w:t xml:space="preserve">Solid Phase </w:t>
      </w:r>
      <w:r w:rsidRPr="001920A6">
        <w:rPr>
          <w:b/>
          <w:bCs/>
          <w:noProof/>
          <w:color w:val="000000" w:themeColor="text1"/>
          <w:szCs w:val="24"/>
          <w:lang w:val="en-US"/>
        </w:rPr>
        <w:t>Excitation</w:t>
      </w:r>
      <w:r>
        <w:rPr>
          <w:b/>
          <w:bCs/>
          <w:noProof/>
          <w:color w:val="000000" w:themeColor="text1"/>
          <w:szCs w:val="24"/>
          <w:lang w:val="en-US"/>
        </w:rPr>
        <w:t>-</w:t>
      </w:r>
      <w:r w:rsidRPr="001920A6">
        <w:rPr>
          <w:b/>
          <w:bCs/>
          <w:noProof/>
          <w:color w:val="000000" w:themeColor="text1"/>
          <w:szCs w:val="24"/>
          <w:lang w:val="en-US"/>
        </w:rPr>
        <w:t>Emission</w:t>
      </w:r>
      <w:r>
        <w:rPr>
          <w:b/>
          <w:bCs/>
          <w:color w:val="000000" w:themeColor="text1"/>
          <w:szCs w:val="24"/>
          <w:lang w:val="en-US"/>
        </w:rPr>
        <w:t xml:space="preserve"> Matrix Spectroscopy for Combustion Generated Particulate Matter Analysis</w:t>
      </w:r>
    </w:p>
    <w:p w14:paraId="0CBB53F2" w14:textId="77777777" w:rsidR="003F09E0" w:rsidRPr="0013086B" w:rsidRDefault="003F09E0" w:rsidP="003F09E0">
      <w:pPr>
        <w:spacing w:line="480" w:lineRule="auto"/>
        <w:jc w:val="center"/>
        <w:rPr>
          <w:i/>
          <w:iCs/>
          <w:szCs w:val="24"/>
          <w:vertAlign w:val="superscript"/>
          <w:lang w:val="en-US"/>
        </w:rPr>
      </w:pPr>
      <w:bookmarkStart w:id="1" w:name="_Hlk64384490"/>
      <w:bookmarkEnd w:id="0"/>
      <w:r w:rsidRPr="0013086B">
        <w:rPr>
          <w:i/>
          <w:iCs/>
          <w:szCs w:val="24"/>
          <w:lang w:val="en-US"/>
        </w:rPr>
        <w:t>Gaurav Mahamuni</w:t>
      </w:r>
      <w:r w:rsidRPr="0013086B">
        <w:rPr>
          <w:i/>
          <w:iCs/>
          <w:szCs w:val="24"/>
          <w:vertAlign w:val="superscript"/>
          <w:lang w:val="en-US"/>
        </w:rPr>
        <w:t>1</w:t>
      </w:r>
      <w:r w:rsidRPr="0013086B">
        <w:rPr>
          <w:i/>
          <w:iCs/>
          <w:szCs w:val="24"/>
          <w:lang w:val="en-US"/>
        </w:rPr>
        <w:t>, Jiayang He</w:t>
      </w:r>
      <w:r w:rsidRPr="0013086B">
        <w:rPr>
          <w:i/>
          <w:iCs/>
          <w:szCs w:val="24"/>
          <w:vertAlign w:val="superscript"/>
          <w:lang w:val="en-US"/>
        </w:rPr>
        <w:t>1</w:t>
      </w:r>
      <w:r w:rsidRPr="0013086B">
        <w:rPr>
          <w:i/>
          <w:iCs/>
          <w:szCs w:val="24"/>
          <w:lang w:val="en-US"/>
        </w:rPr>
        <w:t>, Jay Rutherford</w:t>
      </w:r>
      <w:r w:rsidRPr="0013086B">
        <w:rPr>
          <w:i/>
          <w:iCs/>
          <w:szCs w:val="24"/>
          <w:vertAlign w:val="superscript"/>
          <w:lang w:val="en-US"/>
        </w:rPr>
        <w:t>2</w:t>
      </w:r>
      <w:r w:rsidRPr="0013086B">
        <w:rPr>
          <w:i/>
          <w:iCs/>
          <w:szCs w:val="24"/>
          <w:lang w:val="en-US"/>
        </w:rPr>
        <w:t>, Byron Ockerman</w:t>
      </w:r>
      <w:r w:rsidRPr="0013086B">
        <w:rPr>
          <w:i/>
          <w:iCs/>
          <w:szCs w:val="24"/>
          <w:vertAlign w:val="superscript"/>
          <w:lang w:val="en-US"/>
        </w:rPr>
        <w:t>1</w:t>
      </w:r>
      <w:r w:rsidRPr="0013086B">
        <w:rPr>
          <w:i/>
          <w:iCs/>
          <w:szCs w:val="24"/>
          <w:lang w:val="en-US"/>
        </w:rPr>
        <w:t>, Arka Majumdar</w:t>
      </w:r>
      <w:r w:rsidRPr="0013086B">
        <w:rPr>
          <w:i/>
          <w:vertAlign w:val="superscript"/>
          <w:lang w:val="en-US"/>
        </w:rPr>
        <w:t>3</w:t>
      </w:r>
      <w:r w:rsidRPr="0013086B">
        <w:rPr>
          <w:i/>
          <w:iCs/>
          <w:szCs w:val="24"/>
          <w:lang w:val="en-US"/>
        </w:rPr>
        <w:t>, Edmund Seto</w:t>
      </w:r>
      <w:r w:rsidRPr="0013086B">
        <w:rPr>
          <w:i/>
          <w:iCs/>
          <w:szCs w:val="24"/>
          <w:vertAlign w:val="superscript"/>
          <w:lang w:val="en-US"/>
        </w:rPr>
        <w:t>4</w:t>
      </w:r>
      <w:r w:rsidRPr="0013086B">
        <w:rPr>
          <w:i/>
          <w:iCs/>
          <w:szCs w:val="24"/>
          <w:lang w:val="en-US"/>
        </w:rPr>
        <w:t>, Gregory Korshin</w:t>
      </w:r>
      <w:r w:rsidRPr="0013086B">
        <w:rPr>
          <w:i/>
          <w:iCs/>
          <w:szCs w:val="24"/>
          <w:vertAlign w:val="superscript"/>
          <w:lang w:val="en-US"/>
        </w:rPr>
        <w:t>5</w:t>
      </w:r>
      <w:r w:rsidRPr="0013086B">
        <w:rPr>
          <w:i/>
          <w:iCs/>
          <w:szCs w:val="24"/>
          <w:lang w:val="en-US"/>
        </w:rPr>
        <w:t>, Igor Novosselov*</w:t>
      </w:r>
      <w:r w:rsidRPr="0013086B">
        <w:rPr>
          <w:i/>
          <w:iCs/>
          <w:szCs w:val="24"/>
          <w:vertAlign w:val="superscript"/>
          <w:lang w:val="en-US"/>
        </w:rPr>
        <w:t>,1</w:t>
      </w:r>
    </w:p>
    <w:p w14:paraId="099013FA" w14:textId="77777777" w:rsidR="003F09E0" w:rsidRPr="0013086B" w:rsidRDefault="003F09E0" w:rsidP="003F09E0">
      <w:pPr>
        <w:pStyle w:val="CenteredHeading"/>
        <w:spacing w:line="480" w:lineRule="auto"/>
        <w:ind w:firstLine="0"/>
        <w:rPr>
          <w:b w:val="0"/>
          <w:sz w:val="24"/>
          <w:szCs w:val="24"/>
        </w:rPr>
      </w:pPr>
      <w:r w:rsidRPr="0013086B">
        <w:rPr>
          <w:b w:val="0"/>
          <w:sz w:val="24"/>
          <w:szCs w:val="24"/>
          <w:vertAlign w:val="superscript"/>
        </w:rPr>
        <w:t xml:space="preserve">1 </w:t>
      </w:r>
      <w:r w:rsidRPr="0013086B">
        <w:rPr>
          <w:b w:val="0"/>
          <w:sz w:val="24"/>
          <w:szCs w:val="24"/>
        </w:rPr>
        <w:t>University of Washington, Mechanical Engineering, Seattle, WA 98195</w:t>
      </w:r>
    </w:p>
    <w:p w14:paraId="775B25F9" w14:textId="77777777" w:rsidR="003F09E0" w:rsidRPr="0013086B" w:rsidRDefault="003F09E0" w:rsidP="003F09E0">
      <w:pPr>
        <w:pStyle w:val="CenteredHeading"/>
        <w:spacing w:line="480" w:lineRule="auto"/>
        <w:ind w:firstLine="0"/>
        <w:rPr>
          <w:b w:val="0"/>
          <w:sz w:val="24"/>
          <w:szCs w:val="24"/>
        </w:rPr>
      </w:pPr>
      <w:r w:rsidRPr="0013086B">
        <w:rPr>
          <w:b w:val="0"/>
          <w:sz w:val="24"/>
          <w:szCs w:val="24"/>
          <w:vertAlign w:val="superscript"/>
        </w:rPr>
        <w:t xml:space="preserve">2 </w:t>
      </w:r>
      <w:r w:rsidRPr="0013086B">
        <w:rPr>
          <w:b w:val="0"/>
          <w:sz w:val="24"/>
          <w:szCs w:val="24"/>
        </w:rPr>
        <w:t>University of Washington, Chemical Engineering, Seattle, WA 98195</w:t>
      </w:r>
    </w:p>
    <w:p w14:paraId="7ECCBE95" w14:textId="77777777" w:rsidR="003F09E0" w:rsidRPr="0013086B" w:rsidRDefault="003F09E0" w:rsidP="003F09E0">
      <w:pPr>
        <w:pStyle w:val="CenteredHeading"/>
        <w:spacing w:line="480" w:lineRule="auto"/>
        <w:ind w:firstLine="0"/>
        <w:rPr>
          <w:b w:val="0"/>
          <w:sz w:val="24"/>
          <w:szCs w:val="24"/>
        </w:rPr>
      </w:pPr>
      <w:r w:rsidRPr="0013086B">
        <w:rPr>
          <w:b w:val="0"/>
          <w:sz w:val="24"/>
          <w:szCs w:val="24"/>
          <w:vertAlign w:val="superscript"/>
        </w:rPr>
        <w:t xml:space="preserve">3 </w:t>
      </w:r>
      <w:r w:rsidRPr="0013086B">
        <w:rPr>
          <w:b w:val="0"/>
          <w:sz w:val="24"/>
          <w:szCs w:val="24"/>
        </w:rPr>
        <w:t>University of Washington, Electrical and Computer Engineering, Seattle, WA 98195</w:t>
      </w:r>
    </w:p>
    <w:p w14:paraId="0FB86786" w14:textId="77777777" w:rsidR="003F09E0" w:rsidRPr="0013086B" w:rsidRDefault="003F09E0" w:rsidP="003F09E0">
      <w:pPr>
        <w:pStyle w:val="CenteredHeading"/>
        <w:spacing w:line="480" w:lineRule="auto"/>
        <w:ind w:firstLine="0"/>
        <w:rPr>
          <w:b w:val="0"/>
          <w:sz w:val="24"/>
          <w:szCs w:val="24"/>
        </w:rPr>
      </w:pPr>
      <w:r w:rsidRPr="0013086B">
        <w:rPr>
          <w:b w:val="0"/>
          <w:sz w:val="24"/>
          <w:szCs w:val="24"/>
          <w:vertAlign w:val="superscript"/>
        </w:rPr>
        <w:t>4</w:t>
      </w:r>
      <w:r w:rsidRPr="0013086B">
        <w:rPr>
          <w:b w:val="0"/>
          <w:sz w:val="24"/>
          <w:szCs w:val="24"/>
        </w:rPr>
        <w:t>University of Washington, Environmental and Occupational Health Sciences, Seattle, WA 98195</w:t>
      </w:r>
    </w:p>
    <w:p w14:paraId="306829DE" w14:textId="77777777" w:rsidR="003F09E0" w:rsidRPr="0013086B" w:rsidRDefault="003F09E0" w:rsidP="003F09E0">
      <w:pPr>
        <w:pStyle w:val="CenteredHeading"/>
        <w:spacing w:line="480" w:lineRule="auto"/>
        <w:ind w:firstLine="0"/>
        <w:rPr>
          <w:b w:val="0"/>
          <w:sz w:val="24"/>
          <w:szCs w:val="24"/>
        </w:rPr>
      </w:pPr>
      <w:r w:rsidRPr="0013086B">
        <w:rPr>
          <w:b w:val="0"/>
          <w:sz w:val="24"/>
          <w:szCs w:val="24"/>
          <w:vertAlign w:val="superscript"/>
        </w:rPr>
        <w:t xml:space="preserve">5 </w:t>
      </w:r>
      <w:r w:rsidRPr="0013086B">
        <w:rPr>
          <w:b w:val="0"/>
          <w:sz w:val="24"/>
          <w:szCs w:val="24"/>
        </w:rPr>
        <w:t>University of Washington, Civil and Environmental Engineering, Seattle, WA 98195</w:t>
      </w:r>
    </w:p>
    <w:bookmarkEnd w:id="1"/>
    <w:p w14:paraId="005BEB6E" w14:textId="77777777" w:rsidR="00114264" w:rsidRPr="00401768" w:rsidRDefault="00114264" w:rsidP="00114264">
      <w:pPr>
        <w:pStyle w:val="CenteredHeading"/>
        <w:rPr>
          <w:b w:val="0"/>
          <w:color w:val="000000" w:themeColor="text1"/>
          <w:sz w:val="24"/>
          <w:szCs w:val="24"/>
        </w:rPr>
      </w:pPr>
    </w:p>
    <w:p w14:paraId="45EF1567" w14:textId="352E6ACB" w:rsidR="00114264" w:rsidRDefault="00114264" w:rsidP="00114264">
      <w:pPr>
        <w:spacing w:line="240" w:lineRule="auto"/>
        <w:jc w:val="center"/>
        <w:rPr>
          <w:b/>
          <w:bCs/>
          <w:color w:val="000000" w:themeColor="text1"/>
          <w:szCs w:val="24"/>
          <w:lang w:val="en-US"/>
        </w:rPr>
      </w:pPr>
      <w:r>
        <w:rPr>
          <w:b/>
          <w:bCs/>
          <w:color w:val="000000" w:themeColor="text1"/>
          <w:szCs w:val="24"/>
          <w:lang w:val="en-US"/>
        </w:rPr>
        <w:t>Supplemental Information</w:t>
      </w:r>
    </w:p>
    <w:p w14:paraId="50C3B06E" w14:textId="06B25770" w:rsidR="005351E6" w:rsidRPr="000E4103" w:rsidRDefault="005351E6" w:rsidP="00114264">
      <w:pPr>
        <w:spacing w:line="240" w:lineRule="auto"/>
        <w:jc w:val="center"/>
        <w:rPr>
          <w:color w:val="000000" w:themeColor="text1"/>
          <w:szCs w:val="24"/>
          <w:lang w:val="en-US"/>
        </w:rPr>
      </w:pPr>
      <w:r w:rsidRPr="000E4103">
        <w:rPr>
          <w:color w:val="000000" w:themeColor="text1"/>
          <w:szCs w:val="24"/>
          <w:lang w:val="en-US"/>
        </w:rPr>
        <w:t>Number of Pages: 8</w:t>
      </w:r>
    </w:p>
    <w:p w14:paraId="02D117C4" w14:textId="7496DA04" w:rsidR="005351E6" w:rsidRPr="000E4103" w:rsidRDefault="005351E6" w:rsidP="00114264">
      <w:pPr>
        <w:spacing w:line="240" w:lineRule="auto"/>
        <w:jc w:val="center"/>
        <w:rPr>
          <w:color w:val="000000" w:themeColor="text1"/>
          <w:szCs w:val="24"/>
          <w:lang w:val="en-US"/>
        </w:rPr>
      </w:pPr>
      <w:r w:rsidRPr="000E4103">
        <w:rPr>
          <w:color w:val="000000" w:themeColor="text1"/>
          <w:szCs w:val="24"/>
          <w:lang w:val="en-US"/>
        </w:rPr>
        <w:t>Number of Figures: 9</w:t>
      </w:r>
    </w:p>
    <w:p w14:paraId="05D22F70" w14:textId="6B7282DF" w:rsidR="005351E6" w:rsidRDefault="005351E6">
      <w:pPr>
        <w:spacing w:after="160" w:line="259" w:lineRule="auto"/>
        <w:rPr>
          <w:b/>
          <w:bCs/>
          <w:color w:val="000000" w:themeColor="text1"/>
          <w:szCs w:val="24"/>
          <w:lang w:val="en-US"/>
        </w:rPr>
      </w:pPr>
      <w:r>
        <w:rPr>
          <w:b/>
          <w:bCs/>
          <w:color w:val="000000" w:themeColor="text1"/>
          <w:szCs w:val="24"/>
          <w:lang w:val="en-US"/>
        </w:rPr>
        <w:br w:type="page"/>
      </w:r>
    </w:p>
    <w:p w14:paraId="29E67ABF" w14:textId="4FA2834A" w:rsidR="003D3104" w:rsidRDefault="003D3104" w:rsidP="0036746A">
      <w:pPr>
        <w:pStyle w:val="Heading1"/>
      </w:pPr>
      <w:r>
        <w:lastRenderedPageBreak/>
        <w:t xml:space="preserve">Particulate Matter Collection </w:t>
      </w:r>
    </w:p>
    <w:tbl>
      <w:tblPr>
        <w:tblStyle w:val="TableGrid"/>
        <w:tblW w:w="9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56"/>
      </w:tblGrid>
      <w:tr w:rsidR="003D3104" w:rsidRPr="00E1436C" w14:paraId="1815A311" w14:textId="77777777" w:rsidTr="00A72A81">
        <w:trPr>
          <w:cantSplit/>
          <w:trHeight w:val="2187"/>
        </w:trPr>
        <w:tc>
          <w:tcPr>
            <w:tcW w:w="9456" w:type="dxa"/>
          </w:tcPr>
          <w:p w14:paraId="60F7A8DA" w14:textId="51FFFF05" w:rsidR="003D3104" w:rsidRPr="00E1436C" w:rsidRDefault="00A72A81" w:rsidP="00B5346B">
            <w:pPr>
              <w:pStyle w:val="body"/>
              <w:spacing w:after="0"/>
              <w:jc w:val="center"/>
            </w:pPr>
            <w:r>
              <w:rPr>
                <w:noProof/>
              </w:rPr>
              <w:drawing>
                <wp:inline distT="0" distB="0" distL="0" distR="0" wp14:anchorId="54B95D38" wp14:editId="2B756713">
                  <wp:extent cx="5943600" cy="12642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64285"/>
                          </a:xfrm>
                          <a:prstGeom prst="rect">
                            <a:avLst/>
                          </a:prstGeom>
                          <a:noFill/>
                          <a:ln>
                            <a:noFill/>
                          </a:ln>
                        </pic:spPr>
                      </pic:pic>
                    </a:graphicData>
                  </a:graphic>
                </wp:inline>
              </w:drawing>
            </w:r>
          </w:p>
        </w:tc>
      </w:tr>
      <w:tr w:rsidR="003D3104" w:rsidRPr="00E1436C" w14:paraId="337489CC" w14:textId="77777777" w:rsidTr="009E013C">
        <w:trPr>
          <w:cantSplit/>
          <w:trHeight w:val="2203"/>
        </w:trPr>
        <w:tc>
          <w:tcPr>
            <w:tcW w:w="9456" w:type="dxa"/>
          </w:tcPr>
          <w:p w14:paraId="111D7DEC" w14:textId="33215027" w:rsidR="003D3104" w:rsidRPr="003D3104" w:rsidRDefault="003D3104" w:rsidP="003D3104">
            <w:pPr>
              <w:pStyle w:val="body"/>
              <w:spacing w:line="480" w:lineRule="auto"/>
              <w:rPr>
                <w:bCs/>
                <w:color w:val="000000" w:themeColor="text1"/>
              </w:rPr>
            </w:pPr>
            <w:bookmarkStart w:id="2" w:name="_Ref34054190"/>
            <w:r w:rsidRPr="003D3104">
              <w:rPr>
                <w:color w:val="000000" w:themeColor="text1"/>
              </w:rPr>
              <w:t>Figure</w:t>
            </w:r>
            <w:bookmarkEnd w:id="2"/>
            <w:r>
              <w:rPr>
                <w:color w:val="000000" w:themeColor="text1"/>
              </w:rPr>
              <w:t xml:space="preserve"> S1</w:t>
            </w:r>
            <w:r w:rsidRPr="003D3104">
              <w:rPr>
                <w:color w:val="000000" w:themeColor="text1"/>
              </w:rPr>
              <w:t>: Quartz slide coated with PDMS (left) was placed in a parallel plate electrostatic collector. Combustion</w:t>
            </w:r>
            <w:r w:rsidR="006C5361">
              <w:rPr>
                <w:color w:val="000000" w:themeColor="text1"/>
              </w:rPr>
              <w:t>-</w:t>
            </w:r>
            <w:r w:rsidRPr="003D3104">
              <w:rPr>
                <w:color w:val="000000" w:themeColor="text1"/>
              </w:rPr>
              <w:t>generated PM was collected directly onto the PDMS coated surface of the substrate. The substrate was used for SP-EEM analysis after collection.</w:t>
            </w:r>
          </w:p>
        </w:tc>
      </w:tr>
    </w:tbl>
    <w:p w14:paraId="011FE1F6" w14:textId="30C83EBE" w:rsidR="00E91B8F" w:rsidRDefault="00E91B8F" w:rsidP="0036746A">
      <w:pPr>
        <w:pStyle w:val="Heading1"/>
      </w:pPr>
      <w:bookmarkStart w:id="3" w:name="_Hlk35613598"/>
      <w:r>
        <w:t>External Excitation SP-EEM Measurement</w:t>
      </w:r>
    </w:p>
    <w:p w14:paraId="02DA70B9" w14:textId="09D86D18" w:rsidR="00105DE3" w:rsidRDefault="004A3D33" w:rsidP="00D57725">
      <w:pPr>
        <w:spacing w:line="480" w:lineRule="auto"/>
        <w:jc w:val="both"/>
        <w:rPr>
          <w:rFonts w:cs="Times New Roman"/>
        </w:rPr>
      </w:pPr>
      <w:bookmarkStart w:id="4" w:name="_Hlk35613455"/>
      <w:bookmarkEnd w:id="3"/>
      <w:r>
        <w:t xml:space="preserve">External excitation SP-EEMs of </w:t>
      </w:r>
      <w:r w:rsidRPr="00224E54">
        <w:t xml:space="preserve">woodsmoke at varying </w:t>
      </w:r>
      <w:r w:rsidRPr="00224E54">
        <w:rPr>
          <w:rFonts w:cs="Times New Roman"/>
        </w:rPr>
        <w:t>θ</w:t>
      </w:r>
      <w:r w:rsidRPr="00224E54">
        <w:t xml:space="preserve"> are plotted in </w:t>
      </w:r>
      <w:r w:rsidR="00896DAE" w:rsidRPr="00224E54">
        <w:t>S2</w:t>
      </w:r>
      <w:r w:rsidRPr="00224E54">
        <w:t xml:space="preserve"> without removing the Rayleigh and Raman scattering peaks computationally. As θ increases from 0</w:t>
      </w:r>
      <w:r w:rsidR="0088163C">
        <w:rPr>
          <w:rFonts w:cs="Times New Roman"/>
        </w:rPr>
        <w:t>°</w:t>
      </w:r>
      <w:r w:rsidRPr="00224E54">
        <w:t xml:space="preserve"> to 50</w:t>
      </w:r>
      <w:r w:rsidR="0088163C">
        <w:rPr>
          <w:rFonts w:cs="Times New Roman"/>
        </w:rPr>
        <w:t>°</w:t>
      </w:r>
      <w:r w:rsidRPr="00224E54">
        <w:t xml:space="preserve">, </w:t>
      </w:r>
      <w:r w:rsidR="00E32CB2">
        <w:t xml:space="preserve">the </w:t>
      </w:r>
      <w:r w:rsidR="00896DAE" w:rsidRPr="00224E54">
        <w:t>intensity of woodsmoke</w:t>
      </w:r>
      <w:r w:rsidRPr="00224E54">
        <w:t xml:space="preserve"> fluorescence</w:t>
      </w:r>
      <w:r w:rsidR="00896DAE" w:rsidRPr="00224E54">
        <w:t xml:space="preserve"> peaks</w:t>
      </w:r>
      <w:r w:rsidRPr="00224E54">
        <w:t xml:space="preserve"> increases</w:t>
      </w:r>
      <w:r w:rsidR="00E32CB2">
        <w:t>;</w:t>
      </w:r>
      <w:r w:rsidRPr="00224E54">
        <w:t xml:space="preserve"> however</w:t>
      </w:r>
      <w:r w:rsidR="00E32CB2">
        <w:t>,</w:t>
      </w:r>
      <w:r w:rsidR="00896DAE" w:rsidRPr="00224E54">
        <w:t xml:space="preserve"> </w:t>
      </w:r>
      <w:r w:rsidR="00E32CB2">
        <w:t xml:space="preserve">a </w:t>
      </w:r>
      <w:r w:rsidR="00896DAE" w:rsidRPr="00224E54">
        <w:t xml:space="preserve">greater </w:t>
      </w:r>
      <w:r w:rsidR="00E32CB2">
        <w:t>EEM region is</w:t>
      </w:r>
      <w:r w:rsidR="00896DAE" w:rsidRPr="00224E54">
        <w:t xml:space="preserve"> masked due to wider</w:t>
      </w:r>
      <w:r w:rsidRPr="00224E54">
        <w:t xml:space="preserve"> Rayleigh and Raman scattering peaks</w:t>
      </w:r>
      <w:r w:rsidR="00896DAE" w:rsidRPr="00224E54">
        <w:t>. The</w:t>
      </w:r>
      <w:r w:rsidR="00896DAE">
        <w:t xml:space="preserve"> same is observed when </w:t>
      </w:r>
      <w:r w:rsidR="00896DAE">
        <w:rPr>
          <w:rFonts w:cs="Times New Roman"/>
        </w:rPr>
        <w:t>θ</w:t>
      </w:r>
      <w:r w:rsidR="00896DAE">
        <w:t xml:space="preserve"> decreases from 85</w:t>
      </w:r>
      <w:r w:rsidR="0088163C">
        <w:rPr>
          <w:rFonts w:cs="Times New Roman"/>
        </w:rPr>
        <w:t>°</w:t>
      </w:r>
      <w:r w:rsidR="00896DAE">
        <w:rPr>
          <w:rFonts w:cs="Times New Roman"/>
        </w:rPr>
        <w:t xml:space="preserve"> to 50°. </w:t>
      </w:r>
      <w:r w:rsidR="00896DAE">
        <w:t>At</w:t>
      </w:r>
      <w:r>
        <w:t xml:space="preserve"> </w:t>
      </w:r>
      <w:r>
        <w:rPr>
          <w:rFonts w:cs="Times New Roman"/>
        </w:rPr>
        <w:t>θ</w:t>
      </w:r>
      <w:r>
        <w:t xml:space="preserve"> = 50</w:t>
      </w:r>
      <w:r w:rsidR="0088163C">
        <w:rPr>
          <w:rFonts w:cs="Times New Roman"/>
        </w:rPr>
        <w:t>°</w:t>
      </w:r>
      <w:r>
        <w:t>, the intensity of woodsmoke fluorescence peaks is the highest among all SP-EEMs</w:t>
      </w:r>
      <w:r w:rsidR="006C5361">
        <w:t>,</w:t>
      </w:r>
      <w:r>
        <w:t xml:space="preserve"> however</w:t>
      </w:r>
      <w:r w:rsidR="006C5361">
        <w:t>,</w:t>
      </w:r>
      <w:r>
        <w:t xml:space="preserve"> the scattering peaks block almost all the fluorescence peaks except in the region </w:t>
      </w:r>
      <w:proofErr w:type="spellStart"/>
      <w:r>
        <w:rPr>
          <w:rFonts w:ascii="Arial" w:hAnsi="Arial" w:cs="Arial"/>
        </w:rPr>
        <w:t>λ</w:t>
      </w:r>
      <w:r w:rsidRPr="00677E62">
        <w:rPr>
          <w:vertAlign w:val="subscript"/>
        </w:rPr>
        <w:t>ex</w:t>
      </w:r>
      <w:proofErr w:type="spellEnd"/>
      <w:r>
        <w:t xml:space="preserve"> = 280nm – 320nm, </w:t>
      </w:r>
      <w:proofErr w:type="spellStart"/>
      <w:r>
        <w:rPr>
          <w:rFonts w:ascii="Arial" w:hAnsi="Arial" w:cs="Arial"/>
        </w:rPr>
        <w:t>λ</w:t>
      </w:r>
      <w:r w:rsidRPr="00677E62">
        <w:rPr>
          <w:vertAlign w:val="subscript"/>
        </w:rPr>
        <w:t>e</w:t>
      </w:r>
      <w:r>
        <w:rPr>
          <w:vertAlign w:val="subscript"/>
        </w:rPr>
        <w:t>m</w:t>
      </w:r>
      <w:proofErr w:type="spellEnd"/>
      <w:r>
        <w:t xml:space="preserve"> = 380nm – 480nm. These masked external excitation SP-EEM features cannot be </w:t>
      </w:r>
      <w:r w:rsidR="00E32CB2">
        <w:t>recovered</w:t>
      </w:r>
      <w:r>
        <w:t xml:space="preserve"> using interpolation of scattering peaks as </w:t>
      </w:r>
      <w:r w:rsidR="00E32CB2">
        <w:t xml:space="preserve">in the </w:t>
      </w:r>
      <w:r>
        <w:t>LP-EEMs because the scattering peaks are significantly broader compared to the fluorescence peaks.</w:t>
      </w:r>
      <w:r w:rsidR="00896DAE">
        <w:t xml:space="preserve"> </w:t>
      </w:r>
      <w:r w:rsidR="00D57725">
        <w:t xml:space="preserve">For </w:t>
      </w:r>
      <w:r w:rsidR="00D57725">
        <w:rPr>
          <w:rFonts w:cs="Times New Roman"/>
        </w:rPr>
        <w:t>θ</w:t>
      </w:r>
      <w:r w:rsidR="00D57725">
        <w:t xml:space="preserve"> = 0</w:t>
      </w:r>
      <w:r w:rsidR="0088163C">
        <w:rPr>
          <w:rFonts w:cs="Times New Roman"/>
        </w:rPr>
        <w:t>°</w:t>
      </w:r>
      <w:r w:rsidR="00D57725">
        <w:t xml:space="preserve"> or </w:t>
      </w:r>
      <w:r w:rsidR="00D57725">
        <w:rPr>
          <w:rFonts w:cs="Times New Roman"/>
        </w:rPr>
        <w:t>θ</w:t>
      </w:r>
      <w:r w:rsidR="00D57725">
        <w:t xml:space="preserve"> = 85</w:t>
      </w:r>
      <w:r w:rsidR="0088163C">
        <w:rPr>
          <w:rFonts w:cs="Times New Roman"/>
        </w:rPr>
        <w:t>°</w:t>
      </w:r>
      <w:r w:rsidR="00D57725">
        <w:t>, the scattering peaks are narrow</w:t>
      </w:r>
      <w:r w:rsidR="00E32CB2">
        <w:t>er</w:t>
      </w:r>
      <w:r w:rsidR="00D57725">
        <w:t xml:space="preserve">, the intensity of </w:t>
      </w:r>
      <w:r w:rsidR="00E32CB2">
        <w:t xml:space="preserve">the </w:t>
      </w:r>
      <w:r w:rsidR="00D57725">
        <w:t xml:space="preserve">fluorescence signal is </w:t>
      </w:r>
      <w:r w:rsidR="00E32CB2">
        <w:t>too low</w:t>
      </w:r>
      <w:r w:rsidR="00D57725">
        <w:t xml:space="preserve">. </w:t>
      </w:r>
    </w:p>
    <w:p w14:paraId="107A9B2E" w14:textId="1A78D220" w:rsidR="00105DE3" w:rsidRDefault="00105DE3" w:rsidP="00D57725">
      <w:pPr>
        <w:spacing w:line="480" w:lineRule="auto"/>
        <w:jc w:val="both"/>
        <w:rPr>
          <w:rFonts w:cs="Times New Roman"/>
        </w:rPr>
      </w:pPr>
      <w:r>
        <w:rPr>
          <w:rFonts w:cs="Times New Roman"/>
        </w:rPr>
        <w:t>For smaller θ, most of the light detected is reflection/scattering. As θ increases, the path of reflected/scattered light moves away from the detector</w:t>
      </w:r>
      <w:r w:rsidR="00E32CB2">
        <w:rPr>
          <w:rFonts w:cs="Times New Roman"/>
        </w:rPr>
        <w:t>,</w:t>
      </w:r>
      <w:r>
        <w:rPr>
          <w:rFonts w:cs="Times New Roman"/>
        </w:rPr>
        <w:t xml:space="preserve"> and PM fluorescence peaks are observed in SP-EEMs. For θ &gt; 50</w:t>
      </w:r>
      <w:r w:rsidR="0088163C">
        <w:rPr>
          <w:rFonts w:cs="Times New Roman"/>
        </w:rPr>
        <w:t>°</w:t>
      </w:r>
      <w:r>
        <w:rPr>
          <w:rFonts w:cs="Times New Roman"/>
        </w:rPr>
        <w:t xml:space="preserve">, as θ increases, </w:t>
      </w:r>
      <w:r w:rsidR="00E32CB2">
        <w:rPr>
          <w:rFonts w:cs="Times New Roman"/>
        </w:rPr>
        <w:t xml:space="preserve">the </w:t>
      </w:r>
      <w:r>
        <w:rPr>
          <w:rFonts w:cs="Times New Roman"/>
        </w:rPr>
        <w:t xml:space="preserve">path of </w:t>
      </w:r>
      <w:r w:rsidR="00CE74EF">
        <w:rPr>
          <w:rFonts w:cs="Times New Roman"/>
        </w:rPr>
        <w:t xml:space="preserve">emitted </w:t>
      </w:r>
      <w:r>
        <w:rPr>
          <w:rFonts w:cs="Times New Roman"/>
        </w:rPr>
        <w:t xml:space="preserve">fluorescence </w:t>
      </w:r>
      <w:r w:rsidR="00CE74EF">
        <w:rPr>
          <w:rFonts w:cs="Times New Roman"/>
        </w:rPr>
        <w:t>light</w:t>
      </w:r>
      <w:r>
        <w:rPr>
          <w:rFonts w:cs="Times New Roman"/>
        </w:rPr>
        <w:t xml:space="preserve"> through PDMS </w:t>
      </w:r>
      <w:r>
        <w:rPr>
          <w:rFonts w:cs="Times New Roman"/>
        </w:rPr>
        <w:lastRenderedPageBreak/>
        <w:t>increases</w:t>
      </w:r>
      <w:r w:rsidR="00CE74EF">
        <w:rPr>
          <w:rFonts w:cs="Times New Roman"/>
        </w:rPr>
        <w:t>. This reduces</w:t>
      </w:r>
      <w:r>
        <w:rPr>
          <w:rFonts w:cs="Times New Roman"/>
        </w:rPr>
        <w:t xml:space="preserve"> </w:t>
      </w:r>
      <w:r w:rsidR="00CE74EF">
        <w:rPr>
          <w:rFonts w:cs="Times New Roman"/>
        </w:rPr>
        <w:t xml:space="preserve">PM </w:t>
      </w:r>
      <w:r>
        <w:rPr>
          <w:rFonts w:cs="Times New Roman"/>
        </w:rPr>
        <w:t xml:space="preserve">fluorescence reaching the detector due to </w:t>
      </w:r>
      <w:r w:rsidR="00E32CB2">
        <w:rPr>
          <w:rFonts w:cs="Times New Roman"/>
        </w:rPr>
        <w:t xml:space="preserve">the </w:t>
      </w:r>
      <w:r>
        <w:rPr>
          <w:rFonts w:cs="Times New Roman"/>
        </w:rPr>
        <w:t>inner filter effect.</w:t>
      </w:r>
      <w:r w:rsidR="00CE74EF">
        <w:rPr>
          <w:bCs/>
          <w:color w:val="000000" w:themeColor="text1"/>
        </w:rPr>
        <w:fldChar w:fldCharType="begin"/>
      </w:r>
      <w:r w:rsidR="00CE74EF">
        <w:rPr>
          <w:bCs/>
          <w:color w:val="000000" w:themeColor="text1"/>
        </w:rPr>
        <w:instrText xml:space="preserve"> ADDIN ZOTERO_ITEM CSL_CITATION {"citationID":"2acaImVk","properties":{"formattedCitation":"\\super 1\\nosupersub{}","plainCitation":"1","noteIndex":0},"citationItems":[{"id":95,"uris":["http://zotero.org/users/5397640/items/49E7JFLA"],"uri":["http://zotero.org/users/5397640/items/49E7JFLA"],"itemData":{"id":95,"type":"article-journal","abstract":"Fluorescence excitation-emission matrix (EEM) spectroscopy is a useful tool for interpretation of fluorescence information from natural water samples. One of the major problems with this technique is the inner-filter effect (IFE), i.e. absorption of light at both the excitation and emission wavelengths. The common solutions are to either dilute the sample or apply some form of mathematical correction, most often based on the measured absorbance of the sample. Since dilution is not always possible, e.g. in on-line or in situ EEM recordings, and corrections based on absorbance are hampered primarily by the use of a separate absorbance instrument, neither of these solutions is optimal. In this work, we propose a mathematical correction procedure based on the intensity of Raman scatter from water. This procedure was found to reduce the error after correction by up to 50% in comparison with two absorbance correction procedures. Furthermore, it does not require the use of a separate absorbance measurement, and it is applicable to on-line and in situ EEM recordings, where the IFE would otherwise cause problems.","container-title":"Analytica Chimica Acta","DOI":"10.1016/j.aca.2006.09.067","ISSN":"0003-2670","issue":"2","journalAbbreviation":"Analytica Chimica Acta","page":"357-363","source":"ScienceDirect","title":"Correction of inner-filter effect in fluorescence excitation-emission matrix spectrometry using Raman scatter","volume":"583","author":[{"family":"Larsson","given":"Tobias"},{"family":"Wedborg","given":"Margareta"},{"family":"Turner","given":"David"}],"issued":{"date-parts":[["2007",2,5]]}}}],"schema":"https://github.com/citation-style-language/schema/raw/master/csl-citation.json"} </w:instrText>
      </w:r>
      <w:r w:rsidR="00CE74EF">
        <w:rPr>
          <w:bCs/>
          <w:color w:val="000000" w:themeColor="text1"/>
        </w:rPr>
        <w:fldChar w:fldCharType="separate"/>
      </w:r>
      <w:r w:rsidR="00CE74EF" w:rsidRPr="00CE74EF">
        <w:rPr>
          <w:rFonts w:cs="Times New Roman"/>
          <w:szCs w:val="24"/>
          <w:vertAlign w:val="superscript"/>
        </w:rPr>
        <w:t>1</w:t>
      </w:r>
      <w:r w:rsidR="00CE74EF">
        <w:rPr>
          <w:bCs/>
          <w:color w:val="000000" w:themeColor="text1"/>
        </w:rPr>
        <w:fldChar w:fldCharType="end"/>
      </w:r>
      <w:r w:rsidR="00CE74EF">
        <w:rPr>
          <w:bCs/>
          <w:color w:val="000000" w:themeColor="text1"/>
        </w:rPr>
        <w:t xml:space="preserve"> </w:t>
      </w:r>
      <w:r w:rsidR="00CE74EF">
        <w:t xml:space="preserve">To balance the increasing intensity and masking of fluorescence, </w:t>
      </w:r>
      <w:r w:rsidR="00CE74EF">
        <w:rPr>
          <w:rFonts w:cs="Times New Roman"/>
        </w:rPr>
        <w:t>θ</w:t>
      </w:r>
      <w:r w:rsidR="00CE74EF">
        <w:t xml:space="preserve"> = 60</w:t>
      </w:r>
      <w:r w:rsidR="0088163C">
        <w:rPr>
          <w:rFonts w:cs="Times New Roman"/>
        </w:rPr>
        <w:t>°</w:t>
      </w:r>
      <w:r w:rsidR="00CE74EF">
        <w:t xml:space="preserve"> was chosen as optimum </w:t>
      </w:r>
      <w:r w:rsidR="00CE74EF">
        <w:rPr>
          <w:rFonts w:cs="Times New Roman"/>
        </w:rPr>
        <w:t>θ</w:t>
      </w:r>
      <w:r w:rsidR="00CE74EF">
        <w:t xml:space="preserve"> </w:t>
      </w:r>
      <w:r w:rsidR="00CE74EF">
        <w:rPr>
          <w:rFonts w:cs="Times New Roman"/>
        </w:rPr>
        <w:t>since</w:t>
      </w:r>
      <w:r w:rsidR="00E32CB2">
        <w:rPr>
          <w:rFonts w:cs="Times New Roman"/>
        </w:rPr>
        <w:t>,</w:t>
      </w:r>
      <w:r w:rsidR="00CE74EF">
        <w:rPr>
          <w:rFonts w:cs="Times New Roman"/>
        </w:rPr>
        <w:t xml:space="preserve"> at θ = 60</w:t>
      </w:r>
      <w:r w:rsidR="0088163C">
        <w:rPr>
          <w:rFonts w:cs="Times New Roman"/>
        </w:rPr>
        <w:t>°</w:t>
      </w:r>
      <w:r w:rsidR="00CE74EF">
        <w:rPr>
          <w:rFonts w:cs="Times New Roman"/>
        </w:rPr>
        <w:t xml:space="preserve">, removal of scattering peaks computationally retains fluorescence peaks defining the EEM signature of woodsmoke with </w:t>
      </w:r>
      <w:r w:rsidR="00E32CB2">
        <w:rPr>
          <w:rFonts w:cs="Times New Roman"/>
        </w:rPr>
        <w:t>good</w:t>
      </w:r>
      <w:r w:rsidR="00CE74EF">
        <w:rPr>
          <w:rFonts w:cs="Times New Roman"/>
        </w:rPr>
        <w:t xml:space="preserve"> intensity</w:t>
      </w:r>
      <w:r w:rsidR="00E32CB2">
        <w:rPr>
          <w:rFonts w:cs="Times New Roman"/>
        </w:rPr>
        <w:t xml:space="preserve"> levels,</w:t>
      </w:r>
      <w:r w:rsidR="00CE74EF">
        <w:rPr>
          <w:rFonts w:cs="Times New Roman"/>
        </w:rPr>
        <w:t xml:space="preserve"> as shown in Figure S2.</w:t>
      </w:r>
    </w:p>
    <w:bookmarkEnd w:id="4"/>
    <w:p w14:paraId="0D1BD7BE" w14:textId="6C0068F8" w:rsidR="004A3D33" w:rsidRPr="004A3D33" w:rsidRDefault="004A3D33" w:rsidP="004A3D33">
      <w:pPr>
        <w:spacing w:line="480" w:lineRule="auto"/>
        <w:jc w:val="both"/>
        <w:rPr>
          <w:lang w:val="en-US"/>
        </w:rPr>
      </w:pPr>
    </w:p>
    <w:tbl>
      <w:tblPr>
        <w:tblStyle w:val="TableGrid"/>
        <w:tblW w:w="9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56"/>
      </w:tblGrid>
      <w:tr w:rsidR="007A3F79" w:rsidRPr="00E1436C" w14:paraId="3FC855DC" w14:textId="77777777" w:rsidTr="009E013C">
        <w:trPr>
          <w:cantSplit/>
          <w:trHeight w:val="3268"/>
        </w:trPr>
        <w:tc>
          <w:tcPr>
            <w:tcW w:w="9456" w:type="dxa"/>
          </w:tcPr>
          <w:p w14:paraId="2F147B3B" w14:textId="77777777" w:rsidR="007A3F79" w:rsidRPr="00E1436C" w:rsidRDefault="007A3F79" w:rsidP="009E013C">
            <w:pPr>
              <w:pStyle w:val="body"/>
            </w:pPr>
            <w:bookmarkStart w:id="5" w:name="_Hlk35613467"/>
            <w:r>
              <w:rPr>
                <w:noProof/>
              </w:rPr>
              <w:lastRenderedPageBreak/>
              <w:drawing>
                <wp:inline distT="0" distB="0" distL="0" distR="0" wp14:anchorId="779040C8" wp14:editId="7412218E">
                  <wp:extent cx="5943600" cy="59321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932170"/>
                          </a:xfrm>
                          <a:prstGeom prst="rect">
                            <a:avLst/>
                          </a:prstGeom>
                          <a:noFill/>
                          <a:ln>
                            <a:noFill/>
                          </a:ln>
                        </pic:spPr>
                      </pic:pic>
                    </a:graphicData>
                  </a:graphic>
                </wp:inline>
              </w:drawing>
            </w:r>
          </w:p>
        </w:tc>
      </w:tr>
      <w:tr w:rsidR="007A3F79" w:rsidRPr="00E1436C" w14:paraId="2B3A5309" w14:textId="77777777" w:rsidTr="009E013C">
        <w:trPr>
          <w:cantSplit/>
          <w:trHeight w:val="1188"/>
        </w:trPr>
        <w:tc>
          <w:tcPr>
            <w:tcW w:w="9456" w:type="dxa"/>
          </w:tcPr>
          <w:p w14:paraId="0392A115" w14:textId="47CC4A8B" w:rsidR="007A3F79" w:rsidRPr="00E1436C" w:rsidRDefault="007A3F79" w:rsidP="00896DAE">
            <w:pPr>
              <w:pStyle w:val="body"/>
              <w:spacing w:line="480" w:lineRule="auto"/>
              <w:rPr>
                <w:bCs/>
                <w:color w:val="000000" w:themeColor="text1"/>
              </w:rPr>
            </w:pPr>
            <w:bookmarkStart w:id="6" w:name="_Ref34404088"/>
            <w:r w:rsidRPr="00E1436C">
              <w:t>Figure</w:t>
            </w:r>
            <w:bookmarkEnd w:id="6"/>
            <w:r w:rsidR="0075010D">
              <w:t xml:space="preserve"> S2</w:t>
            </w:r>
            <w:r w:rsidRPr="00E1436C">
              <w:t>:</w:t>
            </w:r>
            <w:r>
              <w:t xml:space="preserve"> External excitation SP-EEMs of woodsmoke at varying θ. θ = 60</w:t>
            </w:r>
            <w:r w:rsidR="0088163C">
              <w:t>°</w:t>
            </w:r>
            <w:r>
              <w:t xml:space="preserve"> was chosen as </w:t>
            </w:r>
            <w:r w:rsidR="006C5361">
              <w:t xml:space="preserve">an </w:t>
            </w:r>
            <w:r>
              <w:t xml:space="preserve">optimum angle for external excitation SP-EEM measurements. </w:t>
            </w:r>
          </w:p>
        </w:tc>
      </w:tr>
      <w:bookmarkEnd w:id="5"/>
    </w:tbl>
    <w:p w14:paraId="3F8D7A09" w14:textId="77777777" w:rsidR="007A3F79" w:rsidRPr="007A3F79" w:rsidRDefault="007A3F79" w:rsidP="007A3F79">
      <w:pPr>
        <w:rPr>
          <w:lang w:val="en-US"/>
        </w:rPr>
      </w:pPr>
    </w:p>
    <w:p w14:paraId="17336641" w14:textId="77777777" w:rsidR="003D3104" w:rsidRDefault="003D3104" w:rsidP="003D3104">
      <w:pPr>
        <w:spacing w:line="240" w:lineRule="auto"/>
        <w:rPr>
          <w:b/>
          <w:bCs/>
          <w:color w:val="000000" w:themeColor="text1"/>
          <w:szCs w:val="24"/>
          <w:lang w:val="en-US"/>
        </w:rPr>
      </w:pPr>
    </w:p>
    <w:p w14:paraId="584A6A0F" w14:textId="32E140E7" w:rsidR="006C7E87" w:rsidRDefault="00DB70B7" w:rsidP="0036746A">
      <w:pPr>
        <w:pStyle w:val="Heading1"/>
      </w:pPr>
      <w:bookmarkStart w:id="7" w:name="_Hlk31505600"/>
      <w:r>
        <w:lastRenderedPageBreak/>
        <w:t>External Excitation SP-EEM Comparison of Quartz and Glass Analysis Substrates</w:t>
      </w:r>
    </w:p>
    <w:p w14:paraId="06839D89" w14:textId="07684FDB" w:rsidR="00C326A3" w:rsidRPr="00C326A3" w:rsidRDefault="00C326A3" w:rsidP="00F239CE">
      <w:pPr>
        <w:spacing w:line="480" w:lineRule="auto"/>
        <w:jc w:val="both"/>
        <w:rPr>
          <w:lang w:val="en-US"/>
        </w:rPr>
      </w:pPr>
      <w:bookmarkStart w:id="8" w:name="_Hlk35618208"/>
      <w:r>
        <w:rPr>
          <w:lang w:val="en-US"/>
        </w:rPr>
        <w:t>Figure S</w:t>
      </w:r>
      <w:r w:rsidR="00915FEB">
        <w:rPr>
          <w:lang w:val="en-US"/>
        </w:rPr>
        <w:t>3</w:t>
      </w:r>
      <w:r>
        <w:rPr>
          <w:lang w:val="en-US"/>
        </w:rPr>
        <w:t xml:space="preserve"> shows external excitation SP-EEMs</w:t>
      </w:r>
      <w:r w:rsidR="00F239CE">
        <w:rPr>
          <w:lang w:val="en-US"/>
        </w:rPr>
        <w:t xml:space="preserve"> at </w:t>
      </w:r>
      <w:r w:rsidR="00F239CE">
        <w:rPr>
          <w:rFonts w:cs="Times New Roman"/>
          <w:lang w:val="en-US"/>
        </w:rPr>
        <w:t>θ</w:t>
      </w:r>
      <w:r w:rsidR="00F239CE">
        <w:rPr>
          <w:lang w:val="en-US"/>
        </w:rPr>
        <w:t xml:space="preserve"> = 60</w:t>
      </w:r>
      <w:r w:rsidR="0088163C">
        <w:rPr>
          <w:rFonts w:cs="Times New Roman"/>
          <w:lang w:val="en-US"/>
        </w:rPr>
        <w:t>°</w:t>
      </w:r>
      <w:r w:rsidR="00EE35A6">
        <w:rPr>
          <w:lang w:val="en-US"/>
        </w:rPr>
        <w:t xml:space="preserve"> recorded using </w:t>
      </w:r>
      <w:r w:rsidR="00F239CE">
        <w:rPr>
          <w:lang w:val="en-US"/>
        </w:rPr>
        <w:t xml:space="preserve">glass and quartz analysis substrates. </w:t>
      </w:r>
      <w:r w:rsidR="00F239CE">
        <w:t xml:space="preserve">The number and relative intensity of peaks </w:t>
      </w:r>
      <w:r w:rsidR="00E32CB2">
        <w:t xml:space="preserve">in the </w:t>
      </w:r>
      <w:r w:rsidR="00F239CE">
        <w:t>woodsmoke PM fluorescence signature match</w:t>
      </w:r>
      <w:r w:rsidR="006C5361">
        <w:t>es</w:t>
      </w:r>
      <w:r w:rsidR="00F239CE">
        <w:t xml:space="preserve"> well in both SP-EEMs </w:t>
      </w:r>
      <w:r w:rsidR="00F239CE">
        <w:rPr>
          <w:lang w:val="en-US"/>
        </w:rPr>
        <w:t>(see Figure S3)</w:t>
      </w:r>
      <w:r w:rsidR="00E32CB2">
        <w:rPr>
          <w:lang w:val="en-US"/>
        </w:rPr>
        <w:t>,</w:t>
      </w:r>
      <w:r w:rsidR="00F239CE">
        <w:rPr>
          <w:lang w:val="en-US"/>
        </w:rPr>
        <w:t xml:space="preserve"> </w:t>
      </w:r>
      <w:r w:rsidR="00E32CB2">
        <w:rPr>
          <w:lang w:val="en-US"/>
        </w:rPr>
        <w:t xml:space="preserve">and it </w:t>
      </w:r>
      <w:r w:rsidR="00F239CE">
        <w:rPr>
          <w:lang w:val="en-US"/>
        </w:rPr>
        <w:t>does not affect external excitation SP-EEM measurements. However, this difference in transmission will affect internal excitation SP-EEM measurements where the substrate acts as a waveguide for excitation light</w:t>
      </w:r>
      <w:r w:rsidR="006C5361">
        <w:rPr>
          <w:lang w:val="en-US"/>
        </w:rPr>
        <w:t>,</w:t>
      </w:r>
      <w:r w:rsidR="00F239CE">
        <w:rPr>
          <w:lang w:val="en-US"/>
        </w:rPr>
        <w:t xml:space="preserve"> in which case glass analysis substrates cannot be used due to negligible transmission of UV light (</w:t>
      </w:r>
      <w:r w:rsidR="00F239CE">
        <w:rPr>
          <w:rFonts w:ascii="Arial" w:hAnsi="Arial" w:cs="Arial"/>
          <w:lang w:val="en-US"/>
        </w:rPr>
        <w:t>λ</w:t>
      </w:r>
      <w:r w:rsidR="00F239CE">
        <w:rPr>
          <w:lang w:val="en-US"/>
        </w:rPr>
        <w:t xml:space="preserve"> &lt; 300nm). Hence</w:t>
      </w:r>
      <w:r w:rsidR="003E0BDC">
        <w:rPr>
          <w:lang w:val="en-US"/>
        </w:rPr>
        <w:t>,</w:t>
      </w:r>
      <w:r w:rsidR="00F239CE">
        <w:rPr>
          <w:lang w:val="en-US"/>
        </w:rPr>
        <w:t xml:space="preserve"> we use quartz analysis substrates for internal excitation SP-EEM measurements in the main manuscript.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6C7E87" w:rsidRPr="00F42781" w14:paraId="2484E4AE" w14:textId="77777777" w:rsidTr="007A37AD">
        <w:trPr>
          <w:cantSplit/>
        </w:trPr>
        <w:tc>
          <w:tcPr>
            <w:tcW w:w="9350" w:type="dxa"/>
          </w:tcPr>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752"/>
              <w:gridCol w:w="4752"/>
            </w:tblGrid>
            <w:tr w:rsidR="000474B2" w14:paraId="76961FB5" w14:textId="77777777" w:rsidTr="000474B2">
              <w:trPr>
                <w:cantSplit/>
                <w:trHeight w:val="20"/>
              </w:trPr>
              <w:tc>
                <w:tcPr>
                  <w:tcW w:w="4752" w:type="dxa"/>
                  <w:vAlign w:val="center"/>
                </w:tcPr>
                <w:p w14:paraId="137B7A34" w14:textId="5827941A" w:rsidR="00F70E74" w:rsidRPr="0006710E" w:rsidRDefault="00F70E74" w:rsidP="000474B2">
                  <w:pPr>
                    <w:pStyle w:val="body"/>
                    <w:keepNext/>
                    <w:keepLines/>
                    <w:spacing w:before="0" w:after="0"/>
                    <w:jc w:val="center"/>
                    <w:rPr>
                      <w:rFonts w:ascii="Arial" w:hAnsi="Arial" w:cs="Arial"/>
                      <w:sz w:val="18"/>
                      <w:szCs w:val="18"/>
                    </w:rPr>
                  </w:pPr>
                  <w:r w:rsidRPr="0006710E">
                    <w:rPr>
                      <w:rFonts w:ascii="Arial" w:hAnsi="Arial" w:cs="Arial"/>
                      <w:sz w:val="18"/>
                      <w:szCs w:val="18"/>
                    </w:rPr>
                    <w:t>Glass Analysis Substrate</w:t>
                  </w:r>
                </w:p>
              </w:tc>
              <w:tc>
                <w:tcPr>
                  <w:tcW w:w="4752" w:type="dxa"/>
                  <w:vAlign w:val="center"/>
                </w:tcPr>
                <w:p w14:paraId="030BCBCD" w14:textId="71DCD7FD" w:rsidR="00F70E74" w:rsidRPr="0006710E" w:rsidRDefault="00F70E74" w:rsidP="000474B2">
                  <w:pPr>
                    <w:pStyle w:val="body"/>
                    <w:keepNext/>
                    <w:keepLines/>
                    <w:spacing w:before="0" w:after="0"/>
                    <w:jc w:val="center"/>
                    <w:rPr>
                      <w:rFonts w:ascii="Arial" w:hAnsi="Arial" w:cs="Arial"/>
                      <w:sz w:val="18"/>
                      <w:szCs w:val="18"/>
                    </w:rPr>
                  </w:pPr>
                  <w:r w:rsidRPr="0006710E">
                    <w:rPr>
                      <w:rFonts w:ascii="Arial" w:hAnsi="Arial" w:cs="Arial"/>
                      <w:sz w:val="18"/>
                      <w:szCs w:val="18"/>
                    </w:rPr>
                    <w:t>Quartz Analysis Substrate</w:t>
                  </w:r>
                </w:p>
              </w:tc>
            </w:tr>
            <w:tr w:rsidR="000474B2" w14:paraId="57B1442C" w14:textId="77777777" w:rsidTr="000474B2">
              <w:trPr>
                <w:cantSplit/>
                <w:trHeight w:val="20"/>
              </w:trPr>
              <w:tc>
                <w:tcPr>
                  <w:tcW w:w="4752" w:type="dxa"/>
                  <w:vAlign w:val="center"/>
                </w:tcPr>
                <w:p w14:paraId="784B5159" w14:textId="4F43AA09" w:rsidR="00F70E74" w:rsidRDefault="00F70E74" w:rsidP="000474B2">
                  <w:pPr>
                    <w:pStyle w:val="body"/>
                    <w:keepNext/>
                    <w:keepLines/>
                    <w:spacing w:before="0" w:after="0"/>
                    <w:jc w:val="center"/>
                  </w:pPr>
                  <w:r>
                    <w:rPr>
                      <w:noProof/>
                    </w:rPr>
                    <w:drawing>
                      <wp:inline distT="0" distB="0" distL="0" distR="0" wp14:anchorId="37BBA079" wp14:editId="5D4C27BA">
                        <wp:extent cx="2261747" cy="169926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73" cy="1724673"/>
                                </a:xfrm>
                                <a:prstGeom prst="rect">
                                  <a:avLst/>
                                </a:prstGeom>
                                <a:noFill/>
                                <a:ln>
                                  <a:noFill/>
                                </a:ln>
                              </pic:spPr>
                            </pic:pic>
                          </a:graphicData>
                        </a:graphic>
                      </wp:inline>
                    </w:drawing>
                  </w:r>
                </w:p>
              </w:tc>
              <w:tc>
                <w:tcPr>
                  <w:tcW w:w="4752" w:type="dxa"/>
                  <w:vAlign w:val="center"/>
                </w:tcPr>
                <w:p w14:paraId="7C7CB824" w14:textId="4C5C37C1" w:rsidR="00F70E74" w:rsidRDefault="00F70E74" w:rsidP="000474B2">
                  <w:pPr>
                    <w:pStyle w:val="body"/>
                    <w:keepNext/>
                    <w:keepLines/>
                    <w:spacing w:before="0" w:after="0"/>
                    <w:jc w:val="center"/>
                  </w:pPr>
                  <w:r>
                    <w:rPr>
                      <w:noProof/>
                    </w:rPr>
                    <w:drawing>
                      <wp:inline distT="0" distB="0" distL="0" distR="0" wp14:anchorId="19DB3E5E" wp14:editId="355A6BD3">
                        <wp:extent cx="2369820" cy="1780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1821" cy="1796984"/>
                                </a:xfrm>
                                <a:prstGeom prst="rect">
                                  <a:avLst/>
                                </a:prstGeom>
                                <a:noFill/>
                                <a:ln>
                                  <a:noFill/>
                                </a:ln>
                              </pic:spPr>
                            </pic:pic>
                          </a:graphicData>
                        </a:graphic>
                      </wp:inline>
                    </w:drawing>
                  </w:r>
                </w:p>
              </w:tc>
            </w:tr>
          </w:tbl>
          <w:p w14:paraId="1A7F6651" w14:textId="77777777" w:rsidR="006C7E87" w:rsidRPr="00F42781" w:rsidRDefault="006C7E87" w:rsidP="007A37AD">
            <w:pPr>
              <w:pStyle w:val="body"/>
              <w:keepNext/>
              <w:keepLines/>
              <w:spacing w:before="0" w:after="0" w:line="480" w:lineRule="auto"/>
              <w:jc w:val="center"/>
            </w:pPr>
          </w:p>
        </w:tc>
      </w:tr>
      <w:tr w:rsidR="006C7E87" w:rsidRPr="00E94A69" w14:paraId="1FB09393" w14:textId="77777777" w:rsidTr="007A37AD">
        <w:trPr>
          <w:cantSplit/>
        </w:trPr>
        <w:tc>
          <w:tcPr>
            <w:tcW w:w="9350" w:type="dxa"/>
          </w:tcPr>
          <w:p w14:paraId="1945A3FB" w14:textId="5AFC44E9" w:rsidR="006C7E87" w:rsidRPr="00557509" w:rsidRDefault="006C7E87" w:rsidP="00C326A3">
            <w:pPr>
              <w:pStyle w:val="body"/>
              <w:keepLines/>
              <w:spacing w:line="480" w:lineRule="auto"/>
            </w:pPr>
            <w:r>
              <w:t>Figure S</w:t>
            </w:r>
            <w:r w:rsidR="0075010D">
              <w:t>3</w:t>
            </w:r>
            <w:r>
              <w:t>:</w:t>
            </w:r>
            <w:r w:rsidR="00122E69">
              <w:t xml:space="preserve"> External excitation SP-EEMs </w:t>
            </w:r>
            <w:r w:rsidR="00F239CE">
              <w:t>at θ = 60</w:t>
            </w:r>
            <w:r w:rsidR="00915FEB">
              <w:t>°</w:t>
            </w:r>
            <w:r w:rsidR="00F239CE">
              <w:t xml:space="preserve"> </w:t>
            </w:r>
            <w:r w:rsidR="00122E69">
              <w:t xml:space="preserve">match well for glass and quartz analysis substrates. The number and relative intensity of peaks defining </w:t>
            </w:r>
            <w:r w:rsidR="00E32CB2">
              <w:t xml:space="preserve">the </w:t>
            </w:r>
            <w:r w:rsidR="00122E69">
              <w:t xml:space="preserve">woodsmoke PM fluorescence signature is similar for both SP-EEMs. </w:t>
            </w:r>
          </w:p>
        </w:tc>
      </w:tr>
      <w:bookmarkEnd w:id="8"/>
    </w:tbl>
    <w:p w14:paraId="46F6F2A5" w14:textId="726A232E" w:rsidR="006C7E87" w:rsidRDefault="006C7E87" w:rsidP="006C7E87">
      <w:pPr>
        <w:rPr>
          <w:lang w:val="en-US"/>
        </w:rPr>
      </w:pPr>
    </w:p>
    <w:p w14:paraId="6A0853B0" w14:textId="18C6DFC7" w:rsidR="00DB70B7" w:rsidRDefault="00DB70B7" w:rsidP="0036746A">
      <w:pPr>
        <w:pStyle w:val="Heading1"/>
      </w:pPr>
      <w:r>
        <w:lastRenderedPageBreak/>
        <w:t>Transmission Spectra for Quartz and Glass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DB70B7" w:rsidRPr="00F42781" w14:paraId="1F31C9A4" w14:textId="77777777" w:rsidTr="009E013C">
        <w:trPr>
          <w:cantSplit/>
        </w:trPr>
        <w:tc>
          <w:tcPr>
            <w:tcW w:w="9350" w:type="dxa"/>
          </w:tcPr>
          <w:p w14:paraId="5C7F6AD1" w14:textId="79261B43" w:rsidR="00DB70B7" w:rsidRPr="00F42781" w:rsidRDefault="0006710E" w:rsidP="009E013C">
            <w:pPr>
              <w:pStyle w:val="body"/>
              <w:keepNext/>
              <w:keepLines/>
              <w:spacing w:before="0" w:after="0" w:line="480" w:lineRule="auto"/>
              <w:jc w:val="center"/>
            </w:pPr>
            <w:bookmarkStart w:id="9" w:name="_Hlk35618326"/>
            <w:r>
              <w:rPr>
                <w:noProof/>
              </w:rPr>
              <w:drawing>
                <wp:inline distT="0" distB="0" distL="0" distR="0" wp14:anchorId="1736FCB3" wp14:editId="5813229F">
                  <wp:extent cx="5440680" cy="2208242"/>
                  <wp:effectExtent l="0" t="0" r="762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2087" cy="2212872"/>
                          </a:xfrm>
                          <a:prstGeom prst="rect">
                            <a:avLst/>
                          </a:prstGeom>
                          <a:noFill/>
                          <a:ln>
                            <a:noFill/>
                          </a:ln>
                        </pic:spPr>
                      </pic:pic>
                    </a:graphicData>
                  </a:graphic>
                </wp:inline>
              </w:drawing>
            </w:r>
          </w:p>
        </w:tc>
      </w:tr>
      <w:tr w:rsidR="00DB70B7" w:rsidRPr="00E94A69" w14:paraId="38AD8F18" w14:textId="77777777" w:rsidTr="009E013C">
        <w:trPr>
          <w:cantSplit/>
        </w:trPr>
        <w:tc>
          <w:tcPr>
            <w:tcW w:w="9350" w:type="dxa"/>
          </w:tcPr>
          <w:p w14:paraId="541159C4" w14:textId="3E4E6BDC" w:rsidR="00DB70B7" w:rsidRPr="00557509" w:rsidRDefault="00DB70B7" w:rsidP="00C326A3">
            <w:pPr>
              <w:pStyle w:val="body"/>
              <w:keepLines/>
              <w:spacing w:line="480" w:lineRule="auto"/>
            </w:pPr>
            <w:r>
              <w:t>Figure S</w:t>
            </w:r>
            <w:r w:rsidR="0036746A">
              <w:t>4</w:t>
            </w:r>
            <w:r>
              <w:t xml:space="preserve">: </w:t>
            </w:r>
            <w:r w:rsidR="001D53B2" w:rsidRPr="001D53B2">
              <w:t>Transmission of HSQ® 100 quartz glass (92% at 280 nm) and soda-lime glass</w:t>
            </w:r>
            <w:r w:rsidR="001D53B2">
              <w:t xml:space="preserve"> </w:t>
            </w:r>
            <w:r w:rsidR="001D53B2" w:rsidRPr="001D53B2">
              <w:t>(2% at 280 nm) with a thickness of 1 mm between 200 and 450 nm</w:t>
            </w:r>
            <w:r w:rsidR="001D53B2">
              <w:t xml:space="preserve"> </w:t>
            </w:r>
            <w:r w:rsidR="001D53B2" w:rsidRPr="001D53B2">
              <w:t xml:space="preserve">measured with a </w:t>
            </w:r>
            <w:proofErr w:type="spellStart"/>
            <w:r w:rsidR="001D53B2" w:rsidRPr="001D53B2">
              <w:t>Specord</w:t>
            </w:r>
            <w:proofErr w:type="spellEnd"/>
            <w:r w:rsidR="001D53B2" w:rsidRPr="001D53B2">
              <w:t xml:space="preserve"> 250 Plus spectrophotometer from </w:t>
            </w:r>
            <w:proofErr w:type="spellStart"/>
            <w:r w:rsidR="001D53B2" w:rsidRPr="001D53B2">
              <w:t>Analytik</w:t>
            </w:r>
            <w:proofErr w:type="spellEnd"/>
            <w:r w:rsidR="001D53B2" w:rsidRPr="001D53B2">
              <w:t xml:space="preserve"> Jena (Jena, Germany)</w:t>
            </w:r>
            <w:r w:rsidR="001D53B2">
              <w:t>.</w:t>
            </w:r>
            <w:r w:rsidR="001D53B2">
              <w:fldChar w:fldCharType="begin"/>
            </w:r>
            <w:r w:rsidR="00CE74EF">
              <w:instrText xml:space="preserve"> ADDIN ZOTERO_ITEM CSL_CITATION {"citationID":"rzxebD4K","properties":{"formattedCitation":"\\super 2\\nosupersub{}","plainCitation":"2","noteIndex":0},"citationItems":[{"id":1026,"uris":["http://zotero.org/groups/2267816/items/JDWAWPXA"],"uri":["http://zotero.org/groups/2267816/items/JDWAWPXA"],"itemData":{"id":1026,"type":"article-journal","abstract":"A new approach is investigated utilizing light guidance capabilities of optical  pure quartz glass in order to maximize drinking water disinfection efficiency with  UVC-light-emitting diodes (LEDs). Two experimental setups consisting of soda-lime AR® glass (VWR, Darmstadt, Germany) or HSQ® 100 quartz glass (Heraeus, Wasserburg, Germany) reactors were designed to compare disinfection rates with and without total reflection of UVC radiation along the reactor walls. Each reactor was filled with  9 mL bacteria samples containing either E. coli DSM (Deutsche Sammlung von Mikroorganismen) 498 or B. subtilis DSM 402 strains (concentration 1–3 × 106 colony forming units (CFU)/mL) with and without additional mixing and irradiation periods of 10, 40, and 90 s. Disinfection rates were increased up to 0.95 log10 (E. coli) and 0.75 log10 (B. subtilis) by the light guide approach in stagnant samples. The same experiments with mixing of the samples resulted in an increased disinfection efficiency of 3.07 log10 (E. coli) and 1.59 log10 (B. subtilis). Optical calculations determine that total reflection is achieved with the applied UVC-LED’s viewing angle of 15°. Furthermore measurements show that HSQ® 100 quartz has a transmittance of 92% at 280 nm UVC irradiation compared to the transmittance of soda-lime glass of 2% (1 mm wall thickness).","container-title":"Water","DOI":"10.3390/w7094605","issue":"9","language":"en","note":"number: 9\npublisher: Multidisciplinary Digital Publishing Institute","page":"4605-4621","source":"www.mdpi.com","title":"Improved Drinking Water Disinfection with UVC-LEDs for Escherichia Coli and Bacillus Subtilis Utilizing Quartz Tubes as Light Guide","volume":"7","author":[{"family":"Gross","given":"Andrej"},{"family":"Stangl","given":"Felix"},{"family":"Hoenes","given":"Katharina"},{"family":"Sift","given":"Michael"},{"family":"Hessling","given":"Martin"}],"issued":{"date-parts":[["2015",9]]}}}],"schema":"https://github.com/citation-style-language/schema/raw/master/csl-citation.json"} </w:instrText>
            </w:r>
            <w:r w:rsidR="001D53B2">
              <w:fldChar w:fldCharType="separate"/>
            </w:r>
            <w:r w:rsidR="00CE74EF" w:rsidRPr="00CE74EF">
              <w:rPr>
                <w:vertAlign w:val="superscript"/>
              </w:rPr>
              <w:t>2</w:t>
            </w:r>
            <w:r w:rsidR="001D53B2">
              <w:fldChar w:fldCharType="end"/>
            </w:r>
          </w:p>
        </w:tc>
      </w:tr>
    </w:tbl>
    <w:p w14:paraId="049F1DE8" w14:textId="1AEC8FF0" w:rsidR="00753B17" w:rsidRDefault="00C929A2" w:rsidP="0036746A">
      <w:pPr>
        <w:pStyle w:val="Heading1"/>
      </w:pPr>
      <w:bookmarkStart w:id="10" w:name="_Hlk35614141"/>
      <w:bookmarkEnd w:id="9"/>
      <w:r>
        <w:t xml:space="preserve">Interference of PDMS Fluorescence in </w:t>
      </w:r>
      <w:r w:rsidR="00753B17">
        <w:t>Internal vs</w:t>
      </w:r>
      <w:r w:rsidR="00E32CB2">
        <w:t>.</w:t>
      </w:r>
      <w:r w:rsidR="00753B17">
        <w:t xml:space="preserve"> External Excitation SP-EEM</w:t>
      </w:r>
      <w:r>
        <w:t>s</w:t>
      </w:r>
    </w:p>
    <w:p w14:paraId="2CE2B239" w14:textId="1C855198" w:rsidR="00E54EFC" w:rsidRPr="00E54EFC" w:rsidRDefault="003E0BDC" w:rsidP="004911B2">
      <w:pPr>
        <w:spacing w:line="480" w:lineRule="auto"/>
        <w:jc w:val="both"/>
        <w:rPr>
          <w:lang w:val="en-US"/>
        </w:rPr>
      </w:pPr>
      <w:bookmarkStart w:id="11" w:name="_Hlk35614196"/>
      <w:bookmarkEnd w:id="10"/>
      <w:r>
        <w:rPr>
          <w:lang w:val="en-US"/>
        </w:rPr>
        <w:t>Figure S</w:t>
      </w:r>
      <w:r w:rsidR="00136617">
        <w:rPr>
          <w:lang w:val="en-US"/>
        </w:rPr>
        <w:t>5</w:t>
      </w:r>
      <w:r>
        <w:rPr>
          <w:lang w:val="en-US"/>
        </w:rPr>
        <w:t xml:space="preserve"> shows </w:t>
      </w:r>
      <w:r w:rsidR="004911B2">
        <w:t xml:space="preserve">external excitation SP-EEM at optimum </w:t>
      </w:r>
      <w:r w:rsidR="004911B2">
        <w:rPr>
          <w:rFonts w:cs="Times New Roman"/>
        </w:rPr>
        <w:t>θ (θ = 60</w:t>
      </w:r>
      <w:r w:rsidR="0088163C">
        <w:rPr>
          <w:rFonts w:cs="Times New Roman"/>
        </w:rPr>
        <w:t>°</w:t>
      </w:r>
      <w:r w:rsidR="004911B2">
        <w:rPr>
          <w:rFonts w:cs="Times New Roman"/>
        </w:rPr>
        <w:t>), front</w:t>
      </w:r>
      <w:r w:rsidR="00136617">
        <w:rPr>
          <w:rFonts w:cs="Times New Roman"/>
        </w:rPr>
        <w:t xml:space="preserve">-side </w:t>
      </w:r>
      <w:r w:rsidR="004911B2">
        <w:rPr>
          <w:rFonts w:cs="Times New Roman"/>
        </w:rPr>
        <w:t>emission</w:t>
      </w:r>
      <w:r w:rsidR="00E32CB2">
        <w:rPr>
          <w:rFonts w:cs="Times New Roman"/>
        </w:rPr>
        <w:t>,</w:t>
      </w:r>
      <w:r w:rsidR="004911B2">
        <w:rPr>
          <w:rFonts w:cs="Times New Roman"/>
        </w:rPr>
        <w:t xml:space="preserve"> </w:t>
      </w:r>
      <w:r w:rsidR="00136617">
        <w:rPr>
          <w:rFonts w:cs="Times New Roman"/>
        </w:rPr>
        <w:t xml:space="preserve">and </w:t>
      </w:r>
      <w:r w:rsidR="004911B2">
        <w:rPr>
          <w:rFonts w:cs="Times New Roman"/>
        </w:rPr>
        <w:t>back-</w:t>
      </w:r>
      <w:r w:rsidR="00136617">
        <w:rPr>
          <w:rFonts w:cs="Times New Roman"/>
        </w:rPr>
        <w:t xml:space="preserve">side emission </w:t>
      </w:r>
      <w:r w:rsidR="004911B2">
        <w:rPr>
          <w:rFonts w:cs="Times New Roman"/>
        </w:rPr>
        <w:t>internal excitation SP-EEM</w:t>
      </w:r>
      <w:r w:rsidR="00136617">
        <w:rPr>
          <w:rFonts w:cs="Times New Roman"/>
        </w:rPr>
        <w:t>s</w:t>
      </w:r>
      <w:r w:rsidR="004911B2">
        <w:rPr>
          <w:rFonts w:cs="Times New Roman"/>
        </w:rPr>
        <w:t xml:space="preserve"> of woodsmoke PM samples without subtracting SP-EEM of a blank analysis substrate during pre-processing of EEM data. PDMS fluorescence (</w:t>
      </w:r>
      <w:proofErr w:type="spellStart"/>
      <w:r w:rsidR="004911B2">
        <w:rPr>
          <w:rFonts w:ascii="Arial" w:hAnsi="Arial" w:cs="Arial"/>
        </w:rPr>
        <w:t>λ</w:t>
      </w:r>
      <w:r w:rsidR="004911B2">
        <w:rPr>
          <w:vertAlign w:val="subscript"/>
        </w:rPr>
        <w:t>ex</w:t>
      </w:r>
      <w:proofErr w:type="spellEnd"/>
      <w:r w:rsidR="004911B2">
        <w:rPr>
          <w:vertAlign w:val="subscript"/>
        </w:rPr>
        <w:t xml:space="preserve"> </w:t>
      </w:r>
      <w:r w:rsidR="004911B2">
        <w:t>&lt;</w:t>
      </w:r>
      <w:r w:rsidR="004911B2">
        <w:rPr>
          <w:vertAlign w:val="superscript"/>
        </w:rPr>
        <w:t xml:space="preserve"> </w:t>
      </w:r>
      <w:r w:rsidR="004911B2">
        <w:t xml:space="preserve">250nm, 350nm &lt; </w:t>
      </w:r>
      <w:proofErr w:type="spellStart"/>
      <w:r w:rsidR="004911B2">
        <w:rPr>
          <w:rFonts w:ascii="Arial" w:hAnsi="Arial" w:cs="Arial"/>
        </w:rPr>
        <w:t>λ</w:t>
      </w:r>
      <w:r w:rsidR="004911B2">
        <w:rPr>
          <w:vertAlign w:val="subscript"/>
        </w:rPr>
        <w:t>em</w:t>
      </w:r>
      <w:proofErr w:type="spellEnd"/>
      <w:r w:rsidR="004911B2">
        <w:rPr>
          <w:vertAlign w:val="subscript"/>
        </w:rPr>
        <w:t xml:space="preserve"> </w:t>
      </w:r>
      <w:r w:rsidR="004911B2">
        <w:t>&lt;</w:t>
      </w:r>
      <w:r w:rsidR="004911B2">
        <w:rPr>
          <w:vertAlign w:val="superscript"/>
        </w:rPr>
        <w:t xml:space="preserve"> </w:t>
      </w:r>
      <w:r w:rsidR="004911B2">
        <w:t>450nm</w:t>
      </w:r>
      <w:r w:rsidR="004911B2">
        <w:rPr>
          <w:rFonts w:cs="Times New Roman"/>
        </w:rPr>
        <w:t xml:space="preserve">) </w:t>
      </w:r>
      <w:r w:rsidR="00E32CB2">
        <w:rPr>
          <w:rFonts w:cs="Times New Roman"/>
        </w:rPr>
        <w:t xml:space="preserve">overlaps </w:t>
      </w:r>
      <w:r w:rsidR="004911B2">
        <w:rPr>
          <w:rFonts w:cs="Times New Roman"/>
        </w:rPr>
        <w:t>with woodsmoke PM fluorescence. For external excitation SP-EEM, the PDMS fluorescence is negligible compared to woodsmoke PM fluorescence</w:t>
      </w:r>
      <w:r w:rsidR="00E32CB2">
        <w:rPr>
          <w:rFonts w:cs="Times New Roman"/>
        </w:rPr>
        <w:t>.</w:t>
      </w:r>
      <w:r w:rsidR="004911B2">
        <w:rPr>
          <w:rFonts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48"/>
        <w:gridCol w:w="2648"/>
        <w:gridCol w:w="2858"/>
        <w:gridCol w:w="6"/>
      </w:tblGrid>
      <w:tr w:rsidR="006F2FB5" w:rsidRPr="00F42781" w14:paraId="419CF8D7" w14:textId="5D30EF7B" w:rsidTr="006F2FB5">
        <w:trPr>
          <w:cantSplit/>
        </w:trPr>
        <w:tc>
          <w:tcPr>
            <w:tcW w:w="9330" w:type="dxa"/>
            <w:gridSpan w:val="3"/>
          </w:tcPr>
          <w:p w14:paraId="674AF4C4" w14:textId="49160B92" w:rsidR="006F2FB5" w:rsidRPr="00F42781" w:rsidRDefault="006F2FB5" w:rsidP="00EF17BE">
            <w:pPr>
              <w:pStyle w:val="body"/>
              <w:keepNext/>
              <w:keepLines/>
              <w:spacing w:before="0" w:after="0" w:line="480" w:lineRule="auto"/>
            </w:pPr>
            <w:bookmarkStart w:id="12" w:name="_Hlk35614162"/>
            <w:bookmarkEnd w:id="11"/>
            <w:r>
              <w:rPr>
                <w:noProof/>
              </w:rPr>
              <w:lastRenderedPageBreak/>
              <w:drawing>
                <wp:inline distT="0" distB="0" distL="0" distR="0" wp14:anchorId="70647D7A" wp14:editId="61B46473">
                  <wp:extent cx="5943600" cy="13766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8446"/>
                          <a:stretch/>
                        </pic:blipFill>
                        <pic:spPr bwMode="auto">
                          <a:xfrm>
                            <a:off x="0" y="0"/>
                            <a:ext cx="5943600" cy="13766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 w:type="dxa"/>
          </w:tcPr>
          <w:p w14:paraId="396034B3" w14:textId="77777777" w:rsidR="006F2FB5" w:rsidRDefault="006F2FB5" w:rsidP="00EF17BE">
            <w:pPr>
              <w:pStyle w:val="body"/>
              <w:keepNext/>
              <w:keepLines/>
              <w:spacing w:before="0" w:after="0" w:line="480" w:lineRule="auto"/>
              <w:rPr>
                <w:noProof/>
              </w:rPr>
            </w:pPr>
          </w:p>
        </w:tc>
      </w:tr>
      <w:tr w:rsidR="006F2FB5" w:rsidRPr="00E94A69" w14:paraId="1B6FAEF3" w14:textId="3AD289E6" w:rsidTr="006F2FB5">
        <w:trPr>
          <w:cantSplit/>
        </w:trPr>
        <w:tc>
          <w:tcPr>
            <w:tcW w:w="9330" w:type="dxa"/>
            <w:gridSpan w:val="3"/>
          </w:tcPr>
          <w:p w14:paraId="3E0330B0" w14:textId="04081404" w:rsidR="006F2FB5" w:rsidRPr="00557509" w:rsidRDefault="006F2FB5" w:rsidP="006F2FB5">
            <w:pPr>
              <w:pStyle w:val="body"/>
              <w:keepLines/>
              <w:spacing w:line="480" w:lineRule="auto"/>
            </w:pPr>
            <w:r>
              <w:t>Figure S5: SP-EEMs of woodsmoke PM at θ = 60° without blank subtraction using three different excitation emission optics arrangements. Intensity of PDMS fluorescence (</w:t>
            </w:r>
            <w:proofErr w:type="spellStart"/>
            <w:r>
              <w:rPr>
                <w:rFonts w:ascii="Arial" w:hAnsi="Arial" w:cs="Arial"/>
              </w:rPr>
              <w:t>λ</w:t>
            </w:r>
            <w:r>
              <w:rPr>
                <w:vertAlign w:val="subscript"/>
              </w:rPr>
              <w:t>ex</w:t>
            </w:r>
            <w:proofErr w:type="spellEnd"/>
            <w:r>
              <w:rPr>
                <w:vertAlign w:val="subscript"/>
              </w:rPr>
              <w:t xml:space="preserve"> </w:t>
            </w:r>
            <w:r>
              <w:t>&lt;</w:t>
            </w:r>
            <w:r>
              <w:rPr>
                <w:vertAlign w:val="superscript"/>
              </w:rPr>
              <w:t xml:space="preserve"> </w:t>
            </w:r>
            <w:r>
              <w:t xml:space="preserve">250nm, 350nm &lt; </w:t>
            </w:r>
            <w:proofErr w:type="spellStart"/>
            <w:r>
              <w:rPr>
                <w:rFonts w:ascii="Arial" w:hAnsi="Arial" w:cs="Arial"/>
              </w:rPr>
              <w:t>λ</w:t>
            </w:r>
            <w:r>
              <w:rPr>
                <w:vertAlign w:val="subscript"/>
              </w:rPr>
              <w:t>em</w:t>
            </w:r>
            <w:proofErr w:type="spellEnd"/>
            <w:r>
              <w:rPr>
                <w:vertAlign w:val="subscript"/>
              </w:rPr>
              <w:t xml:space="preserve"> </w:t>
            </w:r>
            <w:r>
              <w:t>&lt;</w:t>
            </w:r>
            <w:r>
              <w:rPr>
                <w:vertAlign w:val="superscript"/>
              </w:rPr>
              <w:t xml:space="preserve"> </w:t>
            </w:r>
            <w:r>
              <w:t>450nm) compared to woodsmoke fluorescence peaks (</w:t>
            </w:r>
            <w:proofErr w:type="spellStart"/>
            <w:r>
              <w:rPr>
                <w:rFonts w:ascii="Arial" w:hAnsi="Arial" w:cs="Arial"/>
              </w:rPr>
              <w:t>λ</w:t>
            </w:r>
            <w:proofErr w:type="gramStart"/>
            <w:r>
              <w:rPr>
                <w:vertAlign w:val="subscript"/>
              </w:rPr>
              <w:t>ex</w:t>
            </w:r>
            <w:proofErr w:type="spellEnd"/>
            <w:r>
              <w:rPr>
                <w:vertAlign w:val="subscript"/>
              </w:rPr>
              <w:t xml:space="preserve"> </w:t>
            </w:r>
            <w:r>
              <w:rPr>
                <w:vertAlign w:val="superscript"/>
              </w:rPr>
              <w:t xml:space="preserve"> </w:t>
            </w:r>
            <w:r>
              <w:t>&gt;</w:t>
            </w:r>
            <w:proofErr w:type="gramEnd"/>
            <w:r>
              <w:t xml:space="preserve"> 250nm) is least in external excitation SP-EEM. </w:t>
            </w:r>
          </w:p>
        </w:tc>
        <w:tc>
          <w:tcPr>
            <w:tcW w:w="30" w:type="dxa"/>
          </w:tcPr>
          <w:p w14:paraId="3A011259" w14:textId="77777777" w:rsidR="006F2FB5" w:rsidRDefault="006F2FB5" w:rsidP="00C326A3">
            <w:pPr>
              <w:pStyle w:val="body"/>
              <w:keepLines/>
              <w:spacing w:line="480" w:lineRule="auto"/>
            </w:pPr>
          </w:p>
        </w:tc>
      </w:tr>
      <w:tr w:rsidR="006F2FB5" w14:paraId="60A478EB" w14:textId="5629B959" w:rsidTr="006F2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50" w:type="dxa"/>
          </w:tcPr>
          <w:p w14:paraId="16EF06FA" w14:textId="20BFC263" w:rsidR="006F2FB5" w:rsidRDefault="006F2FB5" w:rsidP="006C5361">
            <w:pPr>
              <w:spacing w:line="240" w:lineRule="auto"/>
              <w:rPr>
                <w:lang w:val="en-US"/>
              </w:rPr>
            </w:pPr>
            <w:bookmarkStart w:id="13" w:name="_Hlk69277963"/>
            <w:bookmarkEnd w:id="12"/>
            <w:r>
              <w:rPr>
                <w:noProof/>
              </w:rPr>
              <w:drawing>
                <wp:inline distT="0" distB="0" distL="0" distR="0" wp14:anchorId="779122D5" wp14:editId="2410D70E">
                  <wp:extent cx="2143353" cy="16732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t="67220" r="66779" b="-6"/>
                          <a:stretch/>
                        </pic:blipFill>
                        <pic:spPr bwMode="auto">
                          <a:xfrm>
                            <a:off x="0" y="0"/>
                            <a:ext cx="2147528" cy="16764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50" w:type="dxa"/>
          </w:tcPr>
          <w:p w14:paraId="6AEB518D" w14:textId="2D11F8B9" w:rsidR="006F2FB5" w:rsidRDefault="006F2FB5" w:rsidP="006C5361">
            <w:pPr>
              <w:spacing w:line="240" w:lineRule="auto"/>
              <w:rPr>
                <w:lang w:val="en-US"/>
              </w:rPr>
            </w:pPr>
            <w:r>
              <w:rPr>
                <w:noProof/>
              </w:rPr>
              <w:drawing>
                <wp:inline distT="0" distB="0" distL="0" distR="0" wp14:anchorId="257FA760" wp14:editId="1736EED2">
                  <wp:extent cx="1546173" cy="162290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8010" t="52025" r="8013" b="16160"/>
                          <a:stretch/>
                        </pic:blipFill>
                        <pic:spPr bwMode="auto">
                          <a:xfrm>
                            <a:off x="0" y="0"/>
                            <a:ext cx="1549937" cy="16268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60" w:type="dxa"/>
            <w:gridSpan w:val="2"/>
          </w:tcPr>
          <w:p w14:paraId="19B85D15" w14:textId="7C21B4EA" w:rsidR="006F2FB5" w:rsidRDefault="006F2FB5" w:rsidP="006C5361">
            <w:pPr>
              <w:spacing w:line="240" w:lineRule="auto"/>
              <w:rPr>
                <w:noProof/>
              </w:rPr>
            </w:pPr>
            <w:r>
              <w:rPr>
                <w:noProof/>
              </w:rPr>
              <w:drawing>
                <wp:inline distT="0" distB="0" distL="0" distR="0" wp14:anchorId="342678BC" wp14:editId="3354AB7F">
                  <wp:extent cx="1536192" cy="177537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7443" t="8314" r="8013" b="55827"/>
                          <a:stretch/>
                        </pic:blipFill>
                        <pic:spPr bwMode="auto">
                          <a:xfrm>
                            <a:off x="0" y="0"/>
                            <a:ext cx="1548272" cy="178933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DF40789" w14:textId="568AD820" w:rsidR="003E0E63" w:rsidRPr="006C7E87" w:rsidRDefault="006F2FB5" w:rsidP="006F2FB5">
      <w:pPr>
        <w:pStyle w:val="body"/>
        <w:spacing w:line="480" w:lineRule="auto"/>
      </w:pPr>
      <w:r>
        <w:t xml:space="preserve">Figure S6: </w:t>
      </w:r>
      <w:r w:rsidRPr="00151F8F">
        <w:t xml:space="preserve">PM PAH fraction </w:t>
      </w:r>
      <w:r>
        <w:t>for</w:t>
      </w:r>
      <w:r w:rsidRPr="00151F8F">
        <w:t xml:space="preserve"> woodsmoke. GCMS concentration of 16 PAHs is divided into LMW and HMW PAH</w:t>
      </w:r>
      <w:r>
        <w:t xml:space="preserve">. </w:t>
      </w:r>
      <w:r w:rsidRPr="00151F8F">
        <w:t>The woodsmoke contains m</w:t>
      </w:r>
      <w:r w:rsidR="006C5361">
        <w:t>ain</w:t>
      </w:r>
      <w:r w:rsidRPr="00151F8F">
        <w:t>ly HMW PAHs.</w:t>
      </w:r>
    </w:p>
    <w:bookmarkEnd w:id="7"/>
    <w:bookmarkEnd w:id="13"/>
    <w:p w14:paraId="017988B4" w14:textId="455AF625" w:rsidR="009D2823" w:rsidRPr="009D2823" w:rsidRDefault="002F7B09" w:rsidP="0036746A">
      <w:pPr>
        <w:pStyle w:val="Heading1"/>
      </w:pPr>
      <w:r>
        <w:t>References</w:t>
      </w:r>
    </w:p>
    <w:p w14:paraId="170154CB" w14:textId="77777777" w:rsidR="00CE74EF" w:rsidRPr="00CE74EF" w:rsidRDefault="009F6062" w:rsidP="00CE74EF">
      <w:pPr>
        <w:pStyle w:val="Bibliography"/>
        <w:rPr>
          <w:rFonts w:cs="Times New Roman"/>
        </w:rPr>
      </w:pPr>
      <w:r>
        <w:fldChar w:fldCharType="begin"/>
      </w:r>
      <w:r w:rsidR="00CE74EF">
        <w:instrText xml:space="preserve"> ADDIN ZOTERO_BIBL {"uncited":[],"omitted":[],"custom":[]} CSL_BIBLIOGRAPHY </w:instrText>
      </w:r>
      <w:r>
        <w:fldChar w:fldCharType="separate"/>
      </w:r>
      <w:r w:rsidR="00CE74EF" w:rsidRPr="00CE74EF">
        <w:rPr>
          <w:rFonts w:cs="Times New Roman"/>
        </w:rPr>
        <w:t xml:space="preserve">(1) </w:t>
      </w:r>
      <w:r w:rsidR="00CE74EF" w:rsidRPr="00CE74EF">
        <w:rPr>
          <w:rFonts w:cs="Times New Roman"/>
        </w:rPr>
        <w:tab/>
        <w:t xml:space="preserve">Larsson, T.; Wedborg, M.; Turner, D. Correction of Inner-Filter Effect in Fluorescence Excitation-Emission Matrix Spectrometry Using Raman Scatter. </w:t>
      </w:r>
      <w:r w:rsidR="00CE74EF" w:rsidRPr="00CE74EF">
        <w:rPr>
          <w:rFonts w:cs="Times New Roman"/>
          <w:i/>
          <w:iCs/>
        </w:rPr>
        <w:t>Anal. Chim. Acta</w:t>
      </w:r>
      <w:r w:rsidR="00CE74EF" w:rsidRPr="00CE74EF">
        <w:rPr>
          <w:rFonts w:cs="Times New Roman"/>
        </w:rPr>
        <w:t xml:space="preserve"> </w:t>
      </w:r>
      <w:r w:rsidR="00CE74EF" w:rsidRPr="00CE74EF">
        <w:rPr>
          <w:rFonts w:cs="Times New Roman"/>
          <w:b/>
          <w:bCs/>
        </w:rPr>
        <w:t>2007</w:t>
      </w:r>
      <w:r w:rsidR="00CE74EF" w:rsidRPr="00CE74EF">
        <w:rPr>
          <w:rFonts w:cs="Times New Roman"/>
        </w:rPr>
        <w:t xml:space="preserve">, </w:t>
      </w:r>
      <w:r w:rsidR="00CE74EF" w:rsidRPr="00CE74EF">
        <w:rPr>
          <w:rFonts w:cs="Times New Roman"/>
          <w:i/>
          <w:iCs/>
        </w:rPr>
        <w:t>583</w:t>
      </w:r>
      <w:r w:rsidR="00CE74EF" w:rsidRPr="00CE74EF">
        <w:rPr>
          <w:rFonts w:cs="Times New Roman"/>
        </w:rPr>
        <w:t xml:space="preserve"> (2), 357–363. https://doi.org/10.1016/j.aca.2006.09.067.</w:t>
      </w:r>
    </w:p>
    <w:p w14:paraId="291EB7AE" w14:textId="77777777" w:rsidR="00CE74EF" w:rsidRPr="00CE74EF" w:rsidRDefault="00CE74EF" w:rsidP="00CE74EF">
      <w:pPr>
        <w:pStyle w:val="Bibliography"/>
        <w:rPr>
          <w:rFonts w:cs="Times New Roman"/>
        </w:rPr>
      </w:pPr>
      <w:r w:rsidRPr="00CE74EF">
        <w:rPr>
          <w:rFonts w:cs="Times New Roman"/>
        </w:rPr>
        <w:t xml:space="preserve">(2) </w:t>
      </w:r>
      <w:r w:rsidRPr="00CE74EF">
        <w:rPr>
          <w:rFonts w:cs="Times New Roman"/>
        </w:rPr>
        <w:tab/>
        <w:t xml:space="preserve">Gross, A.; Stangl, F.; Hoenes, K.; Sift, M.; Hessling, M. Improved Drinking Water Disinfection with UVC-LEDs for Escherichia Coli and Bacillus Subtilis Utilizing Quartz Tubes as Light Guide. </w:t>
      </w:r>
      <w:r w:rsidRPr="00CE74EF">
        <w:rPr>
          <w:rFonts w:cs="Times New Roman"/>
          <w:i/>
          <w:iCs/>
        </w:rPr>
        <w:t>Water</w:t>
      </w:r>
      <w:r w:rsidRPr="00CE74EF">
        <w:rPr>
          <w:rFonts w:cs="Times New Roman"/>
        </w:rPr>
        <w:t xml:space="preserve"> </w:t>
      </w:r>
      <w:r w:rsidRPr="00CE74EF">
        <w:rPr>
          <w:rFonts w:cs="Times New Roman"/>
          <w:b/>
          <w:bCs/>
        </w:rPr>
        <w:t>2015</w:t>
      </w:r>
      <w:r w:rsidRPr="00CE74EF">
        <w:rPr>
          <w:rFonts w:cs="Times New Roman"/>
        </w:rPr>
        <w:t xml:space="preserve">, </w:t>
      </w:r>
      <w:r w:rsidRPr="00CE74EF">
        <w:rPr>
          <w:rFonts w:cs="Times New Roman"/>
          <w:i/>
          <w:iCs/>
        </w:rPr>
        <w:t>7</w:t>
      </w:r>
      <w:r w:rsidRPr="00CE74EF">
        <w:rPr>
          <w:rFonts w:cs="Times New Roman"/>
        </w:rPr>
        <w:t xml:space="preserve"> (9), 4605–4621. https://doi.org/10.3390/w7094605.</w:t>
      </w:r>
    </w:p>
    <w:p w14:paraId="29C178A7" w14:textId="3D28E500" w:rsidR="00945D38" w:rsidRDefault="009F6062">
      <w:r>
        <w:fldChar w:fldCharType="end"/>
      </w:r>
    </w:p>
    <w:sectPr w:rsidR="00945D38" w:rsidSect="005351E6">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1B14" w14:textId="77777777" w:rsidR="00380CDE" w:rsidRDefault="00380CDE" w:rsidP="005351E6">
      <w:pPr>
        <w:spacing w:after="0" w:line="240" w:lineRule="auto"/>
      </w:pPr>
      <w:r>
        <w:separator/>
      </w:r>
    </w:p>
  </w:endnote>
  <w:endnote w:type="continuationSeparator" w:id="0">
    <w:p w14:paraId="5A721003" w14:textId="77777777" w:rsidR="00380CDE" w:rsidRDefault="00380CDE" w:rsidP="0053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145997"/>
      <w:docPartObj>
        <w:docPartGallery w:val="Page Numbers (Bottom of Page)"/>
        <w:docPartUnique/>
      </w:docPartObj>
    </w:sdtPr>
    <w:sdtEndPr>
      <w:rPr>
        <w:noProof/>
      </w:rPr>
    </w:sdtEndPr>
    <w:sdtContent>
      <w:p w14:paraId="6A1076B6" w14:textId="40CD3460" w:rsidR="005351E6" w:rsidRDefault="005351E6">
        <w:pPr>
          <w:pStyle w:val="Footer"/>
          <w:jc w:val="center"/>
        </w:pPr>
        <w:r>
          <w:t>S</w:t>
        </w:r>
        <w:r>
          <w:fldChar w:fldCharType="begin"/>
        </w:r>
        <w:r>
          <w:instrText xml:space="preserve"> PAGE   \* MERGEFORMAT </w:instrText>
        </w:r>
        <w:r>
          <w:fldChar w:fldCharType="separate"/>
        </w:r>
        <w:r>
          <w:rPr>
            <w:noProof/>
          </w:rPr>
          <w:t>2</w:t>
        </w:r>
        <w:r>
          <w:rPr>
            <w:noProof/>
          </w:rPr>
          <w:fldChar w:fldCharType="end"/>
        </w:r>
      </w:p>
    </w:sdtContent>
  </w:sdt>
  <w:p w14:paraId="6F95CC13" w14:textId="77777777" w:rsidR="005351E6" w:rsidRDefault="00535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91411" w14:textId="77777777" w:rsidR="00380CDE" w:rsidRDefault="00380CDE" w:rsidP="005351E6">
      <w:pPr>
        <w:spacing w:after="0" w:line="240" w:lineRule="auto"/>
      </w:pPr>
      <w:r>
        <w:separator/>
      </w:r>
    </w:p>
  </w:footnote>
  <w:footnote w:type="continuationSeparator" w:id="0">
    <w:p w14:paraId="566EFA5F" w14:textId="77777777" w:rsidR="00380CDE" w:rsidRDefault="00380CDE" w:rsidP="00535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23A2F"/>
    <w:multiLevelType w:val="multilevel"/>
    <w:tmpl w:val="C5E44BCA"/>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E82397"/>
    <w:multiLevelType w:val="hybridMultilevel"/>
    <w:tmpl w:val="2804A396"/>
    <w:lvl w:ilvl="0" w:tplc="FFFFFFFF">
      <w:start w:val="1"/>
      <w:numFmt w:val="decimal"/>
      <w:lvlText w:val="%1."/>
      <w:lvlJc w:val="left"/>
      <w:pPr>
        <w:ind w:left="720" w:hanging="360"/>
      </w:pPr>
    </w:lvl>
    <w:lvl w:ilvl="1" w:tplc="93245D70">
      <w:start w:val="1"/>
      <w:numFmt w:val="lowerLetter"/>
      <w:lvlText w:val="%2."/>
      <w:lvlJc w:val="left"/>
      <w:pPr>
        <w:ind w:left="1440" w:hanging="360"/>
      </w:pPr>
    </w:lvl>
    <w:lvl w:ilvl="2" w:tplc="1DCC6A46">
      <w:start w:val="1"/>
      <w:numFmt w:val="lowerRoman"/>
      <w:lvlText w:val="%3."/>
      <w:lvlJc w:val="right"/>
      <w:pPr>
        <w:ind w:left="2160" w:hanging="180"/>
      </w:pPr>
    </w:lvl>
    <w:lvl w:ilvl="3" w:tplc="90F0E20E">
      <w:start w:val="1"/>
      <w:numFmt w:val="decimal"/>
      <w:lvlText w:val="%4."/>
      <w:lvlJc w:val="left"/>
      <w:pPr>
        <w:ind w:left="2880" w:hanging="360"/>
      </w:pPr>
    </w:lvl>
    <w:lvl w:ilvl="4" w:tplc="E212762A">
      <w:start w:val="1"/>
      <w:numFmt w:val="lowerLetter"/>
      <w:lvlText w:val="%5."/>
      <w:lvlJc w:val="left"/>
      <w:pPr>
        <w:ind w:left="3600" w:hanging="360"/>
      </w:pPr>
    </w:lvl>
    <w:lvl w:ilvl="5" w:tplc="9DD0B0E4">
      <w:start w:val="1"/>
      <w:numFmt w:val="lowerRoman"/>
      <w:lvlText w:val="%6."/>
      <w:lvlJc w:val="right"/>
      <w:pPr>
        <w:ind w:left="4320" w:hanging="180"/>
      </w:pPr>
    </w:lvl>
    <w:lvl w:ilvl="6" w:tplc="9800C7A2">
      <w:start w:val="1"/>
      <w:numFmt w:val="decimal"/>
      <w:lvlText w:val="%7."/>
      <w:lvlJc w:val="left"/>
      <w:pPr>
        <w:ind w:left="5040" w:hanging="360"/>
      </w:pPr>
    </w:lvl>
    <w:lvl w:ilvl="7" w:tplc="38ACA4D0">
      <w:start w:val="1"/>
      <w:numFmt w:val="lowerLetter"/>
      <w:lvlText w:val="%8."/>
      <w:lvlJc w:val="left"/>
      <w:pPr>
        <w:ind w:left="5760" w:hanging="360"/>
      </w:pPr>
    </w:lvl>
    <w:lvl w:ilvl="8" w:tplc="4DB47614">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zMTM2tDQ1NTO2tDBR0lEKTi0uzszPAykwqwUA46wdSCwAAAA="/>
    <w:docVar w:name="EN.Layout" w:val="&lt;ENLayout&gt;&lt;Style&gt;A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022xt2yd052tep9wg5e90w5wf5r9psdptr&quot;&gt;NRG library-190706&lt;record-ids&gt;&lt;item&gt;2411&lt;/item&gt;&lt;/record-ids&gt;&lt;/item&gt;&lt;/Libraries&gt;"/>
  </w:docVars>
  <w:rsids>
    <w:rsidRoot w:val="003D3979"/>
    <w:rsid w:val="000024D4"/>
    <w:rsid w:val="0000744F"/>
    <w:rsid w:val="0001145E"/>
    <w:rsid w:val="000166B7"/>
    <w:rsid w:val="000213E3"/>
    <w:rsid w:val="000267E7"/>
    <w:rsid w:val="000325EF"/>
    <w:rsid w:val="00036E80"/>
    <w:rsid w:val="00042202"/>
    <w:rsid w:val="0004705D"/>
    <w:rsid w:val="000474B2"/>
    <w:rsid w:val="0004790F"/>
    <w:rsid w:val="000508D3"/>
    <w:rsid w:val="0005096D"/>
    <w:rsid w:val="0006710E"/>
    <w:rsid w:val="000722AD"/>
    <w:rsid w:val="00075186"/>
    <w:rsid w:val="000775B1"/>
    <w:rsid w:val="00080CB8"/>
    <w:rsid w:val="00096B77"/>
    <w:rsid w:val="000B1455"/>
    <w:rsid w:val="000C183D"/>
    <w:rsid w:val="000C23D3"/>
    <w:rsid w:val="000C58CD"/>
    <w:rsid w:val="000E3371"/>
    <w:rsid w:val="000E4103"/>
    <w:rsid w:val="00105D31"/>
    <w:rsid w:val="00105DE3"/>
    <w:rsid w:val="00110605"/>
    <w:rsid w:val="00114264"/>
    <w:rsid w:val="00114503"/>
    <w:rsid w:val="00122E69"/>
    <w:rsid w:val="00136617"/>
    <w:rsid w:val="00142905"/>
    <w:rsid w:val="00151577"/>
    <w:rsid w:val="001755C0"/>
    <w:rsid w:val="001760CF"/>
    <w:rsid w:val="001832B0"/>
    <w:rsid w:val="0018425D"/>
    <w:rsid w:val="001878C5"/>
    <w:rsid w:val="00196340"/>
    <w:rsid w:val="001B3C5F"/>
    <w:rsid w:val="001B54B9"/>
    <w:rsid w:val="001C0976"/>
    <w:rsid w:val="001C09EF"/>
    <w:rsid w:val="001D2DBA"/>
    <w:rsid w:val="001D530B"/>
    <w:rsid w:val="001D53B2"/>
    <w:rsid w:val="001E1471"/>
    <w:rsid w:val="001E32EF"/>
    <w:rsid w:val="002033AA"/>
    <w:rsid w:val="002107FF"/>
    <w:rsid w:val="00214C43"/>
    <w:rsid w:val="0022274F"/>
    <w:rsid w:val="00224E54"/>
    <w:rsid w:val="00231584"/>
    <w:rsid w:val="0023429F"/>
    <w:rsid w:val="0023719C"/>
    <w:rsid w:val="002470E4"/>
    <w:rsid w:val="0025297A"/>
    <w:rsid w:val="00257040"/>
    <w:rsid w:val="00276217"/>
    <w:rsid w:val="00287491"/>
    <w:rsid w:val="00290F8D"/>
    <w:rsid w:val="002935D7"/>
    <w:rsid w:val="00296C54"/>
    <w:rsid w:val="002A20E0"/>
    <w:rsid w:val="002A6475"/>
    <w:rsid w:val="002B698F"/>
    <w:rsid w:val="002C2F2C"/>
    <w:rsid w:val="002C3373"/>
    <w:rsid w:val="002D6A26"/>
    <w:rsid w:val="002E331F"/>
    <w:rsid w:val="002E5FDF"/>
    <w:rsid w:val="002F2256"/>
    <w:rsid w:val="002F7B09"/>
    <w:rsid w:val="003004E9"/>
    <w:rsid w:val="0030648C"/>
    <w:rsid w:val="00310381"/>
    <w:rsid w:val="00310B4B"/>
    <w:rsid w:val="003213F6"/>
    <w:rsid w:val="003304B4"/>
    <w:rsid w:val="00340D6E"/>
    <w:rsid w:val="0034184B"/>
    <w:rsid w:val="00356607"/>
    <w:rsid w:val="00360EFA"/>
    <w:rsid w:val="00362746"/>
    <w:rsid w:val="0036746A"/>
    <w:rsid w:val="00380CDE"/>
    <w:rsid w:val="0038254A"/>
    <w:rsid w:val="003854C2"/>
    <w:rsid w:val="00386CA0"/>
    <w:rsid w:val="0039541E"/>
    <w:rsid w:val="003A1042"/>
    <w:rsid w:val="003A7D81"/>
    <w:rsid w:val="003B669B"/>
    <w:rsid w:val="003D3104"/>
    <w:rsid w:val="003D3979"/>
    <w:rsid w:val="003D50D0"/>
    <w:rsid w:val="003E0102"/>
    <w:rsid w:val="003E06EC"/>
    <w:rsid w:val="003E0BDC"/>
    <w:rsid w:val="003E0E63"/>
    <w:rsid w:val="003E6F44"/>
    <w:rsid w:val="003F09E0"/>
    <w:rsid w:val="003F1031"/>
    <w:rsid w:val="003F124D"/>
    <w:rsid w:val="00412548"/>
    <w:rsid w:val="00413438"/>
    <w:rsid w:val="00436B12"/>
    <w:rsid w:val="00444B1D"/>
    <w:rsid w:val="00447FC1"/>
    <w:rsid w:val="00462D4A"/>
    <w:rsid w:val="00463507"/>
    <w:rsid w:val="00476AF8"/>
    <w:rsid w:val="0048381E"/>
    <w:rsid w:val="004911B2"/>
    <w:rsid w:val="0049399C"/>
    <w:rsid w:val="004A3D33"/>
    <w:rsid w:val="004B3F9A"/>
    <w:rsid w:val="004B6166"/>
    <w:rsid w:val="004C778F"/>
    <w:rsid w:val="004E691C"/>
    <w:rsid w:val="004E6EF0"/>
    <w:rsid w:val="00500C4F"/>
    <w:rsid w:val="00502A79"/>
    <w:rsid w:val="00506779"/>
    <w:rsid w:val="00511958"/>
    <w:rsid w:val="00513A1C"/>
    <w:rsid w:val="00514AD5"/>
    <w:rsid w:val="00521DEE"/>
    <w:rsid w:val="00530B3A"/>
    <w:rsid w:val="005351E6"/>
    <w:rsid w:val="00544021"/>
    <w:rsid w:val="00584CDF"/>
    <w:rsid w:val="005921BD"/>
    <w:rsid w:val="0059326A"/>
    <w:rsid w:val="005A6844"/>
    <w:rsid w:val="005B06BC"/>
    <w:rsid w:val="005B0BB9"/>
    <w:rsid w:val="005B3EF3"/>
    <w:rsid w:val="005B4078"/>
    <w:rsid w:val="005B6586"/>
    <w:rsid w:val="005C2FDB"/>
    <w:rsid w:val="005E06D1"/>
    <w:rsid w:val="005E422D"/>
    <w:rsid w:val="005F70B4"/>
    <w:rsid w:val="006073A8"/>
    <w:rsid w:val="006410C8"/>
    <w:rsid w:val="00650A8E"/>
    <w:rsid w:val="00654D60"/>
    <w:rsid w:val="00656034"/>
    <w:rsid w:val="00683B41"/>
    <w:rsid w:val="006855EE"/>
    <w:rsid w:val="00686320"/>
    <w:rsid w:val="00697C20"/>
    <w:rsid w:val="006A3F7F"/>
    <w:rsid w:val="006A7DBD"/>
    <w:rsid w:val="006B1BE0"/>
    <w:rsid w:val="006B35E8"/>
    <w:rsid w:val="006B43DA"/>
    <w:rsid w:val="006B76DE"/>
    <w:rsid w:val="006C015B"/>
    <w:rsid w:val="006C5361"/>
    <w:rsid w:val="006C7E87"/>
    <w:rsid w:val="006E69EC"/>
    <w:rsid w:val="006E7D70"/>
    <w:rsid w:val="006F20C7"/>
    <w:rsid w:val="006F2FB5"/>
    <w:rsid w:val="00702D29"/>
    <w:rsid w:val="00705C5D"/>
    <w:rsid w:val="00732D22"/>
    <w:rsid w:val="0074004C"/>
    <w:rsid w:val="00743302"/>
    <w:rsid w:val="00745D42"/>
    <w:rsid w:val="00745F16"/>
    <w:rsid w:val="0075010D"/>
    <w:rsid w:val="0075080F"/>
    <w:rsid w:val="00751054"/>
    <w:rsid w:val="00753B17"/>
    <w:rsid w:val="00757F58"/>
    <w:rsid w:val="00757FF6"/>
    <w:rsid w:val="0076275A"/>
    <w:rsid w:val="00763535"/>
    <w:rsid w:val="007644BD"/>
    <w:rsid w:val="00767C81"/>
    <w:rsid w:val="007725A5"/>
    <w:rsid w:val="00773281"/>
    <w:rsid w:val="00783D51"/>
    <w:rsid w:val="0079727C"/>
    <w:rsid w:val="007973E3"/>
    <w:rsid w:val="007A37AD"/>
    <w:rsid w:val="007A3F79"/>
    <w:rsid w:val="007B17D5"/>
    <w:rsid w:val="007B5148"/>
    <w:rsid w:val="007D03D2"/>
    <w:rsid w:val="007D4F7E"/>
    <w:rsid w:val="007E1361"/>
    <w:rsid w:val="00813DE4"/>
    <w:rsid w:val="008232B1"/>
    <w:rsid w:val="0083717F"/>
    <w:rsid w:val="00870B5B"/>
    <w:rsid w:val="00872480"/>
    <w:rsid w:val="008808DD"/>
    <w:rsid w:val="00880F25"/>
    <w:rsid w:val="0088163C"/>
    <w:rsid w:val="00881939"/>
    <w:rsid w:val="008951FC"/>
    <w:rsid w:val="00896DAE"/>
    <w:rsid w:val="008A4B1C"/>
    <w:rsid w:val="008B3ED6"/>
    <w:rsid w:val="008C5673"/>
    <w:rsid w:val="008D075E"/>
    <w:rsid w:val="008D220F"/>
    <w:rsid w:val="008E444A"/>
    <w:rsid w:val="00905127"/>
    <w:rsid w:val="00915FEB"/>
    <w:rsid w:val="009443D7"/>
    <w:rsid w:val="00945D38"/>
    <w:rsid w:val="00947B1D"/>
    <w:rsid w:val="00966EAA"/>
    <w:rsid w:val="009678D4"/>
    <w:rsid w:val="00974B38"/>
    <w:rsid w:val="009821E8"/>
    <w:rsid w:val="0098589C"/>
    <w:rsid w:val="00985E2E"/>
    <w:rsid w:val="00991863"/>
    <w:rsid w:val="009C4432"/>
    <w:rsid w:val="009D2823"/>
    <w:rsid w:val="009E013C"/>
    <w:rsid w:val="009F6062"/>
    <w:rsid w:val="00A0787F"/>
    <w:rsid w:val="00A150BD"/>
    <w:rsid w:val="00A15B7A"/>
    <w:rsid w:val="00A21C46"/>
    <w:rsid w:val="00A24917"/>
    <w:rsid w:val="00A25CC5"/>
    <w:rsid w:val="00A27907"/>
    <w:rsid w:val="00A3664A"/>
    <w:rsid w:val="00A419AB"/>
    <w:rsid w:val="00A50CC8"/>
    <w:rsid w:val="00A603B7"/>
    <w:rsid w:val="00A72A81"/>
    <w:rsid w:val="00A87347"/>
    <w:rsid w:val="00AA1E0B"/>
    <w:rsid w:val="00AA6D38"/>
    <w:rsid w:val="00AB20E4"/>
    <w:rsid w:val="00AB2145"/>
    <w:rsid w:val="00AC0856"/>
    <w:rsid w:val="00AC144E"/>
    <w:rsid w:val="00AD014D"/>
    <w:rsid w:val="00AD3C49"/>
    <w:rsid w:val="00AE63B1"/>
    <w:rsid w:val="00AE679C"/>
    <w:rsid w:val="00AF344C"/>
    <w:rsid w:val="00AF423E"/>
    <w:rsid w:val="00B02A35"/>
    <w:rsid w:val="00B30D07"/>
    <w:rsid w:val="00B352DE"/>
    <w:rsid w:val="00B52771"/>
    <w:rsid w:val="00B5346B"/>
    <w:rsid w:val="00B56EFE"/>
    <w:rsid w:val="00B66C58"/>
    <w:rsid w:val="00B71FA4"/>
    <w:rsid w:val="00B75211"/>
    <w:rsid w:val="00B83229"/>
    <w:rsid w:val="00B90C04"/>
    <w:rsid w:val="00B96DB6"/>
    <w:rsid w:val="00BA3891"/>
    <w:rsid w:val="00BA693D"/>
    <w:rsid w:val="00BD652B"/>
    <w:rsid w:val="00BE0162"/>
    <w:rsid w:val="00BE2A1A"/>
    <w:rsid w:val="00BE6D40"/>
    <w:rsid w:val="00BE7360"/>
    <w:rsid w:val="00BF04DE"/>
    <w:rsid w:val="00BF1C72"/>
    <w:rsid w:val="00BF4AB2"/>
    <w:rsid w:val="00C0428E"/>
    <w:rsid w:val="00C07422"/>
    <w:rsid w:val="00C1356B"/>
    <w:rsid w:val="00C1514D"/>
    <w:rsid w:val="00C1799B"/>
    <w:rsid w:val="00C200AD"/>
    <w:rsid w:val="00C23E8B"/>
    <w:rsid w:val="00C326A3"/>
    <w:rsid w:val="00C44227"/>
    <w:rsid w:val="00C508EA"/>
    <w:rsid w:val="00C52043"/>
    <w:rsid w:val="00C625AB"/>
    <w:rsid w:val="00C63331"/>
    <w:rsid w:val="00C65602"/>
    <w:rsid w:val="00C7147B"/>
    <w:rsid w:val="00C773F4"/>
    <w:rsid w:val="00C83362"/>
    <w:rsid w:val="00C91A0C"/>
    <w:rsid w:val="00C929A2"/>
    <w:rsid w:val="00C97F64"/>
    <w:rsid w:val="00CA0214"/>
    <w:rsid w:val="00CA37DC"/>
    <w:rsid w:val="00CB4112"/>
    <w:rsid w:val="00CB78E4"/>
    <w:rsid w:val="00CC6B30"/>
    <w:rsid w:val="00CD2DD9"/>
    <w:rsid w:val="00CD7175"/>
    <w:rsid w:val="00CD7C56"/>
    <w:rsid w:val="00CE1AC5"/>
    <w:rsid w:val="00CE74EF"/>
    <w:rsid w:val="00D021A6"/>
    <w:rsid w:val="00D0762D"/>
    <w:rsid w:val="00D20040"/>
    <w:rsid w:val="00D24B4C"/>
    <w:rsid w:val="00D41241"/>
    <w:rsid w:val="00D57725"/>
    <w:rsid w:val="00D7491C"/>
    <w:rsid w:val="00DA1F4F"/>
    <w:rsid w:val="00DA6429"/>
    <w:rsid w:val="00DA7336"/>
    <w:rsid w:val="00DB249F"/>
    <w:rsid w:val="00DB3444"/>
    <w:rsid w:val="00DB35A8"/>
    <w:rsid w:val="00DB4CF6"/>
    <w:rsid w:val="00DB5409"/>
    <w:rsid w:val="00DB70B7"/>
    <w:rsid w:val="00DC06F8"/>
    <w:rsid w:val="00DE2425"/>
    <w:rsid w:val="00DE5833"/>
    <w:rsid w:val="00DF4473"/>
    <w:rsid w:val="00DF54A2"/>
    <w:rsid w:val="00DF637B"/>
    <w:rsid w:val="00E04B50"/>
    <w:rsid w:val="00E05748"/>
    <w:rsid w:val="00E249EC"/>
    <w:rsid w:val="00E32CB2"/>
    <w:rsid w:val="00E36F97"/>
    <w:rsid w:val="00E40070"/>
    <w:rsid w:val="00E50999"/>
    <w:rsid w:val="00E50A33"/>
    <w:rsid w:val="00E54EFC"/>
    <w:rsid w:val="00E568FA"/>
    <w:rsid w:val="00E76FB7"/>
    <w:rsid w:val="00E82F05"/>
    <w:rsid w:val="00E91B8F"/>
    <w:rsid w:val="00E91F79"/>
    <w:rsid w:val="00EA0E23"/>
    <w:rsid w:val="00EB25D9"/>
    <w:rsid w:val="00EB2E54"/>
    <w:rsid w:val="00EB393E"/>
    <w:rsid w:val="00EB3DAA"/>
    <w:rsid w:val="00EC3587"/>
    <w:rsid w:val="00EC6663"/>
    <w:rsid w:val="00EC798E"/>
    <w:rsid w:val="00ED252F"/>
    <w:rsid w:val="00EE35A6"/>
    <w:rsid w:val="00EE717F"/>
    <w:rsid w:val="00EF17BE"/>
    <w:rsid w:val="00EF7FDB"/>
    <w:rsid w:val="00F03FBD"/>
    <w:rsid w:val="00F05CDB"/>
    <w:rsid w:val="00F0745E"/>
    <w:rsid w:val="00F1498A"/>
    <w:rsid w:val="00F216C2"/>
    <w:rsid w:val="00F239CE"/>
    <w:rsid w:val="00F241EA"/>
    <w:rsid w:val="00F37980"/>
    <w:rsid w:val="00F43580"/>
    <w:rsid w:val="00F46CBD"/>
    <w:rsid w:val="00F51B05"/>
    <w:rsid w:val="00F6597E"/>
    <w:rsid w:val="00F70E74"/>
    <w:rsid w:val="00F72596"/>
    <w:rsid w:val="00F76067"/>
    <w:rsid w:val="00F8054A"/>
    <w:rsid w:val="00F8171D"/>
    <w:rsid w:val="00F877F3"/>
    <w:rsid w:val="00F878BB"/>
    <w:rsid w:val="00F87A98"/>
    <w:rsid w:val="00F90AF8"/>
    <w:rsid w:val="00FB698C"/>
    <w:rsid w:val="00FC29BC"/>
    <w:rsid w:val="00FE1C03"/>
    <w:rsid w:val="00FE6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4DECC"/>
  <w15:chartTrackingRefBased/>
  <w15:docId w15:val="{7D105AEF-B9D3-4DB5-894C-7473B0E4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264"/>
    <w:pPr>
      <w:spacing w:after="200" w:line="276" w:lineRule="auto"/>
    </w:pPr>
    <w:rPr>
      <w:rFonts w:ascii="Times New Roman" w:hAnsi="Times New Roman"/>
      <w:sz w:val="24"/>
      <w:szCs w:val="20"/>
      <w:lang w:val="en-IN" w:bidi="mr-IN"/>
    </w:rPr>
  </w:style>
  <w:style w:type="paragraph" w:styleId="Heading1">
    <w:name w:val="heading 1"/>
    <w:basedOn w:val="Normal"/>
    <w:next w:val="Normal"/>
    <w:link w:val="Heading1Char"/>
    <w:autoRedefine/>
    <w:uiPriority w:val="9"/>
    <w:qFormat/>
    <w:rsid w:val="0036746A"/>
    <w:pPr>
      <w:keepNext/>
      <w:keepLines/>
      <w:numPr>
        <w:numId w:val="1"/>
      </w:numPr>
      <w:spacing w:before="240" w:after="240"/>
      <w:outlineLvl w:val="0"/>
    </w:pPr>
    <w:rPr>
      <w:rFonts w:eastAsiaTheme="majorEastAsia" w:cstheme="majorBidi"/>
      <w:b/>
      <w:color w:val="000000" w:themeColor="text1"/>
      <w:szCs w:val="29"/>
      <w:lang w:val="en-US"/>
    </w:rPr>
  </w:style>
  <w:style w:type="paragraph" w:styleId="Heading2">
    <w:name w:val="heading 2"/>
    <w:basedOn w:val="Normal"/>
    <w:next w:val="Normal"/>
    <w:link w:val="Heading2Char"/>
    <w:autoRedefine/>
    <w:uiPriority w:val="9"/>
    <w:unhideWhenUsed/>
    <w:qFormat/>
    <w:rsid w:val="00075186"/>
    <w:pPr>
      <w:keepNext/>
      <w:keepLines/>
      <w:spacing w:before="240" w:after="240"/>
      <w:ind w:left="432" w:hanging="432"/>
      <w:outlineLvl w:val="1"/>
    </w:pPr>
    <w:rPr>
      <w:rFonts w:eastAsiaTheme="majorEastAsia" w:cstheme="majorBidi"/>
      <w:color w:val="000000" w:themeColor="text1"/>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link w:val="CenteredHeadingChar"/>
    <w:qFormat/>
    <w:rsid w:val="00114264"/>
    <w:pPr>
      <w:spacing w:after="0" w:line="240" w:lineRule="auto"/>
      <w:ind w:firstLine="432"/>
      <w:jc w:val="center"/>
    </w:pPr>
    <w:rPr>
      <w:rFonts w:cs="Times New Roman"/>
      <w:b/>
      <w:sz w:val="36"/>
      <w:szCs w:val="36"/>
      <w:lang w:val="en-US" w:bidi="ar-SA"/>
    </w:rPr>
  </w:style>
  <w:style w:type="character" w:customStyle="1" w:styleId="CenteredHeadingChar">
    <w:name w:val="Centered Heading Char"/>
    <w:basedOn w:val="DefaultParagraphFont"/>
    <w:link w:val="CenteredHeading"/>
    <w:rsid w:val="00114264"/>
    <w:rPr>
      <w:rFonts w:ascii="Times New Roman" w:eastAsia="SimSun" w:hAnsi="Times New Roman" w:cs="Times New Roman"/>
      <w:b/>
      <w:sz w:val="36"/>
      <w:szCs w:val="36"/>
    </w:rPr>
  </w:style>
  <w:style w:type="character" w:customStyle="1" w:styleId="Heading1Char">
    <w:name w:val="Heading 1 Char"/>
    <w:basedOn w:val="DefaultParagraphFont"/>
    <w:link w:val="Heading1"/>
    <w:uiPriority w:val="9"/>
    <w:rsid w:val="0036746A"/>
    <w:rPr>
      <w:rFonts w:ascii="Times New Roman" w:eastAsiaTheme="majorEastAsia" w:hAnsi="Times New Roman" w:cstheme="majorBidi"/>
      <w:b/>
      <w:color w:val="000000" w:themeColor="text1"/>
      <w:sz w:val="24"/>
      <w:szCs w:val="29"/>
      <w:lang w:bidi="mr-IN"/>
    </w:rPr>
  </w:style>
  <w:style w:type="table" w:styleId="TableGrid">
    <w:name w:val="Table Grid"/>
    <w:basedOn w:val="TableNormal"/>
    <w:uiPriority w:val="39"/>
    <w:rsid w:val="00447FC1"/>
    <w:pPr>
      <w:spacing w:after="0" w:line="240" w:lineRule="auto"/>
    </w:pPr>
    <w:rPr>
      <w:szCs w:val="20"/>
      <w:lang w:val="en-I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447FC1"/>
    <w:pPr>
      <w:spacing w:before="240" w:after="240" w:line="240" w:lineRule="auto"/>
      <w:jc w:val="both"/>
    </w:pPr>
    <w:rPr>
      <w:rFonts w:cs="Times New Roman"/>
      <w:szCs w:val="24"/>
      <w:lang w:val="en-US" w:bidi="ar-SA"/>
    </w:rPr>
  </w:style>
  <w:style w:type="character" w:customStyle="1" w:styleId="bodyChar">
    <w:name w:val="body Char"/>
    <w:basedOn w:val="DefaultParagraphFont"/>
    <w:link w:val="body"/>
    <w:rsid w:val="00447FC1"/>
    <w:rPr>
      <w:rFonts w:ascii="Times New Roman" w:eastAsia="SimSun" w:hAnsi="Times New Roman" w:cs="Times New Roman"/>
      <w:sz w:val="24"/>
      <w:szCs w:val="24"/>
    </w:rPr>
  </w:style>
  <w:style w:type="character" w:customStyle="1" w:styleId="Heading2Char">
    <w:name w:val="Heading 2 Char"/>
    <w:basedOn w:val="DefaultParagraphFont"/>
    <w:link w:val="Heading2"/>
    <w:uiPriority w:val="9"/>
    <w:rsid w:val="00075186"/>
    <w:rPr>
      <w:rFonts w:ascii="Times New Roman" w:eastAsiaTheme="majorEastAsia" w:hAnsi="Times New Roman" w:cstheme="majorBidi"/>
      <w:color w:val="000000" w:themeColor="text1"/>
      <w:sz w:val="24"/>
      <w:szCs w:val="23"/>
      <w:lang w:val="en-IN" w:bidi="mr-IN"/>
    </w:rPr>
  </w:style>
  <w:style w:type="paragraph" w:styleId="Caption">
    <w:name w:val="caption"/>
    <w:basedOn w:val="Normal"/>
    <w:next w:val="Normal"/>
    <w:link w:val="CaptionChar"/>
    <w:uiPriority w:val="35"/>
    <w:unhideWhenUsed/>
    <w:qFormat/>
    <w:rsid w:val="00075186"/>
    <w:pPr>
      <w:spacing w:line="240" w:lineRule="auto"/>
    </w:pPr>
    <w:rPr>
      <w:b/>
      <w:bCs/>
      <w:color w:val="4472C4" w:themeColor="accent1"/>
      <w:sz w:val="18"/>
      <w:szCs w:val="16"/>
    </w:rPr>
  </w:style>
  <w:style w:type="character" w:customStyle="1" w:styleId="CaptionChar">
    <w:name w:val="Caption Char"/>
    <w:basedOn w:val="DefaultParagraphFont"/>
    <w:link w:val="Caption"/>
    <w:uiPriority w:val="35"/>
    <w:rsid w:val="00075186"/>
    <w:rPr>
      <w:rFonts w:ascii="Times New Roman" w:hAnsi="Times New Roman"/>
      <w:b/>
      <w:bCs/>
      <w:color w:val="4472C4" w:themeColor="accent1"/>
      <w:sz w:val="18"/>
      <w:szCs w:val="16"/>
      <w:lang w:val="en-IN" w:bidi="mr-IN"/>
    </w:rPr>
  </w:style>
  <w:style w:type="table" w:styleId="TableGridLight">
    <w:name w:val="Grid Table Light"/>
    <w:basedOn w:val="TableNormal"/>
    <w:uiPriority w:val="40"/>
    <w:rsid w:val="00075186"/>
    <w:pPr>
      <w:spacing w:after="0" w:line="240" w:lineRule="auto"/>
    </w:pPr>
    <w:rPr>
      <w:szCs w:val="20"/>
      <w:lang w:val="en-IN" w:bidi="mr-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link w:val="BibliographyChar"/>
    <w:uiPriority w:val="37"/>
    <w:unhideWhenUsed/>
    <w:rsid w:val="002F7B09"/>
  </w:style>
  <w:style w:type="character" w:styleId="CommentReference">
    <w:name w:val="annotation reference"/>
    <w:basedOn w:val="DefaultParagraphFont"/>
    <w:uiPriority w:val="99"/>
    <w:semiHidden/>
    <w:unhideWhenUsed/>
    <w:rsid w:val="0005096D"/>
    <w:rPr>
      <w:sz w:val="16"/>
      <w:szCs w:val="16"/>
    </w:rPr>
  </w:style>
  <w:style w:type="paragraph" w:styleId="CommentText">
    <w:name w:val="annotation text"/>
    <w:basedOn w:val="Normal"/>
    <w:link w:val="CommentTextChar"/>
    <w:unhideWhenUsed/>
    <w:rsid w:val="0005096D"/>
    <w:pPr>
      <w:spacing w:line="240" w:lineRule="auto"/>
    </w:pPr>
    <w:rPr>
      <w:sz w:val="20"/>
      <w:szCs w:val="18"/>
    </w:rPr>
  </w:style>
  <w:style w:type="character" w:customStyle="1" w:styleId="CommentTextChar">
    <w:name w:val="Comment Text Char"/>
    <w:basedOn w:val="DefaultParagraphFont"/>
    <w:link w:val="CommentText"/>
    <w:rsid w:val="0005096D"/>
    <w:rPr>
      <w:rFonts w:ascii="Times New Roman" w:hAnsi="Times New Roman"/>
      <w:sz w:val="20"/>
      <w:szCs w:val="18"/>
      <w:lang w:val="en-IN" w:bidi="mr-IN"/>
    </w:rPr>
  </w:style>
  <w:style w:type="paragraph" w:styleId="BalloonText">
    <w:name w:val="Balloon Text"/>
    <w:basedOn w:val="Normal"/>
    <w:link w:val="BalloonTextChar"/>
    <w:uiPriority w:val="99"/>
    <w:semiHidden/>
    <w:unhideWhenUsed/>
    <w:rsid w:val="0005096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05096D"/>
    <w:rPr>
      <w:rFonts w:ascii="Segoe UI" w:hAnsi="Segoe UI" w:cs="Segoe UI"/>
      <w:sz w:val="18"/>
      <w:szCs w:val="16"/>
      <w:lang w:val="en-IN" w:bidi="mr-IN"/>
    </w:rPr>
  </w:style>
  <w:style w:type="paragraph" w:styleId="ListParagraph">
    <w:name w:val="List Paragraph"/>
    <w:basedOn w:val="Normal"/>
    <w:uiPriority w:val="34"/>
    <w:qFormat/>
    <w:rsid w:val="0005096D"/>
    <w:pPr>
      <w:ind w:left="720"/>
      <w:contextualSpacing/>
    </w:pPr>
  </w:style>
  <w:style w:type="character" w:styleId="PlaceholderText">
    <w:name w:val="Placeholder Text"/>
    <w:basedOn w:val="DefaultParagraphFont"/>
    <w:uiPriority w:val="99"/>
    <w:semiHidden/>
    <w:rsid w:val="00360EFA"/>
    <w:rPr>
      <w:color w:val="808080"/>
    </w:rPr>
  </w:style>
  <w:style w:type="paragraph" w:styleId="CommentSubject">
    <w:name w:val="annotation subject"/>
    <w:basedOn w:val="CommentText"/>
    <w:next w:val="CommentText"/>
    <w:link w:val="CommentSubjectChar"/>
    <w:uiPriority w:val="99"/>
    <w:semiHidden/>
    <w:unhideWhenUsed/>
    <w:rsid w:val="00AE63B1"/>
    <w:rPr>
      <w:b/>
      <w:bCs/>
    </w:rPr>
  </w:style>
  <w:style w:type="character" w:customStyle="1" w:styleId="CommentSubjectChar">
    <w:name w:val="Comment Subject Char"/>
    <w:basedOn w:val="CommentTextChar"/>
    <w:link w:val="CommentSubject"/>
    <w:uiPriority w:val="99"/>
    <w:semiHidden/>
    <w:rsid w:val="00AE63B1"/>
    <w:rPr>
      <w:rFonts w:ascii="Times New Roman" w:hAnsi="Times New Roman"/>
      <w:b/>
      <w:bCs/>
      <w:sz w:val="20"/>
      <w:szCs w:val="18"/>
      <w:lang w:val="en-IN" w:bidi="mr-IN"/>
    </w:rPr>
  </w:style>
  <w:style w:type="paragraph" w:customStyle="1" w:styleId="Default">
    <w:name w:val="Default"/>
    <w:rsid w:val="00386C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757FF6"/>
    <w:pPr>
      <w:spacing w:after="0"/>
      <w:jc w:val="center"/>
    </w:pPr>
    <w:rPr>
      <w:rFonts w:cs="Times New Roman"/>
      <w:noProof/>
      <w:lang w:val="en-US"/>
    </w:rPr>
  </w:style>
  <w:style w:type="character" w:customStyle="1" w:styleId="BibliographyChar">
    <w:name w:val="Bibliography Char"/>
    <w:basedOn w:val="DefaultParagraphFont"/>
    <w:link w:val="Bibliography"/>
    <w:uiPriority w:val="37"/>
    <w:rsid w:val="00757FF6"/>
    <w:rPr>
      <w:rFonts w:ascii="Times New Roman" w:hAnsi="Times New Roman"/>
      <w:sz w:val="24"/>
      <w:szCs w:val="20"/>
      <w:lang w:val="en-IN" w:bidi="mr-IN"/>
    </w:rPr>
  </w:style>
  <w:style w:type="character" w:customStyle="1" w:styleId="EndNoteBibliographyTitleChar">
    <w:name w:val="EndNote Bibliography Title Char"/>
    <w:basedOn w:val="BibliographyChar"/>
    <w:link w:val="EndNoteBibliographyTitle"/>
    <w:rsid w:val="00757FF6"/>
    <w:rPr>
      <w:rFonts w:ascii="Times New Roman" w:hAnsi="Times New Roman" w:cs="Times New Roman"/>
      <w:noProof/>
      <w:sz w:val="24"/>
      <w:szCs w:val="20"/>
      <w:lang w:val="en-IN" w:bidi="mr-IN"/>
    </w:rPr>
  </w:style>
  <w:style w:type="paragraph" w:customStyle="1" w:styleId="EndNoteBibliography">
    <w:name w:val="EndNote Bibliography"/>
    <w:basedOn w:val="Normal"/>
    <w:link w:val="EndNoteBibliographyChar"/>
    <w:rsid w:val="00757FF6"/>
    <w:pPr>
      <w:spacing w:line="240" w:lineRule="auto"/>
    </w:pPr>
    <w:rPr>
      <w:rFonts w:cs="Times New Roman"/>
      <w:noProof/>
      <w:lang w:val="en-US"/>
    </w:rPr>
  </w:style>
  <w:style w:type="character" w:customStyle="1" w:styleId="EndNoteBibliographyChar">
    <w:name w:val="EndNote Bibliography Char"/>
    <w:basedOn w:val="BibliographyChar"/>
    <w:link w:val="EndNoteBibliography"/>
    <w:rsid w:val="00757FF6"/>
    <w:rPr>
      <w:rFonts w:ascii="Times New Roman" w:hAnsi="Times New Roman" w:cs="Times New Roman"/>
      <w:noProof/>
      <w:sz w:val="24"/>
      <w:szCs w:val="20"/>
      <w:lang w:val="en-IN" w:bidi="mr-IN"/>
    </w:rPr>
  </w:style>
  <w:style w:type="character" w:styleId="Hyperlink">
    <w:name w:val="Hyperlink"/>
    <w:basedOn w:val="DefaultParagraphFont"/>
    <w:uiPriority w:val="99"/>
    <w:rsid w:val="00C508EA"/>
    <w:rPr>
      <w:color w:val="0000FF"/>
      <w:u w:val="single"/>
    </w:rPr>
  </w:style>
  <w:style w:type="paragraph" w:styleId="Header">
    <w:name w:val="header"/>
    <w:basedOn w:val="Normal"/>
    <w:link w:val="HeaderChar"/>
    <w:uiPriority w:val="99"/>
    <w:unhideWhenUsed/>
    <w:rsid w:val="00535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1E6"/>
    <w:rPr>
      <w:rFonts w:ascii="Times New Roman" w:hAnsi="Times New Roman"/>
      <w:sz w:val="24"/>
      <w:szCs w:val="20"/>
      <w:lang w:val="en-IN" w:bidi="mr-IN"/>
    </w:rPr>
  </w:style>
  <w:style w:type="paragraph" w:styleId="Footer">
    <w:name w:val="footer"/>
    <w:basedOn w:val="Normal"/>
    <w:link w:val="FooterChar"/>
    <w:uiPriority w:val="99"/>
    <w:unhideWhenUsed/>
    <w:rsid w:val="00535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1E6"/>
    <w:rPr>
      <w:rFonts w:ascii="Times New Roman" w:hAnsi="Times New Roman"/>
      <w:sz w:val="24"/>
      <w:szCs w:val="20"/>
      <w:lang w:val="en-IN"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2237">
      <w:bodyDiv w:val="1"/>
      <w:marLeft w:val="0"/>
      <w:marRight w:val="0"/>
      <w:marTop w:val="0"/>
      <w:marBottom w:val="0"/>
      <w:divBdr>
        <w:top w:val="none" w:sz="0" w:space="0" w:color="auto"/>
        <w:left w:val="none" w:sz="0" w:space="0" w:color="auto"/>
        <w:bottom w:val="none" w:sz="0" w:space="0" w:color="auto"/>
        <w:right w:val="none" w:sz="0" w:space="0" w:color="auto"/>
      </w:divBdr>
    </w:div>
    <w:div w:id="325786661">
      <w:bodyDiv w:val="1"/>
      <w:marLeft w:val="0"/>
      <w:marRight w:val="0"/>
      <w:marTop w:val="0"/>
      <w:marBottom w:val="0"/>
      <w:divBdr>
        <w:top w:val="none" w:sz="0" w:space="0" w:color="auto"/>
        <w:left w:val="none" w:sz="0" w:space="0" w:color="auto"/>
        <w:bottom w:val="none" w:sz="0" w:space="0" w:color="auto"/>
        <w:right w:val="none" w:sz="0" w:space="0" w:color="auto"/>
      </w:divBdr>
    </w:div>
    <w:div w:id="610744100">
      <w:bodyDiv w:val="1"/>
      <w:marLeft w:val="0"/>
      <w:marRight w:val="0"/>
      <w:marTop w:val="0"/>
      <w:marBottom w:val="0"/>
      <w:divBdr>
        <w:top w:val="none" w:sz="0" w:space="0" w:color="auto"/>
        <w:left w:val="none" w:sz="0" w:space="0" w:color="auto"/>
        <w:bottom w:val="none" w:sz="0" w:space="0" w:color="auto"/>
        <w:right w:val="none" w:sz="0" w:space="0" w:color="auto"/>
      </w:divBdr>
    </w:div>
    <w:div w:id="656762096">
      <w:bodyDiv w:val="1"/>
      <w:marLeft w:val="0"/>
      <w:marRight w:val="0"/>
      <w:marTop w:val="0"/>
      <w:marBottom w:val="0"/>
      <w:divBdr>
        <w:top w:val="none" w:sz="0" w:space="0" w:color="auto"/>
        <w:left w:val="none" w:sz="0" w:space="0" w:color="auto"/>
        <w:bottom w:val="none" w:sz="0" w:space="0" w:color="auto"/>
        <w:right w:val="none" w:sz="0" w:space="0" w:color="auto"/>
      </w:divBdr>
    </w:div>
    <w:div w:id="1069691804">
      <w:bodyDiv w:val="1"/>
      <w:marLeft w:val="0"/>
      <w:marRight w:val="0"/>
      <w:marTop w:val="0"/>
      <w:marBottom w:val="0"/>
      <w:divBdr>
        <w:top w:val="none" w:sz="0" w:space="0" w:color="auto"/>
        <w:left w:val="none" w:sz="0" w:space="0" w:color="auto"/>
        <w:bottom w:val="none" w:sz="0" w:space="0" w:color="auto"/>
        <w:right w:val="none" w:sz="0" w:space="0" w:color="auto"/>
      </w:divBdr>
    </w:div>
    <w:div w:id="1122263838">
      <w:bodyDiv w:val="1"/>
      <w:marLeft w:val="0"/>
      <w:marRight w:val="0"/>
      <w:marTop w:val="0"/>
      <w:marBottom w:val="0"/>
      <w:divBdr>
        <w:top w:val="none" w:sz="0" w:space="0" w:color="auto"/>
        <w:left w:val="none" w:sz="0" w:space="0" w:color="auto"/>
        <w:bottom w:val="none" w:sz="0" w:space="0" w:color="auto"/>
        <w:right w:val="none" w:sz="0" w:space="0" w:color="auto"/>
      </w:divBdr>
    </w:div>
    <w:div w:id="1189679265">
      <w:bodyDiv w:val="1"/>
      <w:marLeft w:val="0"/>
      <w:marRight w:val="0"/>
      <w:marTop w:val="0"/>
      <w:marBottom w:val="0"/>
      <w:divBdr>
        <w:top w:val="none" w:sz="0" w:space="0" w:color="auto"/>
        <w:left w:val="none" w:sz="0" w:space="0" w:color="auto"/>
        <w:bottom w:val="none" w:sz="0" w:space="0" w:color="auto"/>
        <w:right w:val="none" w:sz="0" w:space="0" w:color="auto"/>
      </w:divBdr>
    </w:div>
    <w:div w:id="1290745314">
      <w:bodyDiv w:val="1"/>
      <w:marLeft w:val="0"/>
      <w:marRight w:val="0"/>
      <w:marTop w:val="0"/>
      <w:marBottom w:val="0"/>
      <w:divBdr>
        <w:top w:val="none" w:sz="0" w:space="0" w:color="auto"/>
        <w:left w:val="none" w:sz="0" w:space="0" w:color="auto"/>
        <w:bottom w:val="none" w:sz="0" w:space="0" w:color="auto"/>
        <w:right w:val="none" w:sz="0" w:space="0" w:color="auto"/>
      </w:divBdr>
    </w:div>
    <w:div w:id="1346445472">
      <w:bodyDiv w:val="1"/>
      <w:marLeft w:val="0"/>
      <w:marRight w:val="0"/>
      <w:marTop w:val="0"/>
      <w:marBottom w:val="0"/>
      <w:divBdr>
        <w:top w:val="none" w:sz="0" w:space="0" w:color="auto"/>
        <w:left w:val="none" w:sz="0" w:space="0" w:color="auto"/>
        <w:bottom w:val="none" w:sz="0" w:space="0" w:color="auto"/>
        <w:right w:val="none" w:sz="0" w:space="0" w:color="auto"/>
      </w:divBdr>
    </w:div>
    <w:div w:id="1508014302">
      <w:bodyDiv w:val="1"/>
      <w:marLeft w:val="0"/>
      <w:marRight w:val="0"/>
      <w:marTop w:val="0"/>
      <w:marBottom w:val="0"/>
      <w:divBdr>
        <w:top w:val="none" w:sz="0" w:space="0" w:color="auto"/>
        <w:left w:val="none" w:sz="0" w:space="0" w:color="auto"/>
        <w:bottom w:val="none" w:sz="0" w:space="0" w:color="auto"/>
        <w:right w:val="none" w:sz="0" w:space="0" w:color="auto"/>
      </w:divBdr>
    </w:div>
    <w:div w:id="1548642543">
      <w:bodyDiv w:val="1"/>
      <w:marLeft w:val="0"/>
      <w:marRight w:val="0"/>
      <w:marTop w:val="0"/>
      <w:marBottom w:val="0"/>
      <w:divBdr>
        <w:top w:val="none" w:sz="0" w:space="0" w:color="auto"/>
        <w:left w:val="none" w:sz="0" w:space="0" w:color="auto"/>
        <w:bottom w:val="none" w:sz="0" w:space="0" w:color="auto"/>
        <w:right w:val="none" w:sz="0" w:space="0" w:color="auto"/>
      </w:divBdr>
    </w:div>
    <w:div w:id="1585140799">
      <w:bodyDiv w:val="1"/>
      <w:marLeft w:val="0"/>
      <w:marRight w:val="0"/>
      <w:marTop w:val="0"/>
      <w:marBottom w:val="0"/>
      <w:divBdr>
        <w:top w:val="none" w:sz="0" w:space="0" w:color="auto"/>
        <w:left w:val="none" w:sz="0" w:space="0" w:color="auto"/>
        <w:bottom w:val="none" w:sz="0" w:space="0" w:color="auto"/>
        <w:right w:val="none" w:sz="0" w:space="0" w:color="auto"/>
      </w:divBdr>
    </w:div>
    <w:div w:id="1727298600">
      <w:bodyDiv w:val="1"/>
      <w:marLeft w:val="0"/>
      <w:marRight w:val="0"/>
      <w:marTop w:val="0"/>
      <w:marBottom w:val="0"/>
      <w:divBdr>
        <w:top w:val="none" w:sz="0" w:space="0" w:color="auto"/>
        <w:left w:val="none" w:sz="0" w:space="0" w:color="auto"/>
        <w:bottom w:val="none" w:sz="0" w:space="0" w:color="auto"/>
        <w:right w:val="none" w:sz="0" w:space="0" w:color="auto"/>
      </w:divBdr>
    </w:div>
    <w:div w:id="1811291110">
      <w:bodyDiv w:val="1"/>
      <w:marLeft w:val="0"/>
      <w:marRight w:val="0"/>
      <w:marTop w:val="0"/>
      <w:marBottom w:val="0"/>
      <w:divBdr>
        <w:top w:val="none" w:sz="0" w:space="0" w:color="auto"/>
        <w:left w:val="none" w:sz="0" w:space="0" w:color="auto"/>
        <w:bottom w:val="none" w:sz="0" w:space="0" w:color="auto"/>
        <w:right w:val="none" w:sz="0" w:space="0" w:color="auto"/>
      </w:divBdr>
    </w:div>
    <w:div w:id="1881281501">
      <w:bodyDiv w:val="1"/>
      <w:marLeft w:val="0"/>
      <w:marRight w:val="0"/>
      <w:marTop w:val="0"/>
      <w:marBottom w:val="0"/>
      <w:divBdr>
        <w:top w:val="none" w:sz="0" w:space="0" w:color="auto"/>
        <w:left w:val="none" w:sz="0" w:space="0" w:color="auto"/>
        <w:bottom w:val="none" w:sz="0" w:space="0" w:color="auto"/>
        <w:right w:val="none" w:sz="0" w:space="0" w:color="auto"/>
      </w:divBdr>
    </w:div>
    <w:div w:id="21229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B6901-F04F-4D95-A36C-DC207CF7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S. Mahamuni</dc:creator>
  <cp:keywords/>
  <dc:description/>
  <cp:lastModifiedBy>Igor Novosselov</cp:lastModifiedBy>
  <cp:revision>3</cp:revision>
  <cp:lastPrinted>2020-02-22T01:57:00Z</cp:lastPrinted>
  <dcterms:created xsi:type="dcterms:W3CDTF">2021-05-04T23:32:00Z</dcterms:created>
  <dcterms:modified xsi:type="dcterms:W3CDTF">2021-05-04T23:32:00Z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id="HfvVzvdH"/&gt;&lt;style id="http://www.zotero.org/styles/environmental-science-and-technology"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