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F4459" w14:textId="2B6C0470" w:rsidR="00F74F95" w:rsidRPr="00AA12CB" w:rsidRDefault="003F6422" w:rsidP="00B9440A">
      <w:pPr>
        <w:pStyle w:val="SMSubheading"/>
        <w:rPr>
          <w:szCs w:val="24"/>
          <w:u w:val="single"/>
        </w:rPr>
      </w:pPr>
      <w:r w:rsidRPr="00AA12CB">
        <w:rPr>
          <w:szCs w:val="24"/>
          <w:u w:val="single"/>
        </w:rPr>
        <w:t>Sample Recovery and Processing</w:t>
      </w:r>
    </w:p>
    <w:p w14:paraId="7064EB3A" w14:textId="77777777" w:rsidR="003F6422" w:rsidRPr="00AA12CB" w:rsidRDefault="003F6422" w:rsidP="00B9440A">
      <w:pPr>
        <w:pStyle w:val="SMSubheading"/>
        <w:rPr>
          <w:szCs w:val="24"/>
        </w:rPr>
      </w:pPr>
    </w:p>
    <w:p w14:paraId="63DC1B88" w14:textId="28981176" w:rsidR="003F6422" w:rsidRPr="00AA12CB" w:rsidRDefault="003F6422" w:rsidP="003F6422">
      <w:pPr>
        <w:rPr>
          <w:szCs w:val="24"/>
        </w:rPr>
      </w:pPr>
      <w:r w:rsidRPr="00AA12CB">
        <w:rPr>
          <w:szCs w:val="24"/>
        </w:rPr>
        <w:t xml:space="preserve">AAR sites are discovered and documented via a multilayered search strategy </w:t>
      </w:r>
      <w:r w:rsidR="00B62842">
        <w:rPr>
          <w:szCs w:val="24"/>
        </w:rPr>
        <w:t>[</w:t>
      </w:r>
      <w:r w:rsidR="00E71600">
        <w:rPr>
          <w:szCs w:val="24"/>
        </w:rPr>
        <w:t>46</w:t>
      </w:r>
      <w:r w:rsidR="00B62842">
        <w:rPr>
          <w:szCs w:val="24"/>
        </w:rPr>
        <w:t>]</w:t>
      </w:r>
      <w:r w:rsidRPr="00AA12CB">
        <w:rPr>
          <w:szCs w:val="24"/>
        </w:rPr>
        <w:t>. An initial survey was conducted using side-scan sonar within two pilot search areas, one a square 7.5 km to a side and the second a square of 4.5 km per side. Subsequently, a partially overlapping area of 115 km</w:t>
      </w:r>
      <w:r w:rsidRPr="00AA12CB">
        <w:rPr>
          <w:szCs w:val="24"/>
          <w:vertAlign w:val="superscript"/>
        </w:rPr>
        <w:t>2</w:t>
      </w:r>
      <w:r w:rsidRPr="00AA12CB">
        <w:rPr>
          <w:szCs w:val="24"/>
        </w:rPr>
        <w:t xml:space="preserve"> was mapped using multibeam sonar. Side-scan survey was conducted using a digital side-scan sonar unit (</w:t>
      </w:r>
      <w:proofErr w:type="spellStart"/>
      <w:r w:rsidRPr="00AA12CB">
        <w:rPr>
          <w:szCs w:val="24"/>
        </w:rPr>
        <w:t>Imagenex</w:t>
      </w:r>
      <w:proofErr w:type="spellEnd"/>
      <w:r w:rsidRPr="00AA12CB">
        <w:rPr>
          <w:szCs w:val="24"/>
        </w:rPr>
        <w:t xml:space="preserve">), at a frequency of 330 kHz and a depth of 20 m, mapping overlapping swaths of 200m. Multibeam survey was conducted using an R2Sonic 2024 multibeam echo sounder with an F180 vessel attitude and position system. Finer resolution survey was conducted using an </w:t>
      </w:r>
      <w:proofErr w:type="spellStart"/>
      <w:r w:rsidRPr="00AA12CB">
        <w:rPr>
          <w:szCs w:val="24"/>
        </w:rPr>
        <w:t>Oceanserver</w:t>
      </w:r>
      <w:proofErr w:type="spellEnd"/>
      <w:r w:rsidRPr="00AA12CB">
        <w:rPr>
          <w:i/>
          <w:szCs w:val="24"/>
        </w:rPr>
        <w:t xml:space="preserve"> </w:t>
      </w:r>
      <w:proofErr w:type="spellStart"/>
      <w:r w:rsidRPr="00AA12CB">
        <w:rPr>
          <w:i/>
          <w:szCs w:val="24"/>
        </w:rPr>
        <w:t>Iver</w:t>
      </w:r>
      <w:proofErr w:type="spellEnd"/>
      <w:r w:rsidRPr="00AA12CB">
        <w:rPr>
          <w:i/>
          <w:szCs w:val="24"/>
        </w:rPr>
        <w:t xml:space="preserve"> 3</w:t>
      </w:r>
      <w:r w:rsidRPr="00AA12CB">
        <w:rPr>
          <w:color w:val="FF0000"/>
          <w:szCs w:val="24"/>
        </w:rPr>
        <w:t xml:space="preserve"> </w:t>
      </w:r>
      <w:r w:rsidRPr="00AA12CB">
        <w:rPr>
          <w:szCs w:val="24"/>
        </w:rPr>
        <w:t xml:space="preserve">autonomous underwater vehicle (AUV), using 50 m swaths at 5 meters above the bottom. Targets of interest were examined using an Outland 1000 remote operated vehicle (ROV), equipped with UWL-500 LED lights, UWC-360D dual high-definition video cameras (color and black and white), and a manipulator. The ROV also carried a Tritech MicroNav100 tracking sonar to allow its location to be recorded in real time. </w:t>
      </w:r>
    </w:p>
    <w:p w14:paraId="4ED1005D" w14:textId="77777777" w:rsidR="00B62842" w:rsidRDefault="00B62842" w:rsidP="003F6422">
      <w:pPr>
        <w:rPr>
          <w:szCs w:val="24"/>
        </w:rPr>
      </w:pPr>
    </w:p>
    <w:p w14:paraId="0E192EE3" w14:textId="36114000" w:rsidR="003F6422" w:rsidRPr="00AA12CB" w:rsidRDefault="003F6422" w:rsidP="003F6422">
      <w:pPr>
        <w:rPr>
          <w:szCs w:val="24"/>
        </w:rPr>
      </w:pPr>
      <w:r w:rsidRPr="00AA12CB">
        <w:rPr>
          <w:szCs w:val="24"/>
        </w:rPr>
        <w:t xml:space="preserve">The specimens described in this paper were recovered from manual excavation conducted by scuba-trained archaeologists. The DA-1 sample contained 3 liters of sediment. The sample was screened and sorted for lithic artifacts and larger organics in the laboratory using a low powered microscope. </w:t>
      </w:r>
    </w:p>
    <w:p w14:paraId="0EF55671" w14:textId="77777777" w:rsidR="003F6422" w:rsidRPr="00AA12CB" w:rsidRDefault="003F6422" w:rsidP="003F6422">
      <w:pPr>
        <w:rPr>
          <w:szCs w:val="24"/>
        </w:rPr>
      </w:pPr>
    </w:p>
    <w:p w14:paraId="56F29DC2" w14:textId="7A39B0EE" w:rsidR="008218C4" w:rsidRPr="00AA12CB" w:rsidRDefault="003F6422" w:rsidP="009A5287">
      <w:pPr>
        <w:pStyle w:val="SMText"/>
        <w:ind w:firstLine="0"/>
        <w:rPr>
          <w:szCs w:val="24"/>
          <w:u w:val="single"/>
        </w:rPr>
      </w:pPr>
      <w:r w:rsidRPr="00AA12CB">
        <w:rPr>
          <w:szCs w:val="24"/>
          <w:u w:val="single"/>
        </w:rPr>
        <w:t>Neutron Activation Analysis Procedures</w:t>
      </w:r>
    </w:p>
    <w:p w14:paraId="12459738" w14:textId="1D3A5D62" w:rsidR="003F6422" w:rsidRPr="00AA12CB" w:rsidRDefault="003F6422" w:rsidP="009A5287">
      <w:pPr>
        <w:pStyle w:val="SMText"/>
        <w:ind w:firstLine="0"/>
        <w:rPr>
          <w:szCs w:val="24"/>
        </w:rPr>
      </w:pPr>
    </w:p>
    <w:p w14:paraId="421CE288" w14:textId="6CE2AD03" w:rsidR="003F6422" w:rsidRPr="00AA12CB" w:rsidRDefault="003F6422" w:rsidP="003F6422">
      <w:pPr>
        <w:rPr>
          <w:szCs w:val="24"/>
        </w:rPr>
      </w:pPr>
      <w:r w:rsidRPr="00AA12CB">
        <w:rPr>
          <w:szCs w:val="24"/>
        </w:rPr>
        <w:t xml:space="preserve">NAA of ceramics requires removal of a portion of an artifact, physical removal of the exterior surface, and homogenization of the sample by grinding into a fine powder resulting in a clearly destructive process </w:t>
      </w:r>
      <w:r w:rsidR="00B62842">
        <w:rPr>
          <w:szCs w:val="24"/>
        </w:rPr>
        <w:t>[</w:t>
      </w:r>
      <w:r w:rsidR="00E71600">
        <w:rPr>
          <w:szCs w:val="24"/>
        </w:rPr>
        <w:t>47</w:t>
      </w:r>
      <w:r w:rsidR="00B62842">
        <w:rPr>
          <w:szCs w:val="24"/>
        </w:rPr>
        <w:t>]</w:t>
      </w:r>
      <w:r w:rsidRPr="00AA12CB">
        <w:rPr>
          <w:szCs w:val="24"/>
        </w:rPr>
        <w:t xml:space="preserve">.  Obsidian analysis does not require grinding due to obsidian’s naturally homogenous structure, but standard NAA of obsidian renders the pieces (either artifacts or geologic samples) radioactive and unsafe to return to curation facilities. Thus, the technique is considered destructive even though the artifact is not actually consumed during analysis.  NAA at MURR actually consists of two separate irradiations: long and short.  The long irradiation sample is measurably radioactive for many thousands of years, but the short irradiation process imparts such a low dose of radiation onto the sample, that it is safe to handle the artifacts after just a couple months. </w:t>
      </w:r>
    </w:p>
    <w:p w14:paraId="0197C29A" w14:textId="77777777" w:rsidR="00B62842" w:rsidRDefault="00B62842" w:rsidP="003F6422">
      <w:pPr>
        <w:rPr>
          <w:szCs w:val="24"/>
        </w:rPr>
      </w:pPr>
    </w:p>
    <w:p w14:paraId="692B6295" w14:textId="56F768D4" w:rsidR="003F6422" w:rsidRPr="00AA12CB" w:rsidRDefault="003F6422" w:rsidP="003F6422">
      <w:pPr>
        <w:rPr>
          <w:szCs w:val="24"/>
        </w:rPr>
      </w:pPr>
      <w:r w:rsidRPr="00AA12CB">
        <w:rPr>
          <w:szCs w:val="24"/>
        </w:rPr>
        <w:t xml:space="preserve">The short irradiation method </w:t>
      </w:r>
      <w:r w:rsidR="00B62842">
        <w:rPr>
          <w:szCs w:val="24"/>
        </w:rPr>
        <w:t>[</w:t>
      </w:r>
      <w:r w:rsidR="00E71600">
        <w:rPr>
          <w:szCs w:val="24"/>
        </w:rPr>
        <w:t>48</w:t>
      </w:r>
      <w:r w:rsidR="00B62842">
        <w:rPr>
          <w:szCs w:val="24"/>
        </w:rPr>
        <w:t>]</w:t>
      </w:r>
      <w:r w:rsidRPr="00AA12CB">
        <w:rPr>
          <w:szCs w:val="24"/>
        </w:rPr>
        <w:t xml:space="preserve"> utilizes small high-density </w:t>
      </w:r>
      <w:proofErr w:type="spellStart"/>
      <w:r w:rsidRPr="00AA12CB">
        <w:rPr>
          <w:szCs w:val="24"/>
        </w:rPr>
        <w:t>polyethelene</w:t>
      </w:r>
      <w:proofErr w:type="spellEnd"/>
      <w:r w:rsidRPr="00AA12CB">
        <w:rPr>
          <w:szCs w:val="24"/>
        </w:rPr>
        <w:t xml:space="preserve"> vials, and if the specimens are small enough to fit into the vials then they can be non-destructively analyzed by short-NAA.  Given the rarity of the two artifacts in this study, destruction was not a reasonable option. This approach has been used successfully in cases of small artifacts requiring more elemental data than ED-XRF alone can provide </w:t>
      </w:r>
      <w:r w:rsidR="00B62842">
        <w:rPr>
          <w:szCs w:val="24"/>
        </w:rPr>
        <w:t>[</w:t>
      </w:r>
      <w:r w:rsidRPr="00AA12CB">
        <w:rPr>
          <w:szCs w:val="24"/>
        </w:rPr>
        <w:t xml:space="preserve">e.g. </w:t>
      </w:r>
      <w:r w:rsidR="00E71600">
        <w:rPr>
          <w:szCs w:val="24"/>
        </w:rPr>
        <w:t>49</w:t>
      </w:r>
      <w:r w:rsidR="00B62842">
        <w:rPr>
          <w:szCs w:val="24"/>
        </w:rPr>
        <w:t>]</w:t>
      </w:r>
      <w:r w:rsidRPr="00AA12CB">
        <w:rPr>
          <w:szCs w:val="24"/>
        </w:rPr>
        <w:t xml:space="preserve">.  ED-XRF has limitations with smaller artifact sizes </w:t>
      </w:r>
      <w:r w:rsidR="00E71600">
        <w:rPr>
          <w:szCs w:val="24"/>
        </w:rPr>
        <w:t xml:space="preserve">[50] </w:t>
      </w:r>
      <w:r w:rsidRPr="00AA12CB">
        <w:rPr>
          <w:szCs w:val="24"/>
        </w:rPr>
        <w:t>and these are precisely the artifacts ideal for non-destructive short NAA.</w:t>
      </w:r>
    </w:p>
    <w:p w14:paraId="631D4AF2" w14:textId="141728A2" w:rsidR="003F6422" w:rsidRDefault="003F6422" w:rsidP="00B62842">
      <w:pPr>
        <w:rPr>
          <w:szCs w:val="24"/>
        </w:rPr>
      </w:pPr>
      <w:r w:rsidRPr="00AA12CB">
        <w:rPr>
          <w:szCs w:val="24"/>
        </w:rPr>
        <w:t xml:space="preserve">Individual sample weights were recorded to the nearest 0.01mg using an analytical balance.  Along with the unknown samples, standards made from National Institute of Standards and Technology (NIST) certified standard reference material of SRM-278 (obsidian rock) and quality controls included samples of SRM-1633b (coal fly ash) and the Alca obsidian source in Peru.  Concentrations are determined for Al, Ba, Cl, Dy, K, Mn, and Na.  NAA methods are discussed in detail by Glascock </w:t>
      </w:r>
      <w:r w:rsidR="00B62842">
        <w:rPr>
          <w:szCs w:val="24"/>
        </w:rPr>
        <w:t>[</w:t>
      </w:r>
      <w:r w:rsidR="00E71600">
        <w:rPr>
          <w:szCs w:val="24"/>
        </w:rPr>
        <w:t>47-48</w:t>
      </w:r>
      <w:r w:rsidR="00B62842">
        <w:rPr>
          <w:szCs w:val="24"/>
        </w:rPr>
        <w:t>].</w:t>
      </w:r>
    </w:p>
    <w:p w14:paraId="577E94AF" w14:textId="217A9EAF" w:rsidR="00FF1311" w:rsidRDefault="00FF1311" w:rsidP="00B62842">
      <w:pPr>
        <w:rPr>
          <w:b/>
          <w:szCs w:val="24"/>
        </w:rPr>
      </w:pPr>
      <w:r w:rsidRPr="00161052">
        <w:rPr>
          <w:b/>
          <w:szCs w:val="24"/>
        </w:rPr>
        <w:lastRenderedPageBreak/>
        <w:t>References</w:t>
      </w:r>
    </w:p>
    <w:p w14:paraId="782654D8" w14:textId="77777777" w:rsidR="00FF1311" w:rsidRDefault="00FF1311" w:rsidP="00B62842">
      <w:pPr>
        <w:rPr>
          <w:szCs w:val="24"/>
        </w:rPr>
      </w:pPr>
    </w:p>
    <w:p w14:paraId="14EFF71E" w14:textId="77777777" w:rsidR="00FF1311" w:rsidRPr="00C43F61" w:rsidRDefault="00FF1311" w:rsidP="00FF1311">
      <w:pPr>
        <w:spacing w:line="480" w:lineRule="auto"/>
        <w:rPr>
          <w:szCs w:val="24"/>
        </w:rPr>
      </w:pPr>
      <w:r>
        <w:rPr>
          <w:szCs w:val="24"/>
        </w:rPr>
        <w:t>46</w:t>
      </w:r>
      <w:r w:rsidRPr="00C43F61">
        <w:rPr>
          <w:szCs w:val="24"/>
        </w:rPr>
        <w:t>.</w:t>
      </w:r>
      <w:r>
        <w:rPr>
          <w:szCs w:val="24"/>
        </w:rPr>
        <w:t xml:space="preserve"> </w:t>
      </w:r>
      <w:r w:rsidRPr="00C43F61">
        <w:rPr>
          <w:szCs w:val="24"/>
        </w:rPr>
        <w:t>O’Shea</w:t>
      </w:r>
      <w:r>
        <w:rPr>
          <w:szCs w:val="24"/>
        </w:rPr>
        <w:t xml:space="preserve"> J, </w:t>
      </w:r>
      <w:r w:rsidRPr="00C43F61">
        <w:rPr>
          <w:szCs w:val="24"/>
        </w:rPr>
        <w:t>Lemke</w:t>
      </w:r>
      <w:r>
        <w:rPr>
          <w:szCs w:val="24"/>
        </w:rPr>
        <w:t xml:space="preserve"> A. </w:t>
      </w:r>
      <w:r w:rsidRPr="00C43F61">
        <w:rPr>
          <w:szCs w:val="24"/>
        </w:rPr>
        <w:t>A layered approach for the discovery and mapping of prehistoric sites beneath Lake Huron. Marine Technol Soc J</w:t>
      </w:r>
      <w:r>
        <w:rPr>
          <w:szCs w:val="24"/>
        </w:rPr>
        <w:t>. 2020;</w:t>
      </w:r>
      <w:r w:rsidRPr="00C43F61">
        <w:rPr>
          <w:szCs w:val="24"/>
        </w:rPr>
        <w:t>54(3)</w:t>
      </w:r>
      <w:r>
        <w:rPr>
          <w:szCs w:val="24"/>
        </w:rPr>
        <w:t>:</w:t>
      </w:r>
      <w:r w:rsidRPr="00C43F61">
        <w:rPr>
          <w:szCs w:val="24"/>
        </w:rPr>
        <w:t>23-32.</w:t>
      </w:r>
    </w:p>
    <w:p w14:paraId="54E7F1DE" w14:textId="77777777" w:rsidR="00FF1311" w:rsidRPr="00C43F61" w:rsidRDefault="00FF1311" w:rsidP="00FF1311">
      <w:pPr>
        <w:spacing w:line="480" w:lineRule="auto"/>
        <w:rPr>
          <w:szCs w:val="24"/>
        </w:rPr>
      </w:pPr>
      <w:r>
        <w:rPr>
          <w:szCs w:val="24"/>
        </w:rPr>
        <w:t>47</w:t>
      </w:r>
      <w:r w:rsidRPr="00C43F61">
        <w:rPr>
          <w:szCs w:val="24"/>
        </w:rPr>
        <w:t>.</w:t>
      </w:r>
      <w:r>
        <w:rPr>
          <w:szCs w:val="24"/>
        </w:rPr>
        <w:t xml:space="preserve"> </w:t>
      </w:r>
      <w:r w:rsidRPr="00C43F61">
        <w:rPr>
          <w:szCs w:val="24"/>
        </w:rPr>
        <w:t>Glascock</w:t>
      </w:r>
      <w:r>
        <w:rPr>
          <w:szCs w:val="24"/>
        </w:rPr>
        <w:t xml:space="preserve"> M.</w:t>
      </w:r>
      <w:r w:rsidRPr="00C43F61">
        <w:rPr>
          <w:szCs w:val="24"/>
        </w:rPr>
        <w:t xml:space="preserve"> Characterization of Archaeological Ceramics at MURR by Neutron activation Analysis and Multivariate Statistics. In </w:t>
      </w:r>
      <w:r>
        <w:rPr>
          <w:szCs w:val="24"/>
        </w:rPr>
        <w:t xml:space="preserve">Neff H, editor. </w:t>
      </w:r>
      <w:r w:rsidRPr="00C43F61">
        <w:rPr>
          <w:szCs w:val="24"/>
        </w:rPr>
        <w:t>Chemical Characterization of Ceramic Pastes in Archaeology</w:t>
      </w:r>
      <w:r>
        <w:rPr>
          <w:szCs w:val="24"/>
        </w:rPr>
        <w:t xml:space="preserve">. Madison: </w:t>
      </w:r>
      <w:r w:rsidRPr="00C43F61">
        <w:rPr>
          <w:szCs w:val="24"/>
        </w:rPr>
        <w:t>Prehistory Press</w:t>
      </w:r>
      <w:r>
        <w:rPr>
          <w:szCs w:val="24"/>
        </w:rPr>
        <w:t xml:space="preserve">, 1992. </w:t>
      </w:r>
      <w:r w:rsidRPr="00C43F61">
        <w:rPr>
          <w:szCs w:val="24"/>
        </w:rPr>
        <w:t>p. 11-26.</w:t>
      </w:r>
    </w:p>
    <w:p w14:paraId="6136C5C9" w14:textId="77777777" w:rsidR="00FF1311" w:rsidRPr="00C43F61" w:rsidRDefault="00FF1311" w:rsidP="00FF1311">
      <w:pPr>
        <w:spacing w:line="480" w:lineRule="auto"/>
        <w:rPr>
          <w:szCs w:val="24"/>
        </w:rPr>
      </w:pPr>
      <w:r>
        <w:rPr>
          <w:szCs w:val="24"/>
        </w:rPr>
        <w:t>48</w:t>
      </w:r>
      <w:r w:rsidRPr="00C43F61">
        <w:rPr>
          <w:szCs w:val="24"/>
        </w:rPr>
        <w:t>.</w:t>
      </w:r>
      <w:r>
        <w:rPr>
          <w:szCs w:val="24"/>
        </w:rPr>
        <w:t xml:space="preserve"> </w:t>
      </w:r>
      <w:r w:rsidRPr="00C43F61">
        <w:rPr>
          <w:szCs w:val="24"/>
        </w:rPr>
        <w:t>Glascock</w:t>
      </w:r>
      <w:r>
        <w:rPr>
          <w:szCs w:val="24"/>
        </w:rPr>
        <w:t xml:space="preserve"> M,</w:t>
      </w:r>
      <w:r w:rsidRPr="00C43F61">
        <w:rPr>
          <w:szCs w:val="24"/>
        </w:rPr>
        <w:t xml:space="preserve"> Neff</w:t>
      </w:r>
      <w:r>
        <w:rPr>
          <w:szCs w:val="24"/>
        </w:rPr>
        <w:t xml:space="preserve"> H, </w:t>
      </w:r>
      <w:r w:rsidRPr="00C43F61">
        <w:rPr>
          <w:szCs w:val="24"/>
        </w:rPr>
        <w:t>Stryker</w:t>
      </w:r>
      <w:r>
        <w:rPr>
          <w:szCs w:val="24"/>
        </w:rPr>
        <w:t xml:space="preserve"> K, </w:t>
      </w:r>
      <w:r w:rsidRPr="00C43F61">
        <w:rPr>
          <w:szCs w:val="24"/>
        </w:rPr>
        <w:t>Johnson</w:t>
      </w:r>
      <w:r>
        <w:rPr>
          <w:szCs w:val="24"/>
        </w:rPr>
        <w:t xml:space="preserve"> T.</w:t>
      </w:r>
      <w:r w:rsidRPr="00C43F61">
        <w:rPr>
          <w:szCs w:val="24"/>
        </w:rPr>
        <w:t xml:space="preserve"> Sourcing archaeological obsidian by an abbreviated NAA procedure. J </w:t>
      </w:r>
      <w:proofErr w:type="spellStart"/>
      <w:r w:rsidRPr="00C43F61">
        <w:rPr>
          <w:szCs w:val="24"/>
        </w:rPr>
        <w:t>Radioanal</w:t>
      </w:r>
      <w:proofErr w:type="spellEnd"/>
      <w:r w:rsidRPr="00C43F61">
        <w:rPr>
          <w:szCs w:val="24"/>
        </w:rPr>
        <w:t xml:space="preserve"> </w:t>
      </w:r>
      <w:proofErr w:type="spellStart"/>
      <w:r w:rsidRPr="00C43F61">
        <w:rPr>
          <w:szCs w:val="24"/>
        </w:rPr>
        <w:t>Nucl</w:t>
      </w:r>
      <w:proofErr w:type="spellEnd"/>
      <w:r w:rsidRPr="00C43F61">
        <w:rPr>
          <w:szCs w:val="24"/>
        </w:rPr>
        <w:t xml:space="preserve"> Ch</w:t>
      </w:r>
      <w:r>
        <w:rPr>
          <w:szCs w:val="24"/>
        </w:rPr>
        <w:t>. 1994;</w:t>
      </w:r>
      <w:r w:rsidRPr="00C43F61">
        <w:rPr>
          <w:szCs w:val="24"/>
        </w:rPr>
        <w:t>180(1)</w:t>
      </w:r>
      <w:r>
        <w:rPr>
          <w:szCs w:val="24"/>
        </w:rPr>
        <w:t>:</w:t>
      </w:r>
      <w:r w:rsidRPr="00C43F61">
        <w:rPr>
          <w:szCs w:val="24"/>
        </w:rPr>
        <w:t>29-35.</w:t>
      </w:r>
    </w:p>
    <w:p w14:paraId="0D4E9EB1" w14:textId="77777777" w:rsidR="00FF1311" w:rsidRPr="00C43F61" w:rsidRDefault="00FF1311" w:rsidP="00FF1311">
      <w:pPr>
        <w:spacing w:line="480" w:lineRule="auto"/>
        <w:rPr>
          <w:szCs w:val="24"/>
        </w:rPr>
      </w:pPr>
      <w:r>
        <w:rPr>
          <w:szCs w:val="24"/>
        </w:rPr>
        <w:t>49</w:t>
      </w:r>
      <w:r w:rsidRPr="00C43F61">
        <w:rPr>
          <w:szCs w:val="24"/>
        </w:rPr>
        <w:t>.</w:t>
      </w:r>
      <w:r>
        <w:rPr>
          <w:szCs w:val="24"/>
        </w:rPr>
        <w:t xml:space="preserve"> </w:t>
      </w:r>
      <w:proofErr w:type="spellStart"/>
      <w:r w:rsidRPr="00C43F61">
        <w:rPr>
          <w:szCs w:val="24"/>
        </w:rPr>
        <w:t>Izuho</w:t>
      </w:r>
      <w:proofErr w:type="spellEnd"/>
      <w:r>
        <w:rPr>
          <w:szCs w:val="24"/>
        </w:rPr>
        <w:t xml:space="preserve"> M, </w:t>
      </w:r>
      <w:r w:rsidRPr="00C43F61">
        <w:rPr>
          <w:szCs w:val="24"/>
        </w:rPr>
        <w:t>Ferguson</w:t>
      </w:r>
      <w:r>
        <w:rPr>
          <w:szCs w:val="24"/>
        </w:rPr>
        <w:t xml:space="preserve"> J, </w:t>
      </w:r>
      <w:r w:rsidRPr="00C43F61">
        <w:rPr>
          <w:szCs w:val="24"/>
        </w:rPr>
        <w:t>Glascock</w:t>
      </w:r>
      <w:r>
        <w:rPr>
          <w:szCs w:val="24"/>
        </w:rPr>
        <w:t xml:space="preserve"> M, </w:t>
      </w:r>
      <w:r w:rsidRPr="00C43F61">
        <w:rPr>
          <w:szCs w:val="24"/>
        </w:rPr>
        <w:t>Oda</w:t>
      </w:r>
      <w:r>
        <w:rPr>
          <w:szCs w:val="24"/>
        </w:rPr>
        <w:t xml:space="preserve"> M, </w:t>
      </w:r>
      <w:r w:rsidRPr="00C43F61">
        <w:rPr>
          <w:szCs w:val="24"/>
        </w:rPr>
        <w:t>Akai</w:t>
      </w:r>
      <w:r>
        <w:rPr>
          <w:szCs w:val="24"/>
        </w:rPr>
        <w:t xml:space="preserve"> F, </w:t>
      </w:r>
      <w:r w:rsidRPr="00C43F61">
        <w:rPr>
          <w:szCs w:val="24"/>
        </w:rPr>
        <w:t>Nakazawa</w:t>
      </w:r>
      <w:r>
        <w:rPr>
          <w:szCs w:val="24"/>
        </w:rPr>
        <w:t xml:space="preserve"> Y, </w:t>
      </w:r>
      <w:r w:rsidRPr="00C43F61">
        <w:rPr>
          <w:szCs w:val="24"/>
        </w:rPr>
        <w:t>Sato</w:t>
      </w:r>
      <w:r>
        <w:rPr>
          <w:szCs w:val="24"/>
        </w:rPr>
        <w:t xml:space="preserve"> H.</w:t>
      </w:r>
      <w:r w:rsidRPr="00C43F61">
        <w:rPr>
          <w:szCs w:val="24"/>
        </w:rPr>
        <w:t xml:space="preserve"> Integration of Obsidian Compositional Studies and Lithic reduction Sequence Analysis at the Upper Paleolithic Site of </w:t>
      </w:r>
      <w:proofErr w:type="spellStart"/>
      <w:r w:rsidRPr="00C43F61">
        <w:rPr>
          <w:szCs w:val="24"/>
        </w:rPr>
        <w:t>Ogachi</w:t>
      </w:r>
      <w:proofErr w:type="spellEnd"/>
      <w:r w:rsidRPr="00C43F61">
        <w:rPr>
          <w:szCs w:val="24"/>
        </w:rPr>
        <w:t>-Kato 2, Hokkaido, Japan. In</w:t>
      </w:r>
      <w:r>
        <w:rPr>
          <w:szCs w:val="24"/>
        </w:rPr>
        <w:t xml:space="preserve">: Ono A, Glascock M, </w:t>
      </w:r>
      <w:proofErr w:type="spellStart"/>
      <w:r>
        <w:rPr>
          <w:szCs w:val="24"/>
        </w:rPr>
        <w:t>Kuzmin</w:t>
      </w:r>
      <w:proofErr w:type="spellEnd"/>
      <w:r>
        <w:rPr>
          <w:szCs w:val="24"/>
        </w:rPr>
        <w:t xml:space="preserve"> YV, </w:t>
      </w:r>
      <w:proofErr w:type="spellStart"/>
      <w:r>
        <w:rPr>
          <w:szCs w:val="24"/>
        </w:rPr>
        <w:t>Suda</w:t>
      </w:r>
      <w:proofErr w:type="spellEnd"/>
      <w:r>
        <w:rPr>
          <w:szCs w:val="24"/>
        </w:rPr>
        <w:t xml:space="preserve"> Y, editors.</w:t>
      </w:r>
      <w:r w:rsidRPr="00C43F61">
        <w:rPr>
          <w:szCs w:val="24"/>
        </w:rPr>
        <w:t xml:space="preserve"> Methodological Issues for </w:t>
      </w:r>
      <w:proofErr w:type="spellStart"/>
      <w:r w:rsidRPr="00C43F61">
        <w:rPr>
          <w:szCs w:val="24"/>
        </w:rPr>
        <w:t>Characterisation</w:t>
      </w:r>
      <w:proofErr w:type="spellEnd"/>
      <w:r w:rsidRPr="00C43F61">
        <w:rPr>
          <w:szCs w:val="24"/>
        </w:rPr>
        <w:t xml:space="preserve"> and Provenance Studies of Obsidian in Northeast Asia</w:t>
      </w:r>
      <w:r>
        <w:rPr>
          <w:szCs w:val="24"/>
        </w:rPr>
        <w:t xml:space="preserve">. </w:t>
      </w:r>
      <w:proofErr w:type="spellStart"/>
      <w:r>
        <w:rPr>
          <w:szCs w:val="24"/>
        </w:rPr>
        <w:t>Oxford</w:t>
      </w:r>
      <w:proofErr w:type="gramStart"/>
      <w:r>
        <w:rPr>
          <w:szCs w:val="24"/>
        </w:rPr>
        <w:t>:</w:t>
      </w:r>
      <w:r w:rsidRPr="00C43F61">
        <w:rPr>
          <w:szCs w:val="24"/>
        </w:rPr>
        <w:t>BAR</w:t>
      </w:r>
      <w:proofErr w:type="spellEnd"/>
      <w:proofErr w:type="gramEnd"/>
      <w:r w:rsidRPr="00C43F61">
        <w:rPr>
          <w:szCs w:val="24"/>
        </w:rPr>
        <w:t xml:space="preserve"> S2620</w:t>
      </w:r>
      <w:r>
        <w:rPr>
          <w:szCs w:val="24"/>
        </w:rPr>
        <w:t>; 2014.</w:t>
      </w:r>
      <w:r w:rsidRPr="00C43F61">
        <w:rPr>
          <w:szCs w:val="24"/>
        </w:rPr>
        <w:t xml:space="preserve"> </w:t>
      </w:r>
      <w:r>
        <w:rPr>
          <w:szCs w:val="24"/>
        </w:rPr>
        <w:t>P. 125-142.</w:t>
      </w:r>
    </w:p>
    <w:p w14:paraId="1C2AAAA5" w14:textId="7191E84A" w:rsidR="00FF1311" w:rsidRDefault="00FF1311" w:rsidP="00FF1311">
      <w:pPr>
        <w:spacing w:line="480" w:lineRule="auto"/>
        <w:rPr>
          <w:szCs w:val="24"/>
        </w:rPr>
      </w:pPr>
      <w:r>
        <w:rPr>
          <w:szCs w:val="24"/>
        </w:rPr>
        <w:t>50</w:t>
      </w:r>
      <w:r w:rsidRPr="00C43F61">
        <w:rPr>
          <w:szCs w:val="24"/>
        </w:rPr>
        <w:t>.</w:t>
      </w:r>
      <w:r>
        <w:rPr>
          <w:szCs w:val="24"/>
        </w:rPr>
        <w:t xml:space="preserve"> </w:t>
      </w:r>
      <w:r w:rsidRPr="00C43F61">
        <w:rPr>
          <w:szCs w:val="24"/>
        </w:rPr>
        <w:t>Ferguson</w:t>
      </w:r>
      <w:r>
        <w:rPr>
          <w:szCs w:val="24"/>
        </w:rPr>
        <w:t xml:space="preserve"> J. </w:t>
      </w:r>
      <w:r w:rsidRPr="00C43F61">
        <w:rPr>
          <w:szCs w:val="24"/>
        </w:rPr>
        <w:t>Fluorescence of Obsidian: Approaches to Calibration and the Analysis of Small Samples. In</w:t>
      </w:r>
      <w:r>
        <w:rPr>
          <w:szCs w:val="24"/>
        </w:rPr>
        <w:t>:</w:t>
      </w:r>
      <w:r w:rsidRPr="00C43F61">
        <w:rPr>
          <w:szCs w:val="24"/>
        </w:rPr>
        <w:t xml:space="preserve"> </w:t>
      </w:r>
      <w:proofErr w:type="spellStart"/>
      <w:r w:rsidRPr="00C43F61">
        <w:rPr>
          <w:szCs w:val="24"/>
        </w:rPr>
        <w:t>Shugar</w:t>
      </w:r>
      <w:proofErr w:type="spellEnd"/>
      <w:r>
        <w:rPr>
          <w:szCs w:val="24"/>
        </w:rPr>
        <w:t xml:space="preserve"> A, </w:t>
      </w:r>
      <w:r w:rsidRPr="00C43F61">
        <w:rPr>
          <w:szCs w:val="24"/>
        </w:rPr>
        <w:t>Mass</w:t>
      </w:r>
      <w:r>
        <w:rPr>
          <w:szCs w:val="24"/>
        </w:rPr>
        <w:t xml:space="preserve"> A, editors</w:t>
      </w:r>
      <w:r w:rsidRPr="00C43F61">
        <w:rPr>
          <w:szCs w:val="24"/>
        </w:rPr>
        <w:t>. Handheld XRF for Art and Archaeology</w:t>
      </w:r>
      <w:r>
        <w:rPr>
          <w:szCs w:val="24"/>
        </w:rPr>
        <w:t xml:space="preserve"> </w:t>
      </w:r>
      <w:r w:rsidRPr="00C43F61">
        <w:rPr>
          <w:szCs w:val="24"/>
        </w:rPr>
        <w:t>Leuven</w:t>
      </w:r>
      <w:r>
        <w:rPr>
          <w:szCs w:val="24"/>
        </w:rPr>
        <w:t xml:space="preserve">: </w:t>
      </w:r>
      <w:r w:rsidRPr="00C43F61">
        <w:rPr>
          <w:szCs w:val="24"/>
        </w:rPr>
        <w:t>Leuven University Press</w:t>
      </w:r>
      <w:r>
        <w:rPr>
          <w:szCs w:val="24"/>
        </w:rPr>
        <w:t>; 2012.</w:t>
      </w:r>
      <w:r w:rsidRPr="00C43F61">
        <w:rPr>
          <w:szCs w:val="24"/>
        </w:rPr>
        <w:t xml:space="preserve"> p. 400-421.</w:t>
      </w:r>
      <w:bookmarkStart w:id="0" w:name="_GoBack"/>
      <w:bookmarkEnd w:id="0"/>
    </w:p>
    <w:sectPr w:rsidR="00FF1311" w:rsidSect="00E853D5">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0159D" w14:textId="77777777" w:rsidR="00B90128" w:rsidRDefault="00B90128">
      <w:r>
        <w:separator/>
      </w:r>
    </w:p>
  </w:endnote>
  <w:endnote w:type="continuationSeparator" w:id="0">
    <w:p w14:paraId="71BC43B9" w14:textId="77777777" w:rsidR="00B90128" w:rsidRDefault="00B9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8EA3E" w14:textId="05A19B46" w:rsidR="00F125EE" w:rsidRDefault="00114193">
    <w:pPr>
      <w:pStyle w:val="Footer"/>
      <w:jc w:val="right"/>
    </w:pPr>
    <w:r>
      <w:fldChar w:fldCharType="begin"/>
    </w:r>
    <w:r>
      <w:instrText xml:space="preserve"> PAGE   \* MERGEFORMAT </w:instrText>
    </w:r>
    <w:r>
      <w:fldChar w:fldCharType="separate"/>
    </w:r>
    <w:r w:rsidR="00B82E11">
      <w:rPr>
        <w:noProof/>
      </w:rPr>
      <w:t>2</w:t>
    </w:r>
    <w:r>
      <w:fldChar w:fldCharType="end"/>
    </w:r>
  </w:p>
  <w:p w14:paraId="211F3547" w14:textId="77777777" w:rsidR="00F125EE" w:rsidRDefault="00F12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B4886" w14:textId="77777777" w:rsidR="00B90128" w:rsidRDefault="00B90128">
      <w:r>
        <w:separator/>
      </w:r>
    </w:p>
  </w:footnote>
  <w:footnote w:type="continuationSeparator" w:id="0">
    <w:p w14:paraId="7400A632" w14:textId="77777777" w:rsidR="00B90128" w:rsidRDefault="00B90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01F95" w14:textId="77777777" w:rsidR="003A2FD8" w:rsidRPr="005001AC" w:rsidRDefault="003A2FD8" w:rsidP="005001AC">
    <w:pPr>
      <w:jc w:val="right"/>
      <w:rPr>
        <w:sz w:val="20"/>
      </w:rPr>
    </w:pPr>
  </w:p>
  <w:p w14:paraId="3CD866EE" w14:textId="77777777" w:rsidR="003A2FD8" w:rsidRDefault="003A2F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0F"/>
    <w:rsid w:val="00015F74"/>
    <w:rsid w:val="00065EBD"/>
    <w:rsid w:val="00083B44"/>
    <w:rsid w:val="000850DC"/>
    <w:rsid w:val="000C2771"/>
    <w:rsid w:val="000D46F4"/>
    <w:rsid w:val="000E7786"/>
    <w:rsid w:val="000F0DCE"/>
    <w:rsid w:val="000F6BE3"/>
    <w:rsid w:val="00112C5B"/>
    <w:rsid w:val="00114193"/>
    <w:rsid w:val="00115A38"/>
    <w:rsid w:val="0011687B"/>
    <w:rsid w:val="00124F82"/>
    <w:rsid w:val="00141378"/>
    <w:rsid w:val="0016337A"/>
    <w:rsid w:val="00164269"/>
    <w:rsid w:val="001A1BDE"/>
    <w:rsid w:val="001E026E"/>
    <w:rsid w:val="001F0876"/>
    <w:rsid w:val="001F167C"/>
    <w:rsid w:val="001F5E91"/>
    <w:rsid w:val="002077B9"/>
    <w:rsid w:val="00262D72"/>
    <w:rsid w:val="00282998"/>
    <w:rsid w:val="00294FBB"/>
    <w:rsid w:val="002C030F"/>
    <w:rsid w:val="00331D75"/>
    <w:rsid w:val="00355362"/>
    <w:rsid w:val="00363E44"/>
    <w:rsid w:val="00395E86"/>
    <w:rsid w:val="003A2FD8"/>
    <w:rsid w:val="003B40E6"/>
    <w:rsid w:val="003E74FB"/>
    <w:rsid w:val="003F6422"/>
    <w:rsid w:val="003F6E14"/>
    <w:rsid w:val="00405336"/>
    <w:rsid w:val="0044272A"/>
    <w:rsid w:val="004571D5"/>
    <w:rsid w:val="00461D81"/>
    <w:rsid w:val="0046356B"/>
    <w:rsid w:val="00477182"/>
    <w:rsid w:val="004779CB"/>
    <w:rsid w:val="004E42D8"/>
    <w:rsid w:val="004E7BA2"/>
    <w:rsid w:val="004F7EDF"/>
    <w:rsid w:val="005001AC"/>
    <w:rsid w:val="00527D71"/>
    <w:rsid w:val="005520A8"/>
    <w:rsid w:val="005607DD"/>
    <w:rsid w:val="005A558C"/>
    <w:rsid w:val="005E28F8"/>
    <w:rsid w:val="005E6513"/>
    <w:rsid w:val="00651114"/>
    <w:rsid w:val="00664560"/>
    <w:rsid w:val="00670299"/>
    <w:rsid w:val="00691985"/>
    <w:rsid w:val="006A1B64"/>
    <w:rsid w:val="007108F5"/>
    <w:rsid w:val="00713E5B"/>
    <w:rsid w:val="007402FC"/>
    <w:rsid w:val="007411A1"/>
    <w:rsid w:val="00793072"/>
    <w:rsid w:val="00807D35"/>
    <w:rsid w:val="008218C4"/>
    <w:rsid w:val="00867A98"/>
    <w:rsid w:val="00870867"/>
    <w:rsid w:val="00885C9B"/>
    <w:rsid w:val="008D5D2A"/>
    <w:rsid w:val="00914B63"/>
    <w:rsid w:val="009354F3"/>
    <w:rsid w:val="009447DC"/>
    <w:rsid w:val="00961BA5"/>
    <w:rsid w:val="009743A9"/>
    <w:rsid w:val="009A5287"/>
    <w:rsid w:val="009B2AC5"/>
    <w:rsid w:val="009B7984"/>
    <w:rsid w:val="009D283C"/>
    <w:rsid w:val="009F4BED"/>
    <w:rsid w:val="009F7D93"/>
    <w:rsid w:val="00A3403B"/>
    <w:rsid w:val="00A434CF"/>
    <w:rsid w:val="00A51A12"/>
    <w:rsid w:val="00A627D4"/>
    <w:rsid w:val="00A74DA2"/>
    <w:rsid w:val="00AA12CB"/>
    <w:rsid w:val="00AB399E"/>
    <w:rsid w:val="00AC59D0"/>
    <w:rsid w:val="00AD16B1"/>
    <w:rsid w:val="00AD499C"/>
    <w:rsid w:val="00AE15BA"/>
    <w:rsid w:val="00B36869"/>
    <w:rsid w:val="00B43B31"/>
    <w:rsid w:val="00B47CFA"/>
    <w:rsid w:val="00B57F00"/>
    <w:rsid w:val="00B62842"/>
    <w:rsid w:val="00B77B2A"/>
    <w:rsid w:val="00B82C22"/>
    <w:rsid w:val="00B82E11"/>
    <w:rsid w:val="00B90128"/>
    <w:rsid w:val="00B93DBA"/>
    <w:rsid w:val="00B9440A"/>
    <w:rsid w:val="00BB2D2A"/>
    <w:rsid w:val="00BC3E04"/>
    <w:rsid w:val="00BD58CF"/>
    <w:rsid w:val="00BE4B27"/>
    <w:rsid w:val="00BF0C92"/>
    <w:rsid w:val="00C04CC1"/>
    <w:rsid w:val="00C4096C"/>
    <w:rsid w:val="00C50C6D"/>
    <w:rsid w:val="00C600D9"/>
    <w:rsid w:val="00C92B22"/>
    <w:rsid w:val="00CC1384"/>
    <w:rsid w:val="00CD3720"/>
    <w:rsid w:val="00CF1848"/>
    <w:rsid w:val="00CF5C2F"/>
    <w:rsid w:val="00D04BCF"/>
    <w:rsid w:val="00D143D9"/>
    <w:rsid w:val="00D5511B"/>
    <w:rsid w:val="00D766F1"/>
    <w:rsid w:val="00E257C8"/>
    <w:rsid w:val="00E41512"/>
    <w:rsid w:val="00E4519A"/>
    <w:rsid w:val="00E71600"/>
    <w:rsid w:val="00E853D5"/>
    <w:rsid w:val="00E9773B"/>
    <w:rsid w:val="00EA6F42"/>
    <w:rsid w:val="00EC13A3"/>
    <w:rsid w:val="00EC7C85"/>
    <w:rsid w:val="00F125EE"/>
    <w:rsid w:val="00F12E98"/>
    <w:rsid w:val="00F22029"/>
    <w:rsid w:val="00F515FB"/>
    <w:rsid w:val="00F630EA"/>
    <w:rsid w:val="00F7007E"/>
    <w:rsid w:val="00F73193"/>
    <w:rsid w:val="00F74F95"/>
    <w:rsid w:val="00F80705"/>
    <w:rsid w:val="00FA1481"/>
    <w:rsid w:val="00FD550A"/>
    <w:rsid w:val="00FF04E3"/>
    <w:rsid w:val="00FF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59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unhideWhenUsed="0" w:qFormat="1"/>
    <w:lsdException w:name="Emphasis"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character" w:styleId="FollowedHyperlink">
    <w:name w:val="FollowedHyperlink"/>
    <w:semiHidden/>
    <w:unhideWhenUsed/>
    <w:rsid w:val="00793072"/>
    <w:rPr>
      <w:color w:val="800080"/>
      <w:u w:val="single"/>
    </w:rPr>
  </w:style>
  <w:style w:type="character" w:styleId="CommentReference">
    <w:name w:val="annotation reference"/>
    <w:semiHidden/>
    <w:unhideWhenUsed/>
    <w:rsid w:val="00793072"/>
    <w:rPr>
      <w:sz w:val="16"/>
      <w:szCs w:val="16"/>
    </w:rPr>
  </w:style>
  <w:style w:type="character" w:customStyle="1" w:styleId="UnresolvedMention1">
    <w:name w:val="Unresolved Mention1"/>
    <w:basedOn w:val="DefaultParagraphFont"/>
    <w:uiPriority w:val="99"/>
    <w:semiHidden/>
    <w:unhideWhenUsed/>
    <w:rsid w:val="008218C4"/>
    <w:rPr>
      <w:color w:val="808080"/>
      <w:shd w:val="clear" w:color="auto" w:fill="E6E6E6"/>
    </w:rPr>
  </w:style>
  <w:style w:type="table" w:customStyle="1" w:styleId="TableGrid1">
    <w:name w:val="Table Grid1"/>
    <w:basedOn w:val="TableNormal"/>
    <w:next w:val="TableGrid"/>
    <w:uiPriority w:val="39"/>
    <w:rsid w:val="003F6422"/>
    <w:rPr>
      <w:rFonts w:asciiTheme="minorHAnsi" w:eastAsiaTheme="minorHAnsi" w:hAnsiTheme="minorHAns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F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6422"/>
    <w:pPr>
      <w:autoSpaceDE w:val="0"/>
      <w:autoSpaceDN w:val="0"/>
      <w:adjustRightInd w:val="0"/>
    </w:pPr>
    <w:rPr>
      <w:rFonts w:ascii="Code" w:eastAsiaTheme="minorHAnsi" w:hAnsi="Code" w:cs="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unhideWhenUsed="0" w:qFormat="1"/>
    <w:lsdException w:name="Emphasis"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character" w:styleId="FollowedHyperlink">
    <w:name w:val="FollowedHyperlink"/>
    <w:semiHidden/>
    <w:unhideWhenUsed/>
    <w:rsid w:val="00793072"/>
    <w:rPr>
      <w:color w:val="800080"/>
      <w:u w:val="single"/>
    </w:rPr>
  </w:style>
  <w:style w:type="character" w:styleId="CommentReference">
    <w:name w:val="annotation reference"/>
    <w:semiHidden/>
    <w:unhideWhenUsed/>
    <w:rsid w:val="00793072"/>
    <w:rPr>
      <w:sz w:val="16"/>
      <w:szCs w:val="16"/>
    </w:rPr>
  </w:style>
  <w:style w:type="character" w:customStyle="1" w:styleId="UnresolvedMention1">
    <w:name w:val="Unresolved Mention1"/>
    <w:basedOn w:val="DefaultParagraphFont"/>
    <w:uiPriority w:val="99"/>
    <w:semiHidden/>
    <w:unhideWhenUsed/>
    <w:rsid w:val="008218C4"/>
    <w:rPr>
      <w:color w:val="808080"/>
      <w:shd w:val="clear" w:color="auto" w:fill="E6E6E6"/>
    </w:rPr>
  </w:style>
  <w:style w:type="table" w:customStyle="1" w:styleId="TableGrid1">
    <w:name w:val="Table Grid1"/>
    <w:basedOn w:val="TableNormal"/>
    <w:next w:val="TableGrid"/>
    <w:uiPriority w:val="39"/>
    <w:rsid w:val="003F6422"/>
    <w:rPr>
      <w:rFonts w:asciiTheme="minorHAnsi" w:eastAsiaTheme="minorHAnsi" w:hAnsiTheme="minorHAns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F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6422"/>
    <w:pPr>
      <w:autoSpaceDE w:val="0"/>
      <w:autoSpaceDN w:val="0"/>
      <w:adjustRightInd w:val="0"/>
    </w:pPr>
    <w:rPr>
      <w:rFonts w:ascii="Code" w:eastAsiaTheme="minorHAnsi"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701</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4591</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c:creator>
  <cp:keywords/>
  <cp:lastModifiedBy>Meenakshi Akasapu</cp:lastModifiedBy>
  <cp:revision>5</cp:revision>
  <cp:lastPrinted>2018-01-11T19:53:00Z</cp:lastPrinted>
  <dcterms:created xsi:type="dcterms:W3CDTF">2021-04-06T20:10:00Z</dcterms:created>
  <dcterms:modified xsi:type="dcterms:W3CDTF">2021-05-07T04:33:00Z</dcterms:modified>
</cp:coreProperties>
</file>