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BA7C" w14:textId="77777777" w:rsidR="0052638C" w:rsidRPr="002A0EAA" w:rsidRDefault="0052638C" w:rsidP="0052638C">
      <w:pPr>
        <w:pStyle w:val="Heading5"/>
        <w:rPr>
          <w:rFonts w:asciiTheme="minorHAnsi" w:hAnsiTheme="minorHAnsi" w:cstheme="minorHAnsi"/>
          <w:color w:val="auto"/>
          <w:sz w:val="24"/>
        </w:rPr>
      </w:pP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S4 Table. Impact of late presentation and late presentation with advanced disease on the composite endpoint, first </w:t>
      </w:r>
      <w:r>
        <w:rPr>
          <w:rFonts w:asciiTheme="minorHAnsi" w:hAnsiTheme="minorHAnsi" w:cstheme="minorHAnsi"/>
          <w:b/>
          <w:bCs/>
          <w:color w:val="auto"/>
          <w:sz w:val="24"/>
        </w:rPr>
        <w:t xml:space="preserve">ADE, </w:t>
      </w: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first </w:t>
      </w:r>
      <w:r>
        <w:rPr>
          <w:rFonts w:asciiTheme="minorHAnsi" w:hAnsiTheme="minorHAnsi" w:cstheme="minorHAnsi"/>
          <w:b/>
          <w:bCs/>
          <w:color w:val="auto"/>
          <w:sz w:val="24"/>
        </w:rPr>
        <w:t>SNAE</w:t>
      </w: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 and overall mortality when late presentation and late presentation with advanced disease are defined as participants with an HIV-diagnosis at a CD4 &lt;350</w:t>
      </w:r>
      <w:r>
        <w:rPr>
          <w:rFonts w:asciiTheme="minorHAnsi" w:hAnsiTheme="minorHAnsi" w:cstheme="minorHAnsi"/>
          <w:b/>
          <w:bCs/>
          <w:color w:val="auto"/>
          <w:sz w:val="24"/>
        </w:rPr>
        <w:t xml:space="preserve"> cells</w:t>
      </w: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/µL (or &lt;200 </w:t>
      </w:r>
      <w:r>
        <w:rPr>
          <w:rFonts w:asciiTheme="minorHAnsi" w:hAnsiTheme="minorHAnsi" w:cstheme="minorHAnsi"/>
          <w:b/>
          <w:bCs/>
          <w:color w:val="auto"/>
          <w:sz w:val="24"/>
        </w:rPr>
        <w:t>cells</w:t>
      </w: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/µL for advanced disease) or with an AIDS-defining event </w:t>
      </w:r>
      <w:r>
        <w:rPr>
          <w:rFonts w:asciiTheme="minorHAnsi" w:hAnsiTheme="minorHAnsi" w:cstheme="minorHAnsi"/>
          <w:b/>
          <w:bCs/>
          <w:color w:val="auto"/>
          <w:sz w:val="24"/>
        </w:rPr>
        <w:t>within</w:t>
      </w:r>
      <w:r w:rsidRPr="00023BC9">
        <w:rPr>
          <w:rFonts w:asciiTheme="minorHAnsi" w:hAnsiTheme="minorHAnsi" w:cstheme="minorHAnsi"/>
          <w:b/>
          <w:bCs/>
          <w:color w:val="auto"/>
          <w:sz w:val="24"/>
        </w:rPr>
        <w:t xml:space="preserve"> the 4, 12 or 48 weeks after </w:t>
      </w:r>
      <w:proofErr w:type="gramStart"/>
      <w:r w:rsidRPr="00023BC9">
        <w:rPr>
          <w:rFonts w:asciiTheme="minorHAnsi" w:hAnsiTheme="minorHAnsi" w:cstheme="minorHAnsi"/>
          <w:b/>
          <w:bCs/>
          <w:color w:val="auto"/>
          <w:sz w:val="24"/>
        </w:rPr>
        <w:t>enrolment</w:t>
      </w:r>
      <w:proofErr w:type="gramEnd"/>
    </w:p>
    <w:tbl>
      <w:tblPr>
        <w:tblStyle w:val="Tablanormal23"/>
        <w:tblW w:w="0" w:type="auto"/>
        <w:tblLook w:val="0620" w:firstRow="1" w:lastRow="0" w:firstColumn="0" w:lastColumn="0" w:noHBand="1" w:noVBand="1"/>
      </w:tblPr>
      <w:tblGrid>
        <w:gridCol w:w="1689"/>
        <w:gridCol w:w="1238"/>
        <w:gridCol w:w="1319"/>
        <w:gridCol w:w="1238"/>
        <w:gridCol w:w="1319"/>
        <w:gridCol w:w="1238"/>
        <w:gridCol w:w="1319"/>
      </w:tblGrid>
      <w:tr w:rsidR="0052638C" w:rsidRPr="00AE611A" w14:paraId="045EB77F" w14:textId="77777777" w:rsidTr="00BB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8A40742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B72B25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 month</w:t>
            </w:r>
          </w:p>
        </w:tc>
        <w:tc>
          <w:tcPr>
            <w:tcW w:w="0" w:type="auto"/>
          </w:tcPr>
          <w:p w14:paraId="08FEFED0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23945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3 months</w:t>
            </w:r>
          </w:p>
        </w:tc>
        <w:tc>
          <w:tcPr>
            <w:tcW w:w="0" w:type="auto"/>
          </w:tcPr>
          <w:p w14:paraId="53DBDF63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15B235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12 months</w:t>
            </w:r>
          </w:p>
        </w:tc>
        <w:tc>
          <w:tcPr>
            <w:tcW w:w="0" w:type="auto"/>
          </w:tcPr>
          <w:p w14:paraId="1C625B8B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638C" w:rsidRPr="00AE611A" w14:paraId="6DFB4339" w14:textId="77777777" w:rsidTr="00BB064A">
        <w:tc>
          <w:tcPr>
            <w:tcW w:w="0" w:type="auto"/>
          </w:tcPr>
          <w:p w14:paraId="40B22800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B56FEE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 vs non-LP</w:t>
            </w:r>
          </w:p>
        </w:tc>
        <w:tc>
          <w:tcPr>
            <w:tcW w:w="0" w:type="auto"/>
          </w:tcPr>
          <w:p w14:paraId="0493AE78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LPAD vs non-LPAD</w:t>
            </w:r>
          </w:p>
        </w:tc>
        <w:tc>
          <w:tcPr>
            <w:tcW w:w="0" w:type="auto"/>
          </w:tcPr>
          <w:p w14:paraId="3098DD21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 vs non-LP</w:t>
            </w:r>
          </w:p>
        </w:tc>
        <w:tc>
          <w:tcPr>
            <w:tcW w:w="0" w:type="auto"/>
          </w:tcPr>
          <w:p w14:paraId="736802EB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LPAD vs non-LPAD</w:t>
            </w:r>
          </w:p>
        </w:tc>
        <w:tc>
          <w:tcPr>
            <w:tcW w:w="0" w:type="auto"/>
          </w:tcPr>
          <w:p w14:paraId="7844D998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 vs non-LP</w:t>
            </w:r>
          </w:p>
        </w:tc>
        <w:tc>
          <w:tcPr>
            <w:tcW w:w="0" w:type="auto"/>
          </w:tcPr>
          <w:p w14:paraId="045C8F8A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LPAD vs non-LPAD</w:t>
            </w:r>
          </w:p>
        </w:tc>
      </w:tr>
      <w:tr w:rsidR="0052638C" w:rsidRPr="00AE611A" w14:paraId="20103F00" w14:textId="77777777" w:rsidTr="00BB064A">
        <w:tc>
          <w:tcPr>
            <w:tcW w:w="0" w:type="auto"/>
          </w:tcPr>
          <w:p w14:paraId="5B4ED459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530DF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65A0D358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65D8CC61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49259747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42296A2A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49DAB243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65F5887B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1781D637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6B03B54C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084F2318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5F01F435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Adjusted      </w:t>
            </w:r>
          </w:p>
          <w:p w14:paraId="690280B3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IRR (95% CI)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b</w:t>
            </w:r>
          </w:p>
        </w:tc>
      </w:tr>
      <w:tr w:rsidR="0052638C" w:rsidRPr="00AE611A" w14:paraId="23DC1F42" w14:textId="77777777" w:rsidTr="00BB064A">
        <w:tc>
          <w:tcPr>
            <w:tcW w:w="0" w:type="auto"/>
          </w:tcPr>
          <w:p w14:paraId="2A4DB306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 xml:space="preserve">Composite endpoint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</w:tcPr>
          <w:p w14:paraId="01D9C6B9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1.29 (1.15, 1.45)</w:t>
            </w:r>
          </w:p>
        </w:tc>
        <w:tc>
          <w:tcPr>
            <w:tcW w:w="0" w:type="auto"/>
          </w:tcPr>
          <w:p w14:paraId="1AA95D02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1.54 (1.36, 1.74)</w:t>
            </w:r>
          </w:p>
        </w:tc>
        <w:tc>
          <w:tcPr>
            <w:tcW w:w="0" w:type="auto"/>
          </w:tcPr>
          <w:p w14:paraId="6E61D93D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1.31 (1.17, 1.47)</w:t>
            </w:r>
          </w:p>
        </w:tc>
        <w:tc>
          <w:tcPr>
            <w:tcW w:w="0" w:type="auto"/>
          </w:tcPr>
          <w:p w14:paraId="3AD7DCE4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1.57 (1.38, 1.78)</w:t>
            </w:r>
          </w:p>
        </w:tc>
        <w:tc>
          <w:tcPr>
            <w:tcW w:w="0" w:type="auto"/>
          </w:tcPr>
          <w:p w14:paraId="0641E7AE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1.43 (1.27, 1.61)</w:t>
            </w:r>
          </w:p>
        </w:tc>
        <w:tc>
          <w:tcPr>
            <w:tcW w:w="0" w:type="auto"/>
          </w:tcPr>
          <w:p w14:paraId="2961B150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1.89 (1.64, 2.17)</w:t>
            </w:r>
          </w:p>
        </w:tc>
      </w:tr>
      <w:tr w:rsidR="0052638C" w:rsidRPr="00AE611A" w14:paraId="47979963" w14:textId="77777777" w:rsidTr="00BB064A">
        <w:tc>
          <w:tcPr>
            <w:tcW w:w="0" w:type="auto"/>
          </w:tcPr>
          <w:p w14:paraId="4EA7EE9C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ADE</w:t>
            </w:r>
          </w:p>
        </w:tc>
        <w:tc>
          <w:tcPr>
            <w:tcW w:w="0" w:type="auto"/>
          </w:tcPr>
          <w:p w14:paraId="1B79A307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1.29 (1.10, 1.51)</w:t>
            </w:r>
          </w:p>
        </w:tc>
        <w:tc>
          <w:tcPr>
            <w:tcW w:w="0" w:type="auto"/>
          </w:tcPr>
          <w:p w14:paraId="246FFA8B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1.60 (1.33, 1.91)</w:t>
            </w:r>
          </w:p>
        </w:tc>
        <w:tc>
          <w:tcPr>
            <w:tcW w:w="0" w:type="auto"/>
          </w:tcPr>
          <w:p w14:paraId="76EB6668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1.34 (1.14, 1.58)</w:t>
            </w:r>
          </w:p>
        </w:tc>
        <w:tc>
          <w:tcPr>
            <w:tcW w:w="0" w:type="auto"/>
          </w:tcPr>
          <w:p w14:paraId="3FC4A1A9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1.65 (1.37, 1.98)</w:t>
            </w:r>
          </w:p>
        </w:tc>
        <w:tc>
          <w:tcPr>
            <w:tcW w:w="0" w:type="auto"/>
          </w:tcPr>
          <w:p w14:paraId="757AB03A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1.64 (1.39, 1.93)</w:t>
            </w:r>
          </w:p>
        </w:tc>
        <w:tc>
          <w:tcPr>
            <w:tcW w:w="0" w:type="auto"/>
          </w:tcPr>
          <w:p w14:paraId="7EC7871F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2.57 (2.16, 3.05)</w:t>
            </w:r>
          </w:p>
        </w:tc>
      </w:tr>
      <w:tr w:rsidR="0052638C" w:rsidRPr="00AE611A" w14:paraId="2EFF5A75" w14:textId="77777777" w:rsidTr="00BB064A">
        <w:tc>
          <w:tcPr>
            <w:tcW w:w="0" w:type="auto"/>
          </w:tcPr>
          <w:p w14:paraId="1DE43ED0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NAE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c,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AE611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584A6EDA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1.19 (0.99, 1.43)</w:t>
            </w:r>
          </w:p>
        </w:tc>
        <w:tc>
          <w:tcPr>
            <w:tcW w:w="0" w:type="auto"/>
          </w:tcPr>
          <w:p w14:paraId="3A8B915D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1.43 (1.17, 1.73)</w:t>
            </w:r>
          </w:p>
        </w:tc>
        <w:tc>
          <w:tcPr>
            <w:tcW w:w="0" w:type="auto"/>
          </w:tcPr>
          <w:p w14:paraId="17547368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1.21 (1.00, 1.45)</w:t>
            </w:r>
          </w:p>
        </w:tc>
        <w:tc>
          <w:tcPr>
            <w:tcW w:w="0" w:type="auto"/>
          </w:tcPr>
          <w:p w14:paraId="1DDC0F5C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1.45 (1.19, 1.76)</w:t>
            </w:r>
          </w:p>
        </w:tc>
        <w:tc>
          <w:tcPr>
            <w:tcW w:w="0" w:type="auto"/>
          </w:tcPr>
          <w:p w14:paraId="1E460734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1.24 (1.02, 1.50)</w:t>
            </w:r>
          </w:p>
        </w:tc>
        <w:tc>
          <w:tcPr>
            <w:tcW w:w="0" w:type="auto"/>
          </w:tcPr>
          <w:p w14:paraId="7F8F1401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1.50 (1.21, 1.85)</w:t>
            </w:r>
          </w:p>
        </w:tc>
      </w:tr>
      <w:tr w:rsidR="0052638C" w:rsidRPr="00AE611A" w14:paraId="23FB2316" w14:textId="77777777" w:rsidTr="00BB064A">
        <w:tc>
          <w:tcPr>
            <w:tcW w:w="0" w:type="auto"/>
          </w:tcPr>
          <w:p w14:paraId="153E0A28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Cardiovascular event</w:t>
            </w:r>
          </w:p>
        </w:tc>
        <w:tc>
          <w:tcPr>
            <w:tcW w:w="0" w:type="auto"/>
          </w:tcPr>
          <w:p w14:paraId="0818573C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0.89 (0.62, 1.26)</w:t>
            </w:r>
          </w:p>
        </w:tc>
        <w:tc>
          <w:tcPr>
            <w:tcW w:w="0" w:type="auto"/>
          </w:tcPr>
          <w:p w14:paraId="28D73CD7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0.94 (0.71, 1.24)</w:t>
            </w:r>
          </w:p>
        </w:tc>
        <w:tc>
          <w:tcPr>
            <w:tcW w:w="0" w:type="auto"/>
          </w:tcPr>
          <w:p w14:paraId="6445C5BE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0.87 (0.61, 1.23)</w:t>
            </w:r>
          </w:p>
        </w:tc>
        <w:tc>
          <w:tcPr>
            <w:tcW w:w="0" w:type="auto"/>
          </w:tcPr>
          <w:p w14:paraId="63BFE85B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0.94 (0.71, 1.23)</w:t>
            </w:r>
          </w:p>
        </w:tc>
        <w:tc>
          <w:tcPr>
            <w:tcW w:w="0" w:type="auto"/>
          </w:tcPr>
          <w:p w14:paraId="5441DF32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0.91 (0.64, 1.29)</w:t>
            </w:r>
          </w:p>
        </w:tc>
        <w:tc>
          <w:tcPr>
            <w:tcW w:w="0" w:type="auto"/>
          </w:tcPr>
          <w:p w14:paraId="7E1C6FD4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0.94 (0.72, 1.23)</w:t>
            </w:r>
          </w:p>
        </w:tc>
      </w:tr>
      <w:tr w:rsidR="0052638C" w:rsidRPr="00AE611A" w14:paraId="7C46EE23" w14:textId="77777777" w:rsidTr="00BB064A">
        <w:tc>
          <w:tcPr>
            <w:tcW w:w="0" w:type="auto"/>
          </w:tcPr>
          <w:p w14:paraId="747DBB43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Liver event</w:t>
            </w:r>
          </w:p>
        </w:tc>
        <w:tc>
          <w:tcPr>
            <w:tcW w:w="0" w:type="auto"/>
          </w:tcPr>
          <w:p w14:paraId="1685E2FE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1.72 (1.11, 2.66)</w:t>
            </w:r>
          </w:p>
        </w:tc>
        <w:tc>
          <w:tcPr>
            <w:tcW w:w="0" w:type="auto"/>
          </w:tcPr>
          <w:p w14:paraId="2961E23F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2.12 (1.31, 3.44)</w:t>
            </w:r>
          </w:p>
        </w:tc>
        <w:tc>
          <w:tcPr>
            <w:tcW w:w="0" w:type="auto"/>
          </w:tcPr>
          <w:p w14:paraId="2B3158AA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1.73 (1.11, 2.68)</w:t>
            </w:r>
          </w:p>
        </w:tc>
        <w:tc>
          <w:tcPr>
            <w:tcW w:w="0" w:type="auto"/>
          </w:tcPr>
          <w:p w14:paraId="1F233A11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2.16 (1.33, 3.51)</w:t>
            </w:r>
          </w:p>
        </w:tc>
        <w:tc>
          <w:tcPr>
            <w:tcW w:w="0" w:type="auto"/>
          </w:tcPr>
          <w:p w14:paraId="25775C85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1.72 (1.12, 2.66)</w:t>
            </w:r>
          </w:p>
        </w:tc>
        <w:tc>
          <w:tcPr>
            <w:tcW w:w="0" w:type="auto"/>
          </w:tcPr>
          <w:p w14:paraId="6F251296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2.06 (1.28, 3.33)</w:t>
            </w:r>
          </w:p>
        </w:tc>
      </w:tr>
      <w:tr w:rsidR="0052638C" w:rsidRPr="00AE611A" w14:paraId="10198B52" w14:textId="77777777" w:rsidTr="00BB064A">
        <w:tc>
          <w:tcPr>
            <w:tcW w:w="0" w:type="auto"/>
          </w:tcPr>
          <w:p w14:paraId="482AB96A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Kidney event</w:t>
            </w:r>
          </w:p>
        </w:tc>
        <w:tc>
          <w:tcPr>
            <w:tcW w:w="0" w:type="auto"/>
          </w:tcPr>
          <w:p w14:paraId="2A17E55C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0.81 (0.23, 2.88)</w:t>
            </w:r>
          </w:p>
        </w:tc>
        <w:tc>
          <w:tcPr>
            <w:tcW w:w="0" w:type="auto"/>
          </w:tcPr>
          <w:p w14:paraId="71C6C9B1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1.04 (0.30, 3.58)</w:t>
            </w:r>
          </w:p>
        </w:tc>
        <w:tc>
          <w:tcPr>
            <w:tcW w:w="0" w:type="auto"/>
          </w:tcPr>
          <w:p w14:paraId="7234923E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0.83 (0.24, 2.92)</w:t>
            </w:r>
          </w:p>
        </w:tc>
        <w:tc>
          <w:tcPr>
            <w:tcW w:w="0" w:type="auto"/>
          </w:tcPr>
          <w:p w14:paraId="65DB59F8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1.06 (0.31, 3.58)</w:t>
            </w:r>
          </w:p>
        </w:tc>
        <w:tc>
          <w:tcPr>
            <w:tcW w:w="0" w:type="auto"/>
          </w:tcPr>
          <w:p w14:paraId="2B176C44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0.83 (0.24, 2.89)</w:t>
            </w:r>
          </w:p>
        </w:tc>
        <w:tc>
          <w:tcPr>
            <w:tcW w:w="0" w:type="auto"/>
          </w:tcPr>
          <w:p w14:paraId="3CA13921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1.04 (0.31, 3.46)</w:t>
            </w:r>
          </w:p>
        </w:tc>
      </w:tr>
      <w:tr w:rsidR="0052638C" w:rsidRPr="00AE611A" w14:paraId="5E9B6564" w14:textId="77777777" w:rsidTr="00BB064A">
        <w:tc>
          <w:tcPr>
            <w:tcW w:w="0" w:type="auto"/>
          </w:tcPr>
          <w:p w14:paraId="3F028495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Neoplasm</w:t>
            </w:r>
          </w:p>
        </w:tc>
        <w:tc>
          <w:tcPr>
            <w:tcW w:w="0" w:type="auto"/>
          </w:tcPr>
          <w:p w14:paraId="5EA52005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1.27 (1.05, 1.55)</w:t>
            </w:r>
          </w:p>
        </w:tc>
        <w:tc>
          <w:tcPr>
            <w:tcW w:w="0" w:type="auto"/>
          </w:tcPr>
          <w:p w14:paraId="7FCA3C20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1.66 (1.28, 2.15)</w:t>
            </w:r>
          </w:p>
        </w:tc>
        <w:tc>
          <w:tcPr>
            <w:tcW w:w="0" w:type="auto"/>
          </w:tcPr>
          <w:p w14:paraId="0C718F70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1.32 (1.08, 1.62)</w:t>
            </w:r>
          </w:p>
        </w:tc>
        <w:tc>
          <w:tcPr>
            <w:tcW w:w="0" w:type="auto"/>
          </w:tcPr>
          <w:p w14:paraId="7B98803E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1.71 (1.32, 2.21)</w:t>
            </w:r>
          </w:p>
        </w:tc>
        <w:tc>
          <w:tcPr>
            <w:tcW w:w="0" w:type="auto"/>
          </w:tcPr>
          <w:p w14:paraId="247CD272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1.36 (1.11, 1.67)</w:t>
            </w:r>
          </w:p>
        </w:tc>
        <w:tc>
          <w:tcPr>
            <w:tcW w:w="0" w:type="auto"/>
          </w:tcPr>
          <w:p w14:paraId="63A22612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1.82 (1.40, 2.36)</w:t>
            </w:r>
          </w:p>
        </w:tc>
      </w:tr>
      <w:tr w:rsidR="0052638C" w:rsidRPr="00AE611A" w14:paraId="33FE8F5B" w14:textId="77777777" w:rsidTr="00BB064A">
        <w:tc>
          <w:tcPr>
            <w:tcW w:w="0" w:type="auto"/>
          </w:tcPr>
          <w:p w14:paraId="0A8D99E7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Overall mortality</w:t>
            </w:r>
          </w:p>
        </w:tc>
        <w:tc>
          <w:tcPr>
            <w:tcW w:w="0" w:type="auto"/>
          </w:tcPr>
          <w:p w14:paraId="7555EDF5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1.67 (1.36, 2.05)</w:t>
            </w:r>
          </w:p>
        </w:tc>
        <w:tc>
          <w:tcPr>
            <w:tcW w:w="0" w:type="auto"/>
          </w:tcPr>
          <w:p w14:paraId="7C96D54C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1.95 (1.56, 2.44)</w:t>
            </w:r>
          </w:p>
        </w:tc>
        <w:tc>
          <w:tcPr>
            <w:tcW w:w="0" w:type="auto"/>
          </w:tcPr>
          <w:p w14:paraId="4181CA35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1.70 (1.40, 2.06)</w:t>
            </w:r>
          </w:p>
        </w:tc>
        <w:tc>
          <w:tcPr>
            <w:tcW w:w="0" w:type="auto"/>
          </w:tcPr>
          <w:p w14:paraId="2B372800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2.00 (1.61, 2.49)</w:t>
            </w:r>
          </w:p>
        </w:tc>
        <w:tc>
          <w:tcPr>
            <w:tcW w:w="0" w:type="auto"/>
          </w:tcPr>
          <w:p w14:paraId="7E064C2E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1.74 (1.44, 2.11)</w:t>
            </w:r>
          </w:p>
        </w:tc>
        <w:tc>
          <w:tcPr>
            <w:tcW w:w="0" w:type="auto"/>
          </w:tcPr>
          <w:p w14:paraId="52A58C27" w14:textId="77777777" w:rsidR="0052638C" w:rsidRPr="00AE611A" w:rsidRDefault="0052638C" w:rsidP="00BB064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E611A">
              <w:rPr>
                <w:rFonts w:asciiTheme="minorHAnsi" w:hAnsiTheme="minorHAnsi" w:cstheme="minorHAnsi"/>
                <w:sz w:val="20"/>
                <w:szCs w:val="20"/>
              </w:rPr>
              <w:t>2.10 (1.68, 2.61)</w:t>
            </w:r>
          </w:p>
        </w:tc>
      </w:tr>
    </w:tbl>
    <w:p w14:paraId="47CE7212" w14:textId="77777777" w:rsidR="0052638C" w:rsidRDefault="0052638C" w:rsidP="0052638C">
      <w:pPr>
        <w:rPr>
          <w:rFonts w:asciiTheme="minorHAnsi" w:hAnsiTheme="minorHAnsi"/>
        </w:rPr>
      </w:pPr>
      <w:r w:rsidRPr="00AF17E9">
        <w:rPr>
          <w:rFonts w:asciiTheme="minorHAnsi" w:hAnsiTheme="minorHAnsi"/>
        </w:rPr>
        <w:t>ADE: AIDS defining event; CI: confidence interval; IRR: incidence rate ratio; LP: late presenters; LPAD: late presenters with advanced disease; PY: person-years; SNAE: serious non-AIDS event</w:t>
      </w:r>
    </w:p>
    <w:p w14:paraId="55FAF87A" w14:textId="77777777" w:rsidR="0052638C" w:rsidRPr="006E5DEE" w:rsidRDefault="0052638C" w:rsidP="0052638C">
      <w:pPr>
        <w:rPr>
          <w:rFonts w:asciiTheme="minorHAnsi" w:hAnsiTheme="minorHAnsi"/>
        </w:rPr>
      </w:pPr>
      <w:proofErr w:type="gramStart"/>
      <w:r w:rsidRPr="006E5DEE">
        <w:rPr>
          <w:rFonts w:asciiTheme="minorHAnsi" w:hAnsiTheme="minorHAnsi"/>
          <w:vertAlign w:val="superscript"/>
        </w:rPr>
        <w:t>a</w:t>
      </w:r>
      <w:proofErr w:type="gramEnd"/>
      <w:r w:rsidRPr="006E5DEE">
        <w:rPr>
          <w:rFonts w:asciiTheme="minorHAnsi" w:hAnsiTheme="minorHAnsi"/>
          <w:vertAlign w:val="superscript"/>
        </w:rPr>
        <w:t xml:space="preserve"> </w:t>
      </w:r>
      <w:r w:rsidRPr="006E5DEE">
        <w:rPr>
          <w:rFonts w:asciiTheme="minorHAnsi" w:hAnsiTheme="minorHAnsi"/>
        </w:rPr>
        <w:t>IRR (CI 95%) were estimated with Poisson regression models with person-years at risk as the offset variable and robust standard error estimates</w:t>
      </w:r>
    </w:p>
    <w:p w14:paraId="181B354B" w14:textId="77777777" w:rsidR="0052638C" w:rsidRPr="006E5DEE" w:rsidRDefault="0052638C" w:rsidP="0052638C">
      <w:pPr>
        <w:rPr>
          <w:rFonts w:asciiTheme="minorHAnsi" w:hAnsiTheme="minorHAnsi"/>
        </w:rPr>
      </w:pPr>
      <w:r w:rsidRPr="006E5DEE">
        <w:rPr>
          <w:rFonts w:asciiTheme="minorHAnsi" w:hAnsiTheme="minorHAnsi"/>
          <w:b/>
          <w:szCs w:val="16"/>
          <w:vertAlign w:val="superscript"/>
        </w:rPr>
        <w:t xml:space="preserve">b </w:t>
      </w:r>
      <w:r w:rsidRPr="006E5DEE">
        <w:rPr>
          <w:rFonts w:asciiTheme="minorHAnsi" w:hAnsiTheme="minorHAnsi"/>
          <w:szCs w:val="16"/>
        </w:rPr>
        <w:t xml:space="preserve">IRR estimates obtained after adjustment for </w:t>
      </w:r>
      <w:r w:rsidRPr="006E5DEE">
        <w:rPr>
          <w:rFonts w:asciiTheme="minorHAnsi" w:hAnsiTheme="minorHAnsi"/>
        </w:rPr>
        <w:t xml:space="preserve">a combined variable of gender and HIV transmission category (MSM, </w:t>
      </w:r>
      <w:r w:rsidRPr="006E5DEE">
        <w:rPr>
          <w:rFonts w:asciiTheme="minorHAnsi" w:hAnsiTheme="minorHAnsi"/>
          <w:szCs w:val="15"/>
        </w:rPr>
        <w:t>IDU</w:t>
      </w:r>
      <w:r w:rsidRPr="006E5DEE">
        <w:rPr>
          <w:rFonts w:asciiTheme="minorHAnsi" w:hAnsiTheme="minorHAnsi"/>
        </w:rPr>
        <w:t xml:space="preserve">, heterosexual men, heterosexual women and other/unknown), educational level (None or primary education only, secondary education, university, other/unknown), region of origin (Europe, Sub-Saharan Africa, Latin America, other/unknown), and </w:t>
      </w:r>
      <w:r w:rsidRPr="006E5DEE">
        <w:rPr>
          <w:rFonts w:asciiTheme="minorHAnsi" w:hAnsiTheme="minorHAnsi"/>
          <w:szCs w:val="16"/>
        </w:rPr>
        <w:t xml:space="preserve">age (&lt;30, 30-49, ≥50 years), </w:t>
      </w:r>
      <w:r w:rsidRPr="006E5DEE">
        <w:rPr>
          <w:rFonts w:asciiTheme="minorHAnsi" w:hAnsiTheme="minorHAnsi"/>
        </w:rPr>
        <w:t>presence of HCV  antibodies (no, yes or unknown), presence of HBsAg (no, yes or unknown) and viral load (&lt;10,000, 10,000-100,000, ≥ 100,000 copies/mL or unknown) at enrolment.</w:t>
      </w:r>
    </w:p>
    <w:p w14:paraId="66D830F8" w14:textId="77777777" w:rsidR="0052638C" w:rsidRPr="006E5DEE" w:rsidRDefault="0052638C" w:rsidP="0052638C">
      <w:pPr>
        <w:rPr>
          <w:rFonts w:asciiTheme="minorHAnsi" w:hAnsiTheme="minorHAnsi"/>
        </w:rPr>
      </w:pPr>
      <w:r w:rsidRPr="006E5DEE">
        <w:rPr>
          <w:rFonts w:asciiTheme="minorHAnsi" w:hAnsiTheme="minorHAnsi"/>
          <w:vertAlign w:val="superscript"/>
        </w:rPr>
        <w:t xml:space="preserve">c </w:t>
      </w:r>
      <w:r w:rsidRPr="006E5DEE">
        <w:rPr>
          <w:rFonts w:asciiTheme="minorHAnsi" w:hAnsiTheme="minorHAnsi"/>
        </w:rPr>
        <w:t xml:space="preserve">Individuals who were monitored in centers not providing data on non-AIDS events were </w:t>
      </w:r>
      <w:proofErr w:type="gramStart"/>
      <w:r w:rsidRPr="006E5DEE">
        <w:rPr>
          <w:rFonts w:asciiTheme="minorHAnsi" w:hAnsiTheme="minorHAnsi"/>
        </w:rPr>
        <w:t>excluded</w:t>
      </w:r>
      <w:proofErr w:type="gramEnd"/>
    </w:p>
    <w:p w14:paraId="501C3079" w14:textId="0EDB992D" w:rsidR="00744E06" w:rsidRDefault="0052638C" w:rsidP="0052638C">
      <w:r w:rsidRPr="006E5DEE">
        <w:rPr>
          <w:rFonts w:asciiTheme="minorHAnsi" w:hAnsiTheme="minorHAnsi"/>
          <w:vertAlign w:val="superscript"/>
        </w:rPr>
        <w:t xml:space="preserve">d </w:t>
      </w:r>
      <w:r>
        <w:rPr>
          <w:rFonts w:asciiTheme="minorHAnsi" w:hAnsiTheme="minorHAnsi"/>
          <w:vertAlign w:val="superscript"/>
        </w:rPr>
        <w:t xml:space="preserve">  </w:t>
      </w:r>
      <w:proofErr w:type="gramStart"/>
      <w:r w:rsidRPr="006E5DEE">
        <w:rPr>
          <w:rFonts w:asciiTheme="minorHAnsi" w:hAnsiTheme="minorHAnsi"/>
        </w:rPr>
        <w:t>The</w:t>
      </w:r>
      <w:proofErr w:type="gramEnd"/>
      <w:r w:rsidRPr="006E5DEE">
        <w:rPr>
          <w:rFonts w:asciiTheme="minorHAnsi" w:hAnsiTheme="minorHAnsi"/>
        </w:rPr>
        <w:t xml:space="preserve"> number of specific SNAE do not sum up because one individual can have multiple SNAE</w:t>
      </w:r>
    </w:p>
    <w:sectPr w:rsidR="0074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8C"/>
    <w:rsid w:val="0052638C"/>
    <w:rsid w:val="007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44E9"/>
  <w15:chartTrackingRefBased/>
  <w15:docId w15:val="{C9D564C8-7A81-463C-82E2-7FB6D8F0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8C"/>
    <w:pPr>
      <w:spacing w:before="100" w:beforeAutospacing="1" w:after="100" w:afterAutospacing="1" w:line="276" w:lineRule="auto"/>
      <w:jc w:val="both"/>
    </w:pPr>
    <w:rPr>
      <w:rFonts w:asciiTheme="majorHAnsi" w:eastAsia="Times New Roman" w:hAnsiTheme="majorHAnsi" w:cstheme="majorHAns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38C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2638C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38C"/>
    <w:rPr>
      <w:rFonts w:asciiTheme="majorHAnsi" w:eastAsia="Times New Roman" w:hAnsiTheme="majorHAnsi" w:cstheme="majorHAnsi"/>
      <w:szCs w:val="24"/>
    </w:rPr>
  </w:style>
  <w:style w:type="table" w:customStyle="1" w:styleId="Tablanormal23">
    <w:name w:val="Tabla normal 23"/>
    <w:basedOn w:val="TableNormal"/>
    <w:next w:val="TableNormal"/>
    <w:rsid w:val="0052638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 Siva</dc:creator>
  <cp:keywords/>
  <dc:description/>
  <cp:lastModifiedBy>Saranya Siva</cp:lastModifiedBy>
  <cp:revision>1</cp:revision>
  <dcterms:created xsi:type="dcterms:W3CDTF">2021-03-31T06:17:00Z</dcterms:created>
  <dcterms:modified xsi:type="dcterms:W3CDTF">2021-03-31T06:18:00Z</dcterms:modified>
</cp:coreProperties>
</file>