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C2" w:rsidRPr="001B6D6D" w:rsidRDefault="00B471C2" w:rsidP="00B471C2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t>Supplemental Materials, Table 89. Characteristics of Yoon and Lin 2014</w:t>
      </w:r>
    </w:p>
    <w:tbl>
      <w:tblPr>
        <w:tblStyle w:val="TableGrid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530"/>
        <w:gridCol w:w="5868"/>
      </w:tblGrid>
      <w:tr w:rsidR="00B471C2" w:rsidRPr="00501E76" w:rsidTr="0078603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2"/>
              </w:rPr>
            </w:pPr>
            <w:r w:rsidRPr="00501E76">
              <w:rPr>
                <w:rFonts w:ascii="Times New Roman" w:hAnsi="Times New Roman"/>
                <w:sz w:val="22"/>
              </w:rPr>
              <w:t>Bias domain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2"/>
              </w:rPr>
            </w:pPr>
            <w:r w:rsidRPr="00501E76">
              <w:rPr>
                <w:rFonts w:ascii="Times New Roman" w:hAnsi="Times New Roman"/>
                <w:sz w:val="22"/>
              </w:rPr>
              <w:t>Authors’ judgment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2"/>
              </w:rPr>
            </w:pPr>
            <w:r w:rsidRPr="00501E76">
              <w:rPr>
                <w:rFonts w:ascii="Times New Roman" w:hAnsi="Times New Roman"/>
                <w:sz w:val="22"/>
              </w:rPr>
              <w:t>Support for judgment</w:t>
            </w:r>
          </w:p>
        </w:tc>
      </w:tr>
      <w:tr w:rsidR="00B471C2" w:rsidRPr="00501E76" w:rsidTr="0078603F">
        <w:trPr>
          <w:trHeight w:val="737"/>
        </w:trPr>
        <w:tc>
          <w:tcPr>
            <w:tcW w:w="1458" w:type="dxa"/>
            <w:tcBorders>
              <w:top w:val="single" w:sz="4" w:space="0" w:color="auto"/>
            </w:tcBorders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Source population representation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Probably low</w:t>
            </w: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B471C2" w:rsidRPr="00501E76" w:rsidRDefault="00B471C2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887 participants were selected from all grades of 2 elementary schools, and 814 (91.8%) participated. Little information is provided on inclusion/exclusion criteria for the schools. </w:t>
            </w:r>
          </w:p>
        </w:tc>
      </w:tr>
      <w:tr w:rsidR="00B471C2" w:rsidRPr="00501E76" w:rsidTr="0078603F">
        <w:tc>
          <w:tcPr>
            <w:tcW w:w="1458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Blinding</w:t>
            </w:r>
          </w:p>
        </w:tc>
        <w:tc>
          <w:tcPr>
            <w:tcW w:w="1530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Probably low</w:t>
            </w:r>
          </w:p>
        </w:tc>
        <w:tc>
          <w:tcPr>
            <w:tcW w:w="5868" w:type="dxa"/>
          </w:tcPr>
          <w:p w:rsidR="00B471C2" w:rsidRPr="00501E76" w:rsidRDefault="00B471C2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Blinding is not addressed. Participants were likely not aware of exposures in the home. It was unclear whether exposure assessor was blinded to the exposure.</w:t>
            </w:r>
          </w:p>
        </w:tc>
      </w:tr>
      <w:tr w:rsidR="00B471C2" w:rsidRPr="00501E76" w:rsidTr="0078603F">
        <w:tc>
          <w:tcPr>
            <w:tcW w:w="1458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Outcome assessment</w:t>
            </w:r>
          </w:p>
        </w:tc>
        <w:tc>
          <w:tcPr>
            <w:tcW w:w="1530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Probably low</w:t>
            </w:r>
          </w:p>
        </w:tc>
        <w:tc>
          <w:tcPr>
            <w:tcW w:w="5868" w:type="dxa"/>
          </w:tcPr>
          <w:p w:rsidR="00B471C2" w:rsidRPr="00501E76" w:rsidRDefault="00B471C2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Outcome was measured by questionnaires filled out by parents. Asthma status was measured by </w:t>
            </w:r>
            <w:proofErr w:type="spellStart"/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self report</w:t>
            </w:r>
            <w:proofErr w:type="spellEnd"/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of asthma status as diagnosed by a physician.</w:t>
            </w:r>
          </w:p>
        </w:tc>
      </w:tr>
      <w:tr w:rsidR="00B471C2" w:rsidRPr="00501E76" w:rsidTr="0078603F">
        <w:tc>
          <w:tcPr>
            <w:tcW w:w="1458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Confounding</w:t>
            </w:r>
          </w:p>
        </w:tc>
        <w:tc>
          <w:tcPr>
            <w:tcW w:w="1530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Low</w:t>
            </w:r>
          </w:p>
        </w:tc>
        <w:tc>
          <w:tcPr>
            <w:tcW w:w="5868" w:type="dxa"/>
          </w:tcPr>
          <w:p w:rsidR="00B471C2" w:rsidRPr="00501E76" w:rsidRDefault="00B471C2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Researchers evaluated both Tier I confounders (smoking and SES) and many Tier II confounders including age, gender, height, weight, and demographic, socioeconomic, and residential environmental conditions.</w:t>
            </w:r>
          </w:p>
        </w:tc>
      </w:tr>
      <w:tr w:rsidR="00B471C2" w:rsidRPr="00501E76" w:rsidTr="0078603F">
        <w:tc>
          <w:tcPr>
            <w:tcW w:w="1458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Incomplete outcome data</w:t>
            </w:r>
          </w:p>
        </w:tc>
        <w:tc>
          <w:tcPr>
            <w:tcW w:w="1530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Low</w:t>
            </w:r>
          </w:p>
        </w:tc>
        <w:tc>
          <w:tcPr>
            <w:tcW w:w="5868" w:type="dxa"/>
          </w:tcPr>
          <w:p w:rsidR="00B471C2" w:rsidRPr="00501E76" w:rsidRDefault="00B471C2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No missing outcome data reported for the study sample. </w:t>
            </w:r>
          </w:p>
        </w:tc>
      </w:tr>
      <w:tr w:rsidR="00B471C2" w:rsidRPr="00501E76" w:rsidTr="0078603F">
        <w:trPr>
          <w:trHeight w:val="981"/>
        </w:trPr>
        <w:tc>
          <w:tcPr>
            <w:tcW w:w="1458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Exposure assessment</w:t>
            </w:r>
          </w:p>
        </w:tc>
        <w:tc>
          <w:tcPr>
            <w:tcW w:w="1530" w:type="dxa"/>
          </w:tcPr>
          <w:p w:rsidR="00B471C2" w:rsidRPr="00501E76" w:rsidRDefault="00B471C2" w:rsidP="0078603F">
            <w:pPr>
              <w:keepNext/>
              <w:spacing w:before="2" w:after="2"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Low</w:t>
            </w:r>
          </w:p>
        </w:tc>
        <w:tc>
          <w:tcPr>
            <w:tcW w:w="5868" w:type="dxa"/>
          </w:tcPr>
          <w:p w:rsidR="00B471C2" w:rsidRPr="00501E76" w:rsidRDefault="00B471C2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For measurements of formaldehyde, a passive sampler (3M 3721, 3M, Ontario, Canada) was used and instructions for personal sampling for approximately 3 working days (72 hours). The collection media for formaldehyde were 3M Model 3721 formaldehyde diffusion monitors, designed to measure the time-weighted average concentration of formaldehyde gas. Formaldehyde samples were analyzed by UV spectrophotometer (UV mini 1240; Shimadzu, Japan) at 580 nm, in accordance with NIOSH (National Institute for Occupational Safety and Health) method 3500 (NIOSH, 1994).</w:t>
            </w:r>
          </w:p>
        </w:tc>
      </w:tr>
      <w:tr w:rsidR="00B471C2" w:rsidRPr="00501E76" w:rsidTr="0078603F">
        <w:trPr>
          <w:trHeight w:val="468"/>
        </w:trPr>
        <w:tc>
          <w:tcPr>
            <w:tcW w:w="1458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Selective outcome reporting</w:t>
            </w:r>
          </w:p>
        </w:tc>
        <w:tc>
          <w:tcPr>
            <w:tcW w:w="1530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Low</w:t>
            </w:r>
          </w:p>
        </w:tc>
        <w:tc>
          <w:tcPr>
            <w:tcW w:w="5868" w:type="dxa"/>
          </w:tcPr>
          <w:p w:rsidR="00B471C2" w:rsidRPr="00501E76" w:rsidRDefault="00B471C2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Results were presented for all the relevant outcomes specified.</w:t>
            </w:r>
          </w:p>
        </w:tc>
      </w:tr>
      <w:tr w:rsidR="00B471C2" w:rsidRPr="00501E76" w:rsidTr="0078603F">
        <w:tc>
          <w:tcPr>
            <w:tcW w:w="1458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Conflict of interest</w:t>
            </w:r>
          </w:p>
        </w:tc>
        <w:tc>
          <w:tcPr>
            <w:tcW w:w="1530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Probably low</w:t>
            </w:r>
          </w:p>
        </w:tc>
        <w:tc>
          <w:tcPr>
            <w:tcW w:w="5868" w:type="dxa"/>
          </w:tcPr>
          <w:p w:rsidR="00B471C2" w:rsidRPr="00501E76" w:rsidRDefault="00B471C2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Author is an academic researcher. No information on funding for the work is provided, but there is no reason to suspect potential COI. </w:t>
            </w:r>
          </w:p>
        </w:tc>
      </w:tr>
      <w:tr w:rsidR="00B471C2" w:rsidRPr="00501E76" w:rsidTr="0078603F">
        <w:trPr>
          <w:trHeight w:val="360"/>
        </w:trPr>
        <w:tc>
          <w:tcPr>
            <w:tcW w:w="1458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Other sources of bias</w:t>
            </w:r>
          </w:p>
        </w:tc>
        <w:tc>
          <w:tcPr>
            <w:tcW w:w="1530" w:type="dxa"/>
          </w:tcPr>
          <w:p w:rsidR="00B471C2" w:rsidRPr="00501E76" w:rsidRDefault="00B471C2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Low</w:t>
            </w:r>
          </w:p>
        </w:tc>
        <w:tc>
          <w:tcPr>
            <w:tcW w:w="5868" w:type="dxa"/>
          </w:tcPr>
          <w:p w:rsidR="00B471C2" w:rsidRPr="00501E76" w:rsidRDefault="00B471C2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No other threats to internal validity were identified. </w:t>
            </w:r>
          </w:p>
        </w:tc>
      </w:tr>
    </w:tbl>
    <w:p w:rsidR="00B471C2" w:rsidRPr="001B6D6D" w:rsidRDefault="00B471C2" w:rsidP="00B471C2">
      <w:pPr>
        <w:rPr>
          <w:rFonts w:ascii="Times New Roman" w:hAnsi="Times New Roman" w:cs="Times New Roman"/>
          <w:sz w:val="28"/>
          <w:szCs w:val="28"/>
        </w:rPr>
      </w:pPr>
    </w:p>
    <w:p w:rsidR="00B471C2" w:rsidRDefault="00B471C2" w:rsidP="00B471C2">
      <w:pPr>
        <w:rPr>
          <w:rFonts w:ascii="Times New Roman" w:hAnsi="Times New Roman" w:cs="Times New Roman"/>
          <w:sz w:val="28"/>
          <w:szCs w:val="28"/>
        </w:rPr>
      </w:pPr>
    </w:p>
    <w:p w:rsidR="000A523B" w:rsidRDefault="000A523B">
      <w:bookmarkStart w:id="0" w:name="_GoBack"/>
      <w:bookmarkEnd w:id="0"/>
    </w:p>
    <w:sectPr w:rsidR="000A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C2"/>
    <w:rsid w:val="000A523B"/>
    <w:rsid w:val="008A5CDA"/>
    <w:rsid w:val="00B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471C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4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471C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4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G</dc:creator>
  <cp:lastModifiedBy>Kiran G</cp:lastModifiedBy>
  <cp:revision>1</cp:revision>
  <dcterms:created xsi:type="dcterms:W3CDTF">2021-03-06T09:12:00Z</dcterms:created>
  <dcterms:modified xsi:type="dcterms:W3CDTF">2021-03-06T09:12:00Z</dcterms:modified>
</cp:coreProperties>
</file>