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B8" w:rsidRPr="001B6D6D" w:rsidRDefault="003B00B8" w:rsidP="003B00B8">
      <w:pPr>
        <w:rPr>
          <w:rFonts w:ascii="Times New Roman" w:hAnsi="Times New Roman" w:cs="Times New Roman"/>
          <w:sz w:val="28"/>
          <w:szCs w:val="28"/>
        </w:rPr>
      </w:pPr>
      <w:r w:rsidRPr="001B6D6D">
        <w:rPr>
          <w:rFonts w:ascii="Times New Roman" w:hAnsi="Times New Roman" w:cs="Times New Roman"/>
          <w:sz w:val="28"/>
          <w:szCs w:val="28"/>
        </w:rPr>
        <w:t xml:space="preserve">Supplemental Materials, Table 86. Characteristics of </w:t>
      </w:r>
      <w:proofErr w:type="spellStart"/>
      <w:r w:rsidRPr="001B6D6D">
        <w:rPr>
          <w:rFonts w:ascii="Times New Roman" w:hAnsi="Times New Roman" w:cs="Times New Roman"/>
          <w:sz w:val="28"/>
          <w:szCs w:val="28"/>
        </w:rPr>
        <w:t>Witek</w:t>
      </w:r>
      <w:proofErr w:type="spellEnd"/>
      <w:r w:rsidRPr="001B6D6D">
        <w:rPr>
          <w:rFonts w:ascii="Times New Roman" w:hAnsi="Times New Roman" w:cs="Times New Roman"/>
          <w:sz w:val="28"/>
          <w:szCs w:val="28"/>
        </w:rPr>
        <w:t>, Jr et al. 1986</w:t>
      </w:r>
    </w:p>
    <w:tbl>
      <w:tblPr>
        <w:tblStyle w:val="TableGrid1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530"/>
        <w:gridCol w:w="5868"/>
      </w:tblGrid>
      <w:tr w:rsidR="003B00B8" w:rsidRPr="00501E76" w:rsidTr="0078603F">
        <w:tc>
          <w:tcPr>
            <w:tcW w:w="14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2"/>
              </w:rPr>
            </w:pPr>
            <w:r w:rsidRPr="00501E76">
              <w:rPr>
                <w:rFonts w:ascii="Times New Roman" w:hAnsi="Times New Roman"/>
                <w:sz w:val="22"/>
              </w:rPr>
              <w:t>Bias domain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2"/>
              </w:rPr>
            </w:pPr>
            <w:r w:rsidRPr="00501E76">
              <w:rPr>
                <w:rFonts w:ascii="Times New Roman" w:hAnsi="Times New Roman"/>
                <w:sz w:val="22"/>
              </w:rPr>
              <w:t>Authors’ judgment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2"/>
              </w:rPr>
            </w:pPr>
            <w:r w:rsidRPr="00501E76">
              <w:rPr>
                <w:rFonts w:ascii="Times New Roman" w:hAnsi="Times New Roman"/>
                <w:sz w:val="22"/>
              </w:rPr>
              <w:t>Support for judgment</w:t>
            </w:r>
          </w:p>
        </w:tc>
      </w:tr>
      <w:tr w:rsidR="003B00B8" w:rsidRPr="00501E76" w:rsidTr="0078603F">
        <w:trPr>
          <w:trHeight w:val="737"/>
        </w:trPr>
        <w:tc>
          <w:tcPr>
            <w:tcW w:w="1458" w:type="dxa"/>
            <w:tcBorders>
              <w:top w:val="single" w:sz="4" w:space="0" w:color="auto"/>
            </w:tcBorders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Source population representation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high</w:t>
            </w:r>
          </w:p>
        </w:tc>
        <w:tc>
          <w:tcPr>
            <w:tcW w:w="5868" w:type="dxa"/>
            <w:tcBorders>
              <w:top w:val="single" w:sz="4" w:space="0" w:color="auto"/>
            </w:tcBorders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Participants were selected from a self-selected group of people that responded to an advertisement. This included 9 men, 5 women and some asthmatics with an average age of mid-twenties. No additional details are provided.</w:t>
            </w:r>
          </w:p>
        </w:tc>
      </w:tr>
      <w:tr w:rsidR="003B00B8" w:rsidRPr="00501E76" w:rsidTr="0078603F"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Blinding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This was a randomized, double-blind crossover study with tests performed in random sequence. </w:t>
            </w:r>
          </w:p>
        </w:tc>
      </w:tr>
      <w:tr w:rsidR="003B00B8" w:rsidRPr="00501E76" w:rsidTr="0078603F"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Outcome assessment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Participants filled out symptom questionnaires upon entering the chamber and after exposure. Pulmonary function tests were also performed at multiple time </w:t>
            </w:r>
            <w:proofErr w:type="gramStart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points</w:t>
            </w:r>
            <w:proofErr w:type="gramEnd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post- exposure and detailed methods are provided. Asthmatics were defined through the questionnaire as defined by the American Thoracic Society.</w:t>
            </w:r>
          </w:p>
        </w:tc>
      </w:tr>
      <w:tr w:rsidR="003B00B8" w:rsidRPr="00501E76" w:rsidTr="0078603F"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Confounding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Study participants were all nonsmokers and asthmatics were included. Age and gender were recorded. SES or similar measures were not recorded. Participants were randomized to interventions.</w:t>
            </w:r>
          </w:p>
        </w:tc>
      </w:tr>
      <w:tr w:rsidR="003B00B8" w:rsidRPr="00501E76" w:rsidTr="0078603F"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Incomplete outcome data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Study rated probably low risk of bias because in table 4, there is a notation for some outcomes that only 14 subjects reporting, but no explanation for why.</w:t>
            </w:r>
          </w:p>
        </w:tc>
      </w:tr>
      <w:tr w:rsidR="003B00B8" w:rsidRPr="00501E76" w:rsidTr="0078603F">
        <w:trPr>
          <w:trHeight w:val="981"/>
        </w:trPr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Exposure assessment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spacing w:before="2" w:after="2"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This study used a controlled exposure in a temperature and humidity controlled chamber. Multiple methods were used to test and confirm the concentration of formaldehyde including a modified NIOSH </w:t>
            </w:r>
            <w:proofErr w:type="spellStart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impinger</w:t>
            </w:r>
            <w:proofErr w:type="spellEnd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 xml:space="preserve"> method using a DuPont P-4000 constant flow sampler which sampled air at 1 L/min for 15 min with samples measured by spectrophotometer. In addition samples were measured using a handheld </w:t>
            </w:r>
            <w:proofErr w:type="spellStart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formaldemeter</w:t>
            </w:r>
            <w:proofErr w:type="spellEnd"/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</w:tc>
      </w:tr>
      <w:tr w:rsidR="003B00B8" w:rsidRPr="00501E76" w:rsidTr="0078603F">
        <w:trPr>
          <w:trHeight w:val="468"/>
        </w:trPr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Selective outcome reporting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Results were presented for all the relevant outcomes specified.</w:t>
            </w:r>
          </w:p>
        </w:tc>
      </w:tr>
      <w:tr w:rsidR="003B00B8" w:rsidRPr="00501E76" w:rsidTr="0078603F"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Conflict of interest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Probably 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Authors were affiliated with a hospital, a research institution, and a non-profit research institute, though no details were provided on funding for this study.</w:t>
            </w:r>
          </w:p>
        </w:tc>
      </w:tr>
      <w:tr w:rsidR="003B00B8" w:rsidRPr="00501E76" w:rsidTr="0078603F">
        <w:trPr>
          <w:trHeight w:val="360"/>
        </w:trPr>
        <w:tc>
          <w:tcPr>
            <w:tcW w:w="1458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Other sources of bias</w:t>
            </w:r>
          </w:p>
        </w:tc>
        <w:tc>
          <w:tcPr>
            <w:tcW w:w="1530" w:type="dxa"/>
          </w:tcPr>
          <w:p w:rsidR="003B00B8" w:rsidRPr="00501E76" w:rsidRDefault="003B00B8" w:rsidP="0078603F">
            <w:pPr>
              <w:keepNext/>
              <w:rPr>
                <w:rFonts w:ascii="Times New Roman" w:hAnsi="Times New Roman"/>
                <w:sz w:val="20"/>
              </w:rPr>
            </w:pPr>
            <w:r w:rsidRPr="00501E76">
              <w:rPr>
                <w:rFonts w:ascii="Times New Roman" w:hAnsi="Times New Roman"/>
                <w:sz w:val="20"/>
              </w:rPr>
              <w:t>Low</w:t>
            </w:r>
          </w:p>
        </w:tc>
        <w:tc>
          <w:tcPr>
            <w:tcW w:w="5868" w:type="dxa"/>
          </w:tcPr>
          <w:p w:rsidR="003B00B8" w:rsidRPr="00501E76" w:rsidRDefault="003B00B8" w:rsidP="0078603F">
            <w:pPr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501E76">
              <w:rPr>
                <w:rFonts w:ascii="Times New Roman" w:hAnsi="Times New Roman"/>
                <w:color w:val="000000"/>
                <w:sz w:val="20"/>
                <w:szCs w:val="22"/>
              </w:rPr>
              <w:t>No other threats to internal validity were identified.</w:t>
            </w:r>
          </w:p>
        </w:tc>
      </w:tr>
    </w:tbl>
    <w:p w:rsidR="003B00B8" w:rsidRPr="00501E76" w:rsidRDefault="003B00B8" w:rsidP="003B00B8">
      <w:pPr>
        <w:rPr>
          <w:rFonts w:ascii="Times New Roman" w:hAnsi="Times New Roman" w:cs="Times New Roman"/>
          <w:sz w:val="16"/>
          <w:szCs w:val="16"/>
        </w:rPr>
      </w:pPr>
    </w:p>
    <w:p w:rsidR="003B00B8" w:rsidRDefault="003B00B8" w:rsidP="003B00B8">
      <w:pPr>
        <w:rPr>
          <w:rFonts w:ascii="Times New Roman" w:hAnsi="Times New Roman" w:cs="Times New Roman"/>
          <w:sz w:val="28"/>
          <w:szCs w:val="28"/>
        </w:rPr>
      </w:pPr>
    </w:p>
    <w:p w:rsidR="003B00B8" w:rsidRDefault="003B00B8" w:rsidP="003B00B8">
      <w:pPr>
        <w:rPr>
          <w:rFonts w:ascii="Times New Roman" w:hAnsi="Times New Roman" w:cs="Times New Roman"/>
          <w:sz w:val="28"/>
          <w:szCs w:val="28"/>
        </w:rPr>
      </w:pPr>
    </w:p>
    <w:p w:rsidR="003B00B8" w:rsidRDefault="003B00B8" w:rsidP="003B00B8">
      <w:pPr>
        <w:rPr>
          <w:rFonts w:ascii="Times New Roman" w:hAnsi="Times New Roman" w:cs="Times New Roman"/>
          <w:sz w:val="28"/>
          <w:szCs w:val="28"/>
        </w:rPr>
      </w:pPr>
    </w:p>
    <w:p w:rsidR="000A523B" w:rsidRDefault="000A523B">
      <w:bookmarkStart w:id="0" w:name="_GoBack"/>
      <w:bookmarkEnd w:id="0"/>
    </w:p>
    <w:sectPr w:rsidR="000A5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0B8"/>
    <w:rsid w:val="000A523B"/>
    <w:rsid w:val="003B00B8"/>
    <w:rsid w:val="008A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B00B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B00B8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B0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Kiran G</dc:creator>
  <cp:lastModifiedBy>Kiran G</cp:lastModifiedBy>
  <cp:revision>1</cp:revision>
  <dcterms:created xsi:type="dcterms:W3CDTF">2021-03-06T09:06:00Z</dcterms:created>
  <dcterms:modified xsi:type="dcterms:W3CDTF">2021-03-06T09:06:00Z</dcterms:modified>
</cp:coreProperties>
</file>