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DB4B6" w14:textId="77777777" w:rsidR="0017466A" w:rsidRPr="001B6D6D" w:rsidRDefault="0017466A" w:rsidP="0017466A">
      <w:pPr>
        <w:rPr>
          <w:rFonts w:ascii="Times New Roman" w:hAnsi="Times New Roman" w:cs="Times New Roman"/>
          <w:sz w:val="28"/>
          <w:szCs w:val="28"/>
        </w:rPr>
      </w:pPr>
      <w:r w:rsidRPr="001B6D6D">
        <w:rPr>
          <w:rFonts w:ascii="Times New Roman" w:hAnsi="Times New Roman" w:cs="Times New Roman"/>
          <w:sz w:val="28"/>
          <w:szCs w:val="28"/>
        </w:rPr>
        <w:t>Supplemental Materials, Table 72. Characteristics of Sauder et al. 1987</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458"/>
        <w:gridCol w:w="1530"/>
        <w:gridCol w:w="5868"/>
      </w:tblGrid>
      <w:tr w:rsidR="0017466A" w:rsidRPr="00501E76" w14:paraId="53A9BC1A" w14:textId="77777777" w:rsidTr="001B7C49">
        <w:tc>
          <w:tcPr>
            <w:tcW w:w="1458" w:type="dxa"/>
            <w:tcBorders>
              <w:top w:val="single" w:sz="4" w:space="0" w:color="auto"/>
              <w:bottom w:val="single" w:sz="4" w:space="0" w:color="auto"/>
            </w:tcBorders>
            <w:shd w:val="clear" w:color="auto" w:fill="auto"/>
          </w:tcPr>
          <w:p w14:paraId="128A5667" w14:textId="77777777" w:rsidR="0017466A" w:rsidRPr="00501E76" w:rsidRDefault="0017466A" w:rsidP="001B7C49">
            <w:pPr>
              <w:keepNext/>
              <w:rPr>
                <w:rFonts w:ascii="Times New Roman" w:hAnsi="Times New Roman"/>
                <w:sz w:val="22"/>
              </w:rPr>
            </w:pPr>
            <w:r w:rsidRPr="00501E76">
              <w:rPr>
                <w:rFonts w:ascii="Times New Roman" w:hAnsi="Times New Roman"/>
                <w:sz w:val="22"/>
              </w:rPr>
              <w:t>Bias domain</w:t>
            </w:r>
          </w:p>
        </w:tc>
        <w:tc>
          <w:tcPr>
            <w:tcW w:w="1530" w:type="dxa"/>
            <w:tcBorders>
              <w:top w:val="single" w:sz="4" w:space="0" w:color="auto"/>
              <w:bottom w:val="single" w:sz="4" w:space="0" w:color="auto"/>
            </w:tcBorders>
            <w:shd w:val="clear" w:color="auto" w:fill="auto"/>
          </w:tcPr>
          <w:p w14:paraId="60216E4E" w14:textId="77777777" w:rsidR="0017466A" w:rsidRPr="00501E76" w:rsidRDefault="0017466A" w:rsidP="001B7C49">
            <w:pPr>
              <w:keepNext/>
              <w:rPr>
                <w:rFonts w:ascii="Times New Roman" w:hAnsi="Times New Roman"/>
                <w:sz w:val="22"/>
              </w:rPr>
            </w:pPr>
            <w:r w:rsidRPr="00501E76">
              <w:rPr>
                <w:rFonts w:ascii="Times New Roman" w:hAnsi="Times New Roman"/>
                <w:sz w:val="22"/>
              </w:rPr>
              <w:t>Authors’ judgment</w:t>
            </w:r>
          </w:p>
        </w:tc>
        <w:tc>
          <w:tcPr>
            <w:tcW w:w="5868" w:type="dxa"/>
            <w:tcBorders>
              <w:top w:val="single" w:sz="4" w:space="0" w:color="auto"/>
              <w:bottom w:val="single" w:sz="4" w:space="0" w:color="auto"/>
            </w:tcBorders>
            <w:shd w:val="clear" w:color="auto" w:fill="auto"/>
          </w:tcPr>
          <w:p w14:paraId="7D918BB6" w14:textId="77777777" w:rsidR="0017466A" w:rsidRPr="00501E76" w:rsidRDefault="0017466A" w:rsidP="001B7C49">
            <w:pPr>
              <w:keepNext/>
              <w:rPr>
                <w:rFonts w:ascii="Times New Roman" w:hAnsi="Times New Roman"/>
                <w:sz w:val="22"/>
              </w:rPr>
            </w:pPr>
            <w:r w:rsidRPr="00501E76">
              <w:rPr>
                <w:rFonts w:ascii="Times New Roman" w:hAnsi="Times New Roman"/>
                <w:sz w:val="22"/>
              </w:rPr>
              <w:t>Support for judgment</w:t>
            </w:r>
          </w:p>
        </w:tc>
      </w:tr>
      <w:tr w:rsidR="0017466A" w:rsidRPr="00501E76" w14:paraId="104AEA43" w14:textId="77777777" w:rsidTr="001B7C49">
        <w:trPr>
          <w:trHeight w:val="737"/>
        </w:trPr>
        <w:tc>
          <w:tcPr>
            <w:tcW w:w="1458" w:type="dxa"/>
            <w:tcBorders>
              <w:top w:val="single" w:sz="4" w:space="0" w:color="auto"/>
            </w:tcBorders>
          </w:tcPr>
          <w:p w14:paraId="31A21C5F" w14:textId="77777777" w:rsidR="0017466A" w:rsidRPr="00501E76" w:rsidRDefault="0017466A" w:rsidP="001B7C49">
            <w:pPr>
              <w:keepNext/>
              <w:rPr>
                <w:rFonts w:ascii="Times New Roman" w:hAnsi="Times New Roman"/>
                <w:sz w:val="20"/>
              </w:rPr>
            </w:pPr>
            <w:r w:rsidRPr="00501E76">
              <w:rPr>
                <w:rFonts w:ascii="Times New Roman" w:hAnsi="Times New Roman"/>
                <w:sz w:val="20"/>
              </w:rPr>
              <w:t>Source population representation</w:t>
            </w:r>
          </w:p>
        </w:tc>
        <w:tc>
          <w:tcPr>
            <w:tcW w:w="1530" w:type="dxa"/>
            <w:tcBorders>
              <w:top w:val="single" w:sz="4" w:space="0" w:color="auto"/>
            </w:tcBorders>
          </w:tcPr>
          <w:p w14:paraId="332723B5" w14:textId="77777777" w:rsidR="0017466A" w:rsidRPr="00501E76" w:rsidRDefault="0017466A" w:rsidP="001B7C49">
            <w:pPr>
              <w:keepNext/>
              <w:rPr>
                <w:rFonts w:ascii="Times New Roman" w:hAnsi="Times New Roman"/>
                <w:sz w:val="20"/>
              </w:rPr>
            </w:pPr>
            <w:r w:rsidRPr="00501E76">
              <w:rPr>
                <w:rFonts w:ascii="Times New Roman" w:hAnsi="Times New Roman"/>
                <w:sz w:val="20"/>
              </w:rPr>
              <w:t>High</w:t>
            </w:r>
          </w:p>
        </w:tc>
        <w:tc>
          <w:tcPr>
            <w:tcW w:w="5868" w:type="dxa"/>
            <w:tcBorders>
              <w:top w:val="single" w:sz="4" w:space="0" w:color="auto"/>
            </w:tcBorders>
          </w:tcPr>
          <w:p w14:paraId="7F919D42" w14:textId="77777777" w:rsidR="0017466A" w:rsidRPr="00501E76" w:rsidRDefault="0017466A" w:rsidP="001B7C49">
            <w:pPr>
              <w:rPr>
                <w:rFonts w:ascii="Times New Roman" w:hAnsi="Times New Roman"/>
                <w:color w:val="000000"/>
                <w:sz w:val="20"/>
                <w:szCs w:val="22"/>
              </w:rPr>
            </w:pPr>
            <w:r w:rsidRPr="00501E76">
              <w:rPr>
                <w:rFonts w:ascii="Times New Roman" w:hAnsi="Times New Roman"/>
                <w:color w:val="000000"/>
                <w:sz w:val="20"/>
                <w:szCs w:val="22"/>
              </w:rPr>
              <w:t xml:space="preserve">Nine nonsmoking volunteers with a characteristic clinical history of asthma (American Thoracic Society, 1962) and documented hyperreactive airways were recruited from the community. Very little information provided on where volunteers recruited and limited demographic information provided. </w:t>
            </w:r>
          </w:p>
        </w:tc>
      </w:tr>
      <w:tr w:rsidR="0017466A" w:rsidRPr="00501E76" w14:paraId="1D2CA3DE" w14:textId="77777777" w:rsidTr="001B7C49">
        <w:tc>
          <w:tcPr>
            <w:tcW w:w="1458" w:type="dxa"/>
          </w:tcPr>
          <w:p w14:paraId="2509B46E" w14:textId="77777777" w:rsidR="0017466A" w:rsidRPr="00501E76" w:rsidRDefault="0017466A" w:rsidP="001B7C49">
            <w:pPr>
              <w:keepNext/>
              <w:rPr>
                <w:rFonts w:ascii="Times New Roman" w:hAnsi="Times New Roman"/>
                <w:sz w:val="20"/>
              </w:rPr>
            </w:pPr>
            <w:r w:rsidRPr="00501E76">
              <w:rPr>
                <w:rFonts w:ascii="Times New Roman" w:hAnsi="Times New Roman"/>
                <w:sz w:val="20"/>
              </w:rPr>
              <w:t>Blinding</w:t>
            </w:r>
          </w:p>
        </w:tc>
        <w:tc>
          <w:tcPr>
            <w:tcW w:w="1530" w:type="dxa"/>
          </w:tcPr>
          <w:p w14:paraId="005B9A42" w14:textId="77777777" w:rsidR="0017466A" w:rsidRPr="00501E76" w:rsidRDefault="0017466A" w:rsidP="001B7C49">
            <w:pPr>
              <w:keepNext/>
              <w:rPr>
                <w:rFonts w:ascii="Times New Roman" w:hAnsi="Times New Roman"/>
                <w:sz w:val="20"/>
              </w:rPr>
            </w:pPr>
            <w:r w:rsidRPr="00501E76">
              <w:rPr>
                <w:rFonts w:ascii="Times New Roman" w:hAnsi="Times New Roman"/>
                <w:sz w:val="20"/>
              </w:rPr>
              <w:t>High</w:t>
            </w:r>
          </w:p>
        </w:tc>
        <w:tc>
          <w:tcPr>
            <w:tcW w:w="5868" w:type="dxa"/>
          </w:tcPr>
          <w:p w14:paraId="55399597" w14:textId="77777777" w:rsidR="0017466A" w:rsidRPr="00501E76" w:rsidRDefault="0017466A" w:rsidP="001B7C49">
            <w:pPr>
              <w:rPr>
                <w:rFonts w:ascii="Times New Roman" w:hAnsi="Times New Roman"/>
                <w:color w:val="000000"/>
                <w:sz w:val="20"/>
                <w:szCs w:val="22"/>
              </w:rPr>
            </w:pPr>
            <w:r w:rsidRPr="00501E76">
              <w:rPr>
                <w:rFonts w:ascii="Times New Roman" w:hAnsi="Times New Roman"/>
                <w:color w:val="000000"/>
                <w:sz w:val="20"/>
                <w:szCs w:val="22"/>
              </w:rPr>
              <w:t>Chamber study with no mention of blinding, which means the participants and researchers were likely aware of exposures as they were administered.</w:t>
            </w:r>
          </w:p>
        </w:tc>
      </w:tr>
      <w:tr w:rsidR="0017466A" w:rsidRPr="00501E76" w14:paraId="2F5BE32C" w14:textId="77777777" w:rsidTr="001B7C49">
        <w:tc>
          <w:tcPr>
            <w:tcW w:w="1458" w:type="dxa"/>
          </w:tcPr>
          <w:p w14:paraId="54972DA0" w14:textId="77777777" w:rsidR="0017466A" w:rsidRPr="00501E76" w:rsidRDefault="0017466A" w:rsidP="001B7C49">
            <w:pPr>
              <w:keepNext/>
              <w:rPr>
                <w:rFonts w:ascii="Times New Roman" w:hAnsi="Times New Roman"/>
                <w:sz w:val="20"/>
              </w:rPr>
            </w:pPr>
            <w:r w:rsidRPr="00501E76">
              <w:rPr>
                <w:rFonts w:ascii="Times New Roman" w:hAnsi="Times New Roman"/>
                <w:sz w:val="20"/>
              </w:rPr>
              <w:t>Outcome assessment</w:t>
            </w:r>
          </w:p>
        </w:tc>
        <w:tc>
          <w:tcPr>
            <w:tcW w:w="1530" w:type="dxa"/>
          </w:tcPr>
          <w:p w14:paraId="46BE32E2" w14:textId="77777777" w:rsidR="0017466A" w:rsidRPr="00501E76" w:rsidRDefault="0017466A" w:rsidP="001B7C49">
            <w:pPr>
              <w:keepNext/>
              <w:rPr>
                <w:rFonts w:ascii="Times New Roman" w:hAnsi="Times New Roman"/>
                <w:sz w:val="20"/>
              </w:rPr>
            </w:pPr>
            <w:r w:rsidRPr="00501E76">
              <w:rPr>
                <w:rFonts w:ascii="Times New Roman" w:hAnsi="Times New Roman"/>
                <w:sz w:val="20"/>
              </w:rPr>
              <w:t>Low</w:t>
            </w:r>
          </w:p>
        </w:tc>
        <w:tc>
          <w:tcPr>
            <w:tcW w:w="5868" w:type="dxa"/>
          </w:tcPr>
          <w:p w14:paraId="09B2E730" w14:textId="77777777" w:rsidR="0017466A" w:rsidRPr="00501E76" w:rsidRDefault="0017466A" w:rsidP="001B7C49">
            <w:pPr>
              <w:rPr>
                <w:rFonts w:ascii="Times New Roman" w:hAnsi="Times New Roman"/>
                <w:color w:val="000000"/>
                <w:sz w:val="20"/>
                <w:szCs w:val="22"/>
              </w:rPr>
            </w:pPr>
            <w:r w:rsidRPr="00501E76">
              <w:rPr>
                <w:rFonts w:ascii="Times New Roman" w:hAnsi="Times New Roman"/>
                <w:color w:val="000000"/>
                <w:sz w:val="20"/>
                <w:szCs w:val="22"/>
              </w:rPr>
              <w:t xml:space="preserve">Outcomes were assessed using several methods. Symptoms were self-reported using a questionnaire; the questionnaire included sham questions about heart palpitations and tingling in feet or hands. </w:t>
            </w:r>
            <w:proofErr w:type="spellStart"/>
            <w:r w:rsidRPr="00501E76">
              <w:rPr>
                <w:rFonts w:ascii="Times New Roman" w:hAnsi="Times New Roman"/>
                <w:color w:val="000000"/>
                <w:sz w:val="20"/>
                <w:szCs w:val="22"/>
              </w:rPr>
              <w:t>Spirometric</w:t>
            </w:r>
            <w:proofErr w:type="spellEnd"/>
            <w:r w:rsidRPr="00501E76">
              <w:rPr>
                <w:rFonts w:ascii="Times New Roman" w:hAnsi="Times New Roman"/>
                <w:color w:val="000000"/>
                <w:sz w:val="20"/>
                <w:szCs w:val="22"/>
              </w:rPr>
              <w:t xml:space="preserve"> measurements were performed according the American Thoracic Society criteria. Nonspecific airway reactivity was assessed by a methacholine challenge according to a modification of a previously published method (Chai, 1975). Each subject served as his or her own control, receiving clean air during one trial and 3 ppm formaldehyde in another trial. The trials were separated by one week and occurred at the same time of day. Study rated as low risk of bias because objective measures (pulmonary function tests) used to determine outcomes.</w:t>
            </w:r>
          </w:p>
        </w:tc>
      </w:tr>
      <w:tr w:rsidR="0017466A" w:rsidRPr="00501E76" w14:paraId="44AE284F" w14:textId="77777777" w:rsidTr="001B7C49">
        <w:tc>
          <w:tcPr>
            <w:tcW w:w="1458" w:type="dxa"/>
          </w:tcPr>
          <w:p w14:paraId="7326D471" w14:textId="77777777" w:rsidR="0017466A" w:rsidRPr="00501E76" w:rsidRDefault="0017466A" w:rsidP="001B7C49">
            <w:pPr>
              <w:keepNext/>
              <w:rPr>
                <w:rFonts w:ascii="Times New Roman" w:hAnsi="Times New Roman"/>
                <w:sz w:val="20"/>
              </w:rPr>
            </w:pPr>
            <w:r w:rsidRPr="00501E76">
              <w:rPr>
                <w:rFonts w:ascii="Times New Roman" w:hAnsi="Times New Roman"/>
                <w:sz w:val="20"/>
              </w:rPr>
              <w:t>Confounding</w:t>
            </w:r>
          </w:p>
        </w:tc>
        <w:tc>
          <w:tcPr>
            <w:tcW w:w="1530" w:type="dxa"/>
          </w:tcPr>
          <w:p w14:paraId="33B0DB80" w14:textId="77777777" w:rsidR="0017466A" w:rsidRPr="00501E76" w:rsidRDefault="0017466A" w:rsidP="001B7C49">
            <w:pPr>
              <w:keepNext/>
              <w:rPr>
                <w:rFonts w:ascii="Times New Roman" w:hAnsi="Times New Roman"/>
                <w:sz w:val="20"/>
              </w:rPr>
            </w:pPr>
            <w:r w:rsidRPr="00501E76">
              <w:rPr>
                <w:rFonts w:ascii="Times New Roman" w:hAnsi="Times New Roman"/>
                <w:sz w:val="20"/>
              </w:rPr>
              <w:t>Probably low</w:t>
            </w:r>
          </w:p>
        </w:tc>
        <w:tc>
          <w:tcPr>
            <w:tcW w:w="5868" w:type="dxa"/>
          </w:tcPr>
          <w:p w14:paraId="22E19F6F" w14:textId="77777777" w:rsidR="0017466A" w:rsidRPr="00501E76" w:rsidRDefault="0017466A" w:rsidP="001B7C49">
            <w:pPr>
              <w:rPr>
                <w:rFonts w:ascii="Times New Roman" w:hAnsi="Times New Roman"/>
                <w:color w:val="000000"/>
                <w:sz w:val="20"/>
                <w:szCs w:val="22"/>
              </w:rPr>
            </w:pPr>
            <w:r w:rsidRPr="00501E76">
              <w:rPr>
                <w:rFonts w:ascii="Times New Roman" w:hAnsi="Times New Roman"/>
                <w:color w:val="000000"/>
                <w:sz w:val="20"/>
                <w:szCs w:val="22"/>
              </w:rPr>
              <w:t>All volunteers were nonsmokers. There is no measurement of the other Tier I confounder, SES. A few Tier II confounders including age and sex were reported. Each subject served as his or her own control.</w:t>
            </w:r>
          </w:p>
        </w:tc>
      </w:tr>
      <w:tr w:rsidR="0017466A" w:rsidRPr="00501E76" w14:paraId="529F2E84" w14:textId="77777777" w:rsidTr="001B7C49">
        <w:tc>
          <w:tcPr>
            <w:tcW w:w="1458" w:type="dxa"/>
          </w:tcPr>
          <w:p w14:paraId="684D475F" w14:textId="77777777" w:rsidR="0017466A" w:rsidRPr="00501E76" w:rsidRDefault="0017466A" w:rsidP="001B7C49">
            <w:pPr>
              <w:keepNext/>
              <w:rPr>
                <w:rFonts w:ascii="Times New Roman" w:hAnsi="Times New Roman"/>
                <w:sz w:val="20"/>
              </w:rPr>
            </w:pPr>
            <w:r w:rsidRPr="00501E76">
              <w:rPr>
                <w:rFonts w:ascii="Times New Roman" w:hAnsi="Times New Roman"/>
                <w:sz w:val="20"/>
              </w:rPr>
              <w:t>Incomplete outcome data</w:t>
            </w:r>
          </w:p>
        </w:tc>
        <w:tc>
          <w:tcPr>
            <w:tcW w:w="1530" w:type="dxa"/>
          </w:tcPr>
          <w:p w14:paraId="77B7FE32" w14:textId="77777777" w:rsidR="0017466A" w:rsidRPr="00501E76" w:rsidRDefault="0017466A" w:rsidP="001B7C49">
            <w:pPr>
              <w:keepNext/>
              <w:rPr>
                <w:rFonts w:ascii="Times New Roman" w:hAnsi="Times New Roman"/>
                <w:sz w:val="20"/>
              </w:rPr>
            </w:pPr>
            <w:r w:rsidRPr="00501E76">
              <w:rPr>
                <w:rFonts w:ascii="Times New Roman" w:hAnsi="Times New Roman"/>
                <w:sz w:val="20"/>
              </w:rPr>
              <w:t>Low</w:t>
            </w:r>
          </w:p>
        </w:tc>
        <w:tc>
          <w:tcPr>
            <w:tcW w:w="5868" w:type="dxa"/>
          </w:tcPr>
          <w:p w14:paraId="689FB993" w14:textId="77777777" w:rsidR="0017466A" w:rsidRPr="00501E76" w:rsidRDefault="0017466A" w:rsidP="001B7C49">
            <w:pPr>
              <w:rPr>
                <w:rFonts w:ascii="Times New Roman" w:hAnsi="Times New Roman"/>
                <w:color w:val="000000"/>
                <w:sz w:val="20"/>
                <w:szCs w:val="22"/>
              </w:rPr>
            </w:pPr>
            <w:r w:rsidRPr="00501E76">
              <w:rPr>
                <w:rFonts w:ascii="Times New Roman" w:hAnsi="Times New Roman"/>
                <w:color w:val="000000"/>
                <w:sz w:val="20"/>
                <w:szCs w:val="22"/>
              </w:rPr>
              <w:t>There is no missing data.</w:t>
            </w:r>
          </w:p>
        </w:tc>
      </w:tr>
      <w:tr w:rsidR="0017466A" w:rsidRPr="00501E76" w14:paraId="3078FCDF" w14:textId="77777777" w:rsidTr="001B7C49">
        <w:trPr>
          <w:trHeight w:val="981"/>
        </w:trPr>
        <w:tc>
          <w:tcPr>
            <w:tcW w:w="1458" w:type="dxa"/>
          </w:tcPr>
          <w:p w14:paraId="3FC8704B" w14:textId="77777777" w:rsidR="0017466A" w:rsidRPr="00501E76" w:rsidRDefault="0017466A" w:rsidP="001B7C49">
            <w:pPr>
              <w:keepNext/>
              <w:rPr>
                <w:rFonts w:ascii="Times New Roman" w:hAnsi="Times New Roman"/>
                <w:sz w:val="20"/>
              </w:rPr>
            </w:pPr>
            <w:r w:rsidRPr="00501E76">
              <w:rPr>
                <w:rFonts w:ascii="Times New Roman" w:hAnsi="Times New Roman"/>
                <w:sz w:val="20"/>
              </w:rPr>
              <w:t>Exposure assessment</w:t>
            </w:r>
          </w:p>
        </w:tc>
        <w:tc>
          <w:tcPr>
            <w:tcW w:w="1530" w:type="dxa"/>
          </w:tcPr>
          <w:p w14:paraId="0788CE22" w14:textId="77777777" w:rsidR="0017466A" w:rsidRPr="00501E76" w:rsidRDefault="0017466A" w:rsidP="001B7C49">
            <w:pPr>
              <w:keepNext/>
              <w:spacing w:before="2" w:after="2"/>
              <w:rPr>
                <w:rFonts w:ascii="Times New Roman" w:hAnsi="Times New Roman"/>
                <w:sz w:val="20"/>
              </w:rPr>
            </w:pPr>
            <w:r w:rsidRPr="00501E76">
              <w:rPr>
                <w:rFonts w:ascii="Times New Roman" w:hAnsi="Times New Roman"/>
                <w:sz w:val="20"/>
              </w:rPr>
              <w:t>Low</w:t>
            </w:r>
          </w:p>
        </w:tc>
        <w:tc>
          <w:tcPr>
            <w:tcW w:w="5868" w:type="dxa"/>
          </w:tcPr>
          <w:p w14:paraId="26589C82" w14:textId="77777777" w:rsidR="0017466A" w:rsidRPr="00501E76" w:rsidRDefault="0017466A" w:rsidP="001B7C49">
            <w:pPr>
              <w:rPr>
                <w:rFonts w:ascii="Times New Roman" w:hAnsi="Times New Roman"/>
                <w:color w:val="000000"/>
                <w:sz w:val="20"/>
                <w:szCs w:val="22"/>
              </w:rPr>
            </w:pPr>
            <w:r w:rsidRPr="00501E76">
              <w:rPr>
                <w:rFonts w:ascii="Times New Roman" w:hAnsi="Times New Roman"/>
                <w:color w:val="000000"/>
                <w:sz w:val="20"/>
                <w:szCs w:val="22"/>
              </w:rPr>
              <w:t xml:space="preserve">The study was conducted in an environmentally controlled chamber that was continuously monitored by two air monitors fitted with formaldehyde reagent modules. Authors provide detailed exposure methods and monitoring of the system to ensure accurate exposure.  Hourly exposure chamber samples were also collected using midget impingers containing 1% sodium bisulfite. The samples were analyzed for HCHO using the NIOSH </w:t>
            </w:r>
            <w:proofErr w:type="spellStart"/>
            <w:r w:rsidRPr="00501E76">
              <w:rPr>
                <w:rFonts w:ascii="Times New Roman" w:hAnsi="Times New Roman"/>
                <w:color w:val="000000"/>
                <w:sz w:val="20"/>
                <w:szCs w:val="22"/>
              </w:rPr>
              <w:t>Chromotrophic</w:t>
            </w:r>
            <w:proofErr w:type="spellEnd"/>
            <w:r w:rsidRPr="00501E76">
              <w:rPr>
                <w:rFonts w:ascii="Times New Roman" w:hAnsi="Times New Roman"/>
                <w:color w:val="000000"/>
                <w:sz w:val="20"/>
                <w:szCs w:val="22"/>
              </w:rPr>
              <w:t xml:space="preserve"> Acid Technique (NIOSH, 1977). Air monitors and impinger samples agreed within 5% of each other.</w:t>
            </w:r>
          </w:p>
        </w:tc>
      </w:tr>
      <w:tr w:rsidR="0017466A" w:rsidRPr="00501E76" w14:paraId="31FCE7EA" w14:textId="77777777" w:rsidTr="001B7C49">
        <w:trPr>
          <w:trHeight w:val="468"/>
        </w:trPr>
        <w:tc>
          <w:tcPr>
            <w:tcW w:w="1458" w:type="dxa"/>
          </w:tcPr>
          <w:p w14:paraId="2C89C217" w14:textId="77777777" w:rsidR="0017466A" w:rsidRPr="00501E76" w:rsidRDefault="0017466A" w:rsidP="001B7C49">
            <w:pPr>
              <w:keepNext/>
              <w:rPr>
                <w:rFonts w:ascii="Times New Roman" w:hAnsi="Times New Roman"/>
                <w:sz w:val="20"/>
              </w:rPr>
            </w:pPr>
            <w:r w:rsidRPr="00501E76">
              <w:rPr>
                <w:rFonts w:ascii="Times New Roman" w:hAnsi="Times New Roman"/>
                <w:sz w:val="20"/>
              </w:rPr>
              <w:t>Selective outcome reporting</w:t>
            </w:r>
          </w:p>
        </w:tc>
        <w:tc>
          <w:tcPr>
            <w:tcW w:w="1530" w:type="dxa"/>
          </w:tcPr>
          <w:p w14:paraId="3BE7C658" w14:textId="77777777" w:rsidR="0017466A" w:rsidRPr="00501E76" w:rsidRDefault="0017466A" w:rsidP="001B7C49">
            <w:pPr>
              <w:keepNext/>
              <w:rPr>
                <w:rFonts w:ascii="Times New Roman" w:hAnsi="Times New Roman"/>
                <w:sz w:val="20"/>
              </w:rPr>
            </w:pPr>
            <w:r w:rsidRPr="00501E76">
              <w:rPr>
                <w:rFonts w:ascii="Times New Roman" w:hAnsi="Times New Roman"/>
                <w:sz w:val="20"/>
              </w:rPr>
              <w:t>Low</w:t>
            </w:r>
          </w:p>
        </w:tc>
        <w:tc>
          <w:tcPr>
            <w:tcW w:w="5868" w:type="dxa"/>
          </w:tcPr>
          <w:p w14:paraId="45B0FD94" w14:textId="77777777" w:rsidR="0017466A" w:rsidRPr="00501E76" w:rsidRDefault="0017466A" w:rsidP="001B7C49">
            <w:pPr>
              <w:rPr>
                <w:rFonts w:ascii="Times New Roman" w:hAnsi="Times New Roman"/>
                <w:color w:val="000000"/>
                <w:sz w:val="20"/>
                <w:szCs w:val="22"/>
              </w:rPr>
            </w:pPr>
            <w:r w:rsidRPr="00501E76">
              <w:rPr>
                <w:rFonts w:ascii="Times New Roman" w:hAnsi="Times New Roman"/>
                <w:color w:val="000000"/>
                <w:sz w:val="20"/>
                <w:szCs w:val="22"/>
              </w:rPr>
              <w:t>Results are reported for all outcomes specified in the abstract and methods.</w:t>
            </w:r>
          </w:p>
        </w:tc>
      </w:tr>
      <w:tr w:rsidR="0017466A" w:rsidRPr="00501E76" w14:paraId="1CA18371" w14:textId="77777777" w:rsidTr="001B7C49">
        <w:tc>
          <w:tcPr>
            <w:tcW w:w="1458" w:type="dxa"/>
          </w:tcPr>
          <w:p w14:paraId="4E59CAFB" w14:textId="77777777" w:rsidR="0017466A" w:rsidRPr="00501E76" w:rsidRDefault="0017466A" w:rsidP="001B7C49">
            <w:pPr>
              <w:keepNext/>
              <w:rPr>
                <w:rFonts w:ascii="Times New Roman" w:hAnsi="Times New Roman"/>
                <w:sz w:val="20"/>
              </w:rPr>
            </w:pPr>
            <w:r w:rsidRPr="00501E76">
              <w:rPr>
                <w:rFonts w:ascii="Times New Roman" w:hAnsi="Times New Roman"/>
                <w:sz w:val="20"/>
              </w:rPr>
              <w:t>Conflict of interest</w:t>
            </w:r>
          </w:p>
        </w:tc>
        <w:tc>
          <w:tcPr>
            <w:tcW w:w="1530" w:type="dxa"/>
          </w:tcPr>
          <w:p w14:paraId="65CCEA41" w14:textId="77777777" w:rsidR="0017466A" w:rsidRPr="00501E76" w:rsidRDefault="0017466A" w:rsidP="001B7C49">
            <w:pPr>
              <w:keepNext/>
              <w:rPr>
                <w:rFonts w:ascii="Times New Roman" w:hAnsi="Times New Roman"/>
                <w:sz w:val="20"/>
              </w:rPr>
            </w:pPr>
            <w:r w:rsidRPr="00501E76">
              <w:rPr>
                <w:rFonts w:ascii="Times New Roman" w:hAnsi="Times New Roman"/>
                <w:sz w:val="20"/>
              </w:rPr>
              <w:t>Low</w:t>
            </w:r>
          </w:p>
        </w:tc>
        <w:tc>
          <w:tcPr>
            <w:tcW w:w="5868" w:type="dxa"/>
          </w:tcPr>
          <w:p w14:paraId="0143AF1C" w14:textId="77777777" w:rsidR="0017466A" w:rsidRPr="00501E76" w:rsidRDefault="0017466A" w:rsidP="001B7C49">
            <w:pPr>
              <w:rPr>
                <w:rFonts w:ascii="Times New Roman" w:hAnsi="Times New Roman"/>
                <w:color w:val="000000"/>
                <w:sz w:val="20"/>
                <w:szCs w:val="22"/>
              </w:rPr>
            </w:pPr>
            <w:r w:rsidRPr="00501E76">
              <w:rPr>
                <w:rFonts w:ascii="Times New Roman" w:hAnsi="Times New Roman"/>
                <w:color w:val="000000"/>
                <w:sz w:val="20"/>
                <w:szCs w:val="22"/>
              </w:rPr>
              <w:t>Researchers were academic and funding came from the Department of Energy.</w:t>
            </w:r>
          </w:p>
        </w:tc>
      </w:tr>
      <w:tr w:rsidR="0017466A" w:rsidRPr="00501E76" w14:paraId="49288B61" w14:textId="77777777" w:rsidTr="001B7C49">
        <w:trPr>
          <w:trHeight w:val="360"/>
        </w:trPr>
        <w:tc>
          <w:tcPr>
            <w:tcW w:w="1458" w:type="dxa"/>
          </w:tcPr>
          <w:p w14:paraId="7B3C375A" w14:textId="77777777" w:rsidR="0017466A" w:rsidRPr="00501E76" w:rsidRDefault="0017466A" w:rsidP="001B7C49">
            <w:pPr>
              <w:keepNext/>
              <w:rPr>
                <w:rFonts w:ascii="Times New Roman" w:hAnsi="Times New Roman"/>
                <w:sz w:val="20"/>
              </w:rPr>
            </w:pPr>
            <w:r w:rsidRPr="00501E76">
              <w:rPr>
                <w:rFonts w:ascii="Times New Roman" w:hAnsi="Times New Roman"/>
                <w:sz w:val="20"/>
              </w:rPr>
              <w:t>Other sources of bias</w:t>
            </w:r>
          </w:p>
        </w:tc>
        <w:tc>
          <w:tcPr>
            <w:tcW w:w="1530" w:type="dxa"/>
          </w:tcPr>
          <w:p w14:paraId="502470F7" w14:textId="77777777" w:rsidR="0017466A" w:rsidRPr="00501E76" w:rsidRDefault="0017466A" w:rsidP="001B7C49">
            <w:pPr>
              <w:keepNext/>
              <w:rPr>
                <w:rFonts w:ascii="Times New Roman" w:hAnsi="Times New Roman"/>
                <w:sz w:val="20"/>
              </w:rPr>
            </w:pPr>
            <w:r w:rsidRPr="00501E76">
              <w:rPr>
                <w:rFonts w:ascii="Times New Roman" w:hAnsi="Times New Roman"/>
                <w:sz w:val="20"/>
              </w:rPr>
              <w:t>Probably low</w:t>
            </w:r>
          </w:p>
        </w:tc>
        <w:tc>
          <w:tcPr>
            <w:tcW w:w="5868" w:type="dxa"/>
          </w:tcPr>
          <w:p w14:paraId="210EA04E" w14:textId="77777777" w:rsidR="0017466A" w:rsidRPr="00501E76" w:rsidRDefault="0017466A" w:rsidP="001B7C49">
            <w:pPr>
              <w:rPr>
                <w:rFonts w:ascii="Times New Roman" w:hAnsi="Times New Roman"/>
                <w:color w:val="000000"/>
                <w:sz w:val="20"/>
                <w:szCs w:val="22"/>
              </w:rPr>
            </w:pPr>
            <w:r w:rsidRPr="00501E76">
              <w:rPr>
                <w:rFonts w:ascii="Times New Roman" w:hAnsi="Times New Roman"/>
                <w:color w:val="000000"/>
                <w:sz w:val="20"/>
                <w:szCs w:val="22"/>
              </w:rPr>
              <w:t>The authors did not specify whether the paired t-test assumed equal or unequal variance.</w:t>
            </w:r>
          </w:p>
        </w:tc>
      </w:tr>
    </w:tbl>
    <w:p w14:paraId="3377E72C" w14:textId="77777777" w:rsidR="0017466A" w:rsidRPr="001B6D6D" w:rsidRDefault="0017466A" w:rsidP="0017466A">
      <w:pPr>
        <w:rPr>
          <w:rFonts w:ascii="Times New Roman" w:hAnsi="Times New Roman" w:cs="Times New Roman"/>
          <w:sz w:val="28"/>
          <w:szCs w:val="28"/>
        </w:rPr>
      </w:pPr>
    </w:p>
    <w:p w14:paraId="19EC6225" w14:textId="77777777" w:rsidR="0017466A" w:rsidRDefault="0017466A" w:rsidP="0017466A">
      <w:pPr>
        <w:rPr>
          <w:rFonts w:ascii="Times New Roman" w:hAnsi="Times New Roman" w:cs="Times New Roman"/>
          <w:sz w:val="28"/>
          <w:szCs w:val="28"/>
        </w:rPr>
      </w:pPr>
    </w:p>
    <w:p w14:paraId="1C7DF325" w14:textId="77777777" w:rsidR="0017466A" w:rsidRDefault="0017466A"/>
    <w:sectPr w:rsidR="00174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6A"/>
    <w:rsid w:val="001746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4034"/>
  <w15:chartTrackingRefBased/>
  <w15:docId w15:val="{FF108F94-614A-49A6-BB23-3BB04470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7466A"/>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4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 off44</dc:creator>
  <cp:keywords/>
  <dc:description/>
  <cp:lastModifiedBy>hyd off44</cp:lastModifiedBy>
  <cp:revision>1</cp:revision>
  <dcterms:created xsi:type="dcterms:W3CDTF">2021-03-06T06:47:00Z</dcterms:created>
  <dcterms:modified xsi:type="dcterms:W3CDTF">2021-03-06T06:47:00Z</dcterms:modified>
</cp:coreProperties>
</file>