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FAC6" w14:textId="77777777" w:rsidR="00E06E44" w:rsidRPr="001B6D6D" w:rsidRDefault="00E06E44" w:rsidP="00E06E44">
      <w:pPr>
        <w:rPr>
          <w:rFonts w:ascii="Times New Roman" w:hAnsi="Times New Roman" w:cs="Times New Roman"/>
          <w:sz w:val="28"/>
          <w:szCs w:val="28"/>
        </w:rPr>
      </w:pPr>
      <w:bookmarkStart w:id="0" w:name="_GoBack"/>
      <w:bookmarkEnd w:id="0"/>
      <w:r w:rsidRPr="001B6D6D">
        <w:rPr>
          <w:rFonts w:ascii="Times New Roman" w:hAnsi="Times New Roman" w:cs="Times New Roman"/>
          <w:sz w:val="28"/>
          <w:szCs w:val="28"/>
        </w:rPr>
        <w:t>Supplemental Materials, Table 34. Characteristics of Hendrick et al. 1977</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E06E44" w:rsidRPr="00501E76" w14:paraId="5F2BBD82" w14:textId="77777777" w:rsidTr="00263DA6">
        <w:tc>
          <w:tcPr>
            <w:tcW w:w="1458" w:type="dxa"/>
            <w:tcBorders>
              <w:top w:val="single" w:sz="4" w:space="0" w:color="auto"/>
              <w:bottom w:val="single" w:sz="4" w:space="0" w:color="auto"/>
            </w:tcBorders>
            <w:shd w:val="clear" w:color="auto" w:fill="auto"/>
          </w:tcPr>
          <w:p w14:paraId="5500209F" w14:textId="77777777" w:rsidR="00E06E44" w:rsidRPr="00501E76" w:rsidRDefault="00E06E44" w:rsidP="00263DA6">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14:paraId="00F0516E" w14:textId="77777777" w:rsidR="00E06E44" w:rsidRPr="00501E76" w:rsidRDefault="00E06E44" w:rsidP="00263DA6">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14:paraId="1E708F07" w14:textId="77777777" w:rsidR="00E06E44" w:rsidRPr="00501E76" w:rsidRDefault="00E06E44" w:rsidP="00263DA6">
            <w:pPr>
              <w:keepNext/>
              <w:rPr>
                <w:rFonts w:ascii="Times New Roman" w:hAnsi="Times New Roman"/>
                <w:sz w:val="22"/>
              </w:rPr>
            </w:pPr>
            <w:r w:rsidRPr="00501E76">
              <w:rPr>
                <w:rFonts w:ascii="Times New Roman" w:hAnsi="Times New Roman"/>
                <w:sz w:val="22"/>
              </w:rPr>
              <w:t>Support for judgment</w:t>
            </w:r>
          </w:p>
        </w:tc>
      </w:tr>
      <w:tr w:rsidR="00E06E44" w:rsidRPr="00501E76" w14:paraId="663D229E" w14:textId="77777777" w:rsidTr="00263DA6">
        <w:trPr>
          <w:trHeight w:val="737"/>
        </w:trPr>
        <w:tc>
          <w:tcPr>
            <w:tcW w:w="1458" w:type="dxa"/>
            <w:tcBorders>
              <w:top w:val="single" w:sz="4" w:space="0" w:color="auto"/>
            </w:tcBorders>
          </w:tcPr>
          <w:p w14:paraId="2C1211E3" w14:textId="77777777" w:rsidR="00E06E44" w:rsidRPr="00501E76" w:rsidRDefault="00E06E44" w:rsidP="00263DA6">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14:paraId="4C44F19A" w14:textId="77777777" w:rsidR="00E06E44" w:rsidRPr="00501E76" w:rsidRDefault="00E06E44" w:rsidP="00263DA6">
            <w:pPr>
              <w:keepNext/>
              <w:rPr>
                <w:rFonts w:ascii="Times New Roman" w:hAnsi="Times New Roman"/>
                <w:sz w:val="20"/>
              </w:rPr>
            </w:pPr>
            <w:r w:rsidRPr="00501E76">
              <w:rPr>
                <w:rFonts w:ascii="Times New Roman" w:hAnsi="Times New Roman"/>
                <w:sz w:val="20"/>
              </w:rPr>
              <w:t>Low</w:t>
            </w:r>
          </w:p>
        </w:tc>
        <w:tc>
          <w:tcPr>
            <w:tcW w:w="5868" w:type="dxa"/>
            <w:tcBorders>
              <w:top w:val="single" w:sz="4" w:space="0" w:color="auto"/>
            </w:tcBorders>
          </w:tcPr>
          <w:p w14:paraId="0BF58D5F"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 xml:space="preserve">Study subjects are all the 28 members of the nursing staff of a </w:t>
            </w:r>
            <w:proofErr w:type="spellStart"/>
            <w:r w:rsidRPr="00501E76">
              <w:rPr>
                <w:rFonts w:ascii="Times New Roman" w:hAnsi="Times New Roman"/>
                <w:color w:val="000000"/>
                <w:sz w:val="20"/>
                <w:szCs w:val="22"/>
              </w:rPr>
              <w:t>haemodialysis</w:t>
            </w:r>
            <w:proofErr w:type="spellEnd"/>
            <w:r w:rsidRPr="00501E76">
              <w:rPr>
                <w:rFonts w:ascii="Times New Roman" w:hAnsi="Times New Roman"/>
                <w:color w:val="000000"/>
                <w:sz w:val="20"/>
                <w:szCs w:val="22"/>
              </w:rPr>
              <w:t xml:space="preserve"> unit. Subject characteristics such as smoking prevalence, age distribution </w:t>
            </w:r>
            <w:proofErr w:type="gramStart"/>
            <w:r w:rsidRPr="00501E76">
              <w:rPr>
                <w:rFonts w:ascii="Times New Roman" w:hAnsi="Times New Roman"/>
                <w:color w:val="000000"/>
                <w:sz w:val="20"/>
                <w:szCs w:val="22"/>
              </w:rPr>
              <w:t>are</w:t>
            </w:r>
            <w:proofErr w:type="gramEnd"/>
            <w:r w:rsidRPr="00501E76">
              <w:rPr>
                <w:rFonts w:ascii="Times New Roman" w:hAnsi="Times New Roman"/>
                <w:color w:val="000000"/>
                <w:sz w:val="20"/>
                <w:szCs w:val="22"/>
              </w:rPr>
              <w:t xml:space="preserve"> described. </w:t>
            </w:r>
          </w:p>
        </w:tc>
      </w:tr>
      <w:tr w:rsidR="00E06E44" w:rsidRPr="00501E76" w14:paraId="56790DE2" w14:textId="77777777" w:rsidTr="00263DA6">
        <w:tc>
          <w:tcPr>
            <w:tcW w:w="1458" w:type="dxa"/>
          </w:tcPr>
          <w:p w14:paraId="5265EE93" w14:textId="77777777" w:rsidR="00E06E44" w:rsidRPr="00501E76" w:rsidRDefault="00E06E44" w:rsidP="00263DA6">
            <w:pPr>
              <w:keepNext/>
              <w:rPr>
                <w:rFonts w:ascii="Times New Roman" w:hAnsi="Times New Roman"/>
                <w:sz w:val="20"/>
              </w:rPr>
            </w:pPr>
            <w:r w:rsidRPr="00501E76">
              <w:rPr>
                <w:rFonts w:ascii="Times New Roman" w:hAnsi="Times New Roman"/>
                <w:sz w:val="20"/>
              </w:rPr>
              <w:t>Blinding</w:t>
            </w:r>
          </w:p>
        </w:tc>
        <w:tc>
          <w:tcPr>
            <w:tcW w:w="1530" w:type="dxa"/>
          </w:tcPr>
          <w:p w14:paraId="2B7E5BD0" w14:textId="77777777" w:rsidR="00E06E44" w:rsidRPr="00501E76" w:rsidRDefault="00E06E44" w:rsidP="00263DA6">
            <w:pPr>
              <w:keepNext/>
              <w:rPr>
                <w:rFonts w:ascii="Times New Roman" w:hAnsi="Times New Roman"/>
                <w:sz w:val="20"/>
              </w:rPr>
            </w:pPr>
            <w:r w:rsidRPr="00501E76">
              <w:rPr>
                <w:rFonts w:ascii="Times New Roman" w:hAnsi="Times New Roman"/>
                <w:sz w:val="20"/>
              </w:rPr>
              <w:t>High</w:t>
            </w:r>
          </w:p>
        </w:tc>
        <w:tc>
          <w:tcPr>
            <w:tcW w:w="5868" w:type="dxa"/>
          </w:tcPr>
          <w:p w14:paraId="29950F4F"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 xml:space="preserve">Blinding was not possible as all subjects in the occupational settling were had been known to have history of exposure. During the inhalation provocation tests it would not be possible to be blind to the exposure for either participant </w:t>
            </w:r>
            <w:proofErr w:type="gramStart"/>
            <w:r w:rsidRPr="00501E76">
              <w:rPr>
                <w:rFonts w:ascii="Times New Roman" w:hAnsi="Times New Roman"/>
                <w:color w:val="000000"/>
                <w:sz w:val="20"/>
                <w:szCs w:val="22"/>
              </w:rPr>
              <w:t>and</w:t>
            </w:r>
            <w:proofErr w:type="gramEnd"/>
            <w:r w:rsidRPr="00501E76">
              <w:rPr>
                <w:rFonts w:ascii="Times New Roman" w:hAnsi="Times New Roman"/>
                <w:color w:val="000000"/>
                <w:sz w:val="20"/>
                <w:szCs w:val="22"/>
              </w:rPr>
              <w:t xml:space="preserve"> likely not the investigator, which could potentially lead to biased outcome measurements.</w:t>
            </w:r>
          </w:p>
        </w:tc>
      </w:tr>
      <w:tr w:rsidR="00E06E44" w:rsidRPr="00501E76" w14:paraId="2133B6B9" w14:textId="77777777" w:rsidTr="00263DA6">
        <w:tc>
          <w:tcPr>
            <w:tcW w:w="1458" w:type="dxa"/>
          </w:tcPr>
          <w:p w14:paraId="7D167C2D" w14:textId="77777777" w:rsidR="00E06E44" w:rsidRPr="00501E76" w:rsidRDefault="00E06E44" w:rsidP="00263DA6">
            <w:pPr>
              <w:keepNext/>
              <w:rPr>
                <w:rFonts w:ascii="Times New Roman" w:hAnsi="Times New Roman"/>
                <w:sz w:val="20"/>
              </w:rPr>
            </w:pPr>
            <w:r w:rsidRPr="00501E76">
              <w:rPr>
                <w:rFonts w:ascii="Times New Roman" w:hAnsi="Times New Roman"/>
                <w:sz w:val="20"/>
              </w:rPr>
              <w:t>Outcome assessment</w:t>
            </w:r>
          </w:p>
        </w:tc>
        <w:tc>
          <w:tcPr>
            <w:tcW w:w="1530" w:type="dxa"/>
          </w:tcPr>
          <w:p w14:paraId="62A6CBD2" w14:textId="77777777" w:rsidR="00E06E44" w:rsidRPr="00501E76" w:rsidRDefault="00E06E44" w:rsidP="00263DA6">
            <w:pPr>
              <w:keepNext/>
              <w:rPr>
                <w:rFonts w:ascii="Times New Roman" w:hAnsi="Times New Roman"/>
                <w:sz w:val="20"/>
              </w:rPr>
            </w:pPr>
            <w:r w:rsidRPr="00501E76">
              <w:rPr>
                <w:rFonts w:ascii="Times New Roman" w:hAnsi="Times New Roman"/>
                <w:sz w:val="20"/>
              </w:rPr>
              <w:t>Low</w:t>
            </w:r>
          </w:p>
        </w:tc>
        <w:tc>
          <w:tcPr>
            <w:tcW w:w="5868" w:type="dxa"/>
          </w:tcPr>
          <w:p w14:paraId="33E632B2"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 xml:space="preserve">Lung function outcomes were evaluated with simple tests of airways function (peak expiratory flow (PEF) using a Wright's meter, and one second forced expiratory volume (FEV1), and forced vital capacity (FVC) using a </w:t>
            </w:r>
            <w:proofErr w:type="spellStart"/>
            <w:r w:rsidRPr="00501E76">
              <w:rPr>
                <w:rFonts w:ascii="Times New Roman" w:hAnsi="Times New Roman"/>
                <w:color w:val="000000"/>
                <w:sz w:val="20"/>
                <w:szCs w:val="22"/>
              </w:rPr>
              <w:t>Vitalograph</w:t>
            </w:r>
            <w:proofErr w:type="spellEnd"/>
            <w:r w:rsidRPr="00501E76">
              <w:rPr>
                <w:rFonts w:ascii="Times New Roman" w:hAnsi="Times New Roman"/>
                <w:color w:val="000000"/>
                <w:sz w:val="20"/>
                <w:szCs w:val="22"/>
              </w:rPr>
              <w:t xml:space="preserve"> dry spirometer. However, QA/QC information was not addressed. Study rated low risk of bias because used objective measures (pulmonary function tests) to test for outcomes.</w:t>
            </w:r>
          </w:p>
        </w:tc>
      </w:tr>
      <w:tr w:rsidR="00E06E44" w:rsidRPr="00501E76" w14:paraId="165122A5" w14:textId="77777777" w:rsidTr="00263DA6">
        <w:tc>
          <w:tcPr>
            <w:tcW w:w="1458" w:type="dxa"/>
          </w:tcPr>
          <w:p w14:paraId="57F5ABCD" w14:textId="77777777" w:rsidR="00E06E44" w:rsidRPr="00501E76" w:rsidRDefault="00E06E44" w:rsidP="00263DA6">
            <w:pPr>
              <w:keepNext/>
              <w:rPr>
                <w:rFonts w:ascii="Times New Roman" w:hAnsi="Times New Roman"/>
                <w:sz w:val="20"/>
              </w:rPr>
            </w:pPr>
            <w:r w:rsidRPr="00501E76">
              <w:rPr>
                <w:rFonts w:ascii="Times New Roman" w:hAnsi="Times New Roman"/>
                <w:sz w:val="20"/>
              </w:rPr>
              <w:t>Confounding</w:t>
            </w:r>
          </w:p>
        </w:tc>
        <w:tc>
          <w:tcPr>
            <w:tcW w:w="1530" w:type="dxa"/>
          </w:tcPr>
          <w:p w14:paraId="06CCB416" w14:textId="77777777" w:rsidR="00E06E44" w:rsidRPr="00501E76" w:rsidRDefault="00E06E44" w:rsidP="00263DA6">
            <w:pPr>
              <w:keepNext/>
              <w:rPr>
                <w:rFonts w:ascii="Times New Roman" w:hAnsi="Times New Roman"/>
                <w:sz w:val="20"/>
              </w:rPr>
            </w:pPr>
            <w:r w:rsidRPr="00501E76">
              <w:rPr>
                <w:rFonts w:ascii="Times New Roman" w:hAnsi="Times New Roman"/>
                <w:sz w:val="20"/>
              </w:rPr>
              <w:t>High</w:t>
            </w:r>
          </w:p>
        </w:tc>
        <w:tc>
          <w:tcPr>
            <w:tcW w:w="5868" w:type="dxa"/>
          </w:tcPr>
          <w:p w14:paraId="762576F2"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 xml:space="preserve">Only age and smoking were described. The results are descriptive, with no analyses accounting for confounders. </w:t>
            </w:r>
          </w:p>
        </w:tc>
      </w:tr>
      <w:tr w:rsidR="00E06E44" w:rsidRPr="00501E76" w14:paraId="5509BF2D" w14:textId="77777777" w:rsidTr="00263DA6">
        <w:tc>
          <w:tcPr>
            <w:tcW w:w="1458" w:type="dxa"/>
          </w:tcPr>
          <w:p w14:paraId="41AAC9D1" w14:textId="77777777" w:rsidR="00E06E44" w:rsidRPr="00501E76" w:rsidRDefault="00E06E44" w:rsidP="00263DA6">
            <w:pPr>
              <w:keepNext/>
              <w:rPr>
                <w:rFonts w:ascii="Times New Roman" w:hAnsi="Times New Roman"/>
                <w:sz w:val="20"/>
              </w:rPr>
            </w:pPr>
            <w:r w:rsidRPr="00501E76">
              <w:rPr>
                <w:rFonts w:ascii="Times New Roman" w:hAnsi="Times New Roman"/>
                <w:sz w:val="20"/>
              </w:rPr>
              <w:t>Incomplete outcome data</w:t>
            </w:r>
          </w:p>
        </w:tc>
        <w:tc>
          <w:tcPr>
            <w:tcW w:w="1530" w:type="dxa"/>
          </w:tcPr>
          <w:p w14:paraId="500D2167" w14:textId="77777777" w:rsidR="00E06E44" w:rsidRPr="00501E76" w:rsidRDefault="00E06E44" w:rsidP="00263DA6">
            <w:pPr>
              <w:keepNext/>
              <w:rPr>
                <w:rFonts w:ascii="Times New Roman" w:hAnsi="Times New Roman"/>
                <w:sz w:val="20"/>
              </w:rPr>
            </w:pPr>
            <w:r w:rsidRPr="00501E76">
              <w:rPr>
                <w:rFonts w:ascii="Times New Roman" w:hAnsi="Times New Roman"/>
                <w:sz w:val="20"/>
              </w:rPr>
              <w:t>Low</w:t>
            </w:r>
          </w:p>
        </w:tc>
        <w:tc>
          <w:tcPr>
            <w:tcW w:w="5868" w:type="dxa"/>
          </w:tcPr>
          <w:p w14:paraId="22C75B64"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Case reports were all described and details of the 28 workers were presented.</w:t>
            </w:r>
          </w:p>
        </w:tc>
      </w:tr>
      <w:tr w:rsidR="00E06E44" w:rsidRPr="00501E76" w14:paraId="2AF7EB77" w14:textId="77777777" w:rsidTr="00263DA6">
        <w:trPr>
          <w:trHeight w:val="981"/>
        </w:trPr>
        <w:tc>
          <w:tcPr>
            <w:tcW w:w="1458" w:type="dxa"/>
          </w:tcPr>
          <w:p w14:paraId="71F815DC" w14:textId="77777777" w:rsidR="00E06E44" w:rsidRPr="00501E76" w:rsidRDefault="00E06E44" w:rsidP="00263DA6">
            <w:pPr>
              <w:keepNext/>
              <w:rPr>
                <w:rFonts w:ascii="Times New Roman" w:hAnsi="Times New Roman"/>
                <w:sz w:val="20"/>
              </w:rPr>
            </w:pPr>
            <w:r w:rsidRPr="00501E76">
              <w:rPr>
                <w:rFonts w:ascii="Times New Roman" w:hAnsi="Times New Roman"/>
                <w:sz w:val="20"/>
              </w:rPr>
              <w:t>Exposure assessment</w:t>
            </w:r>
          </w:p>
        </w:tc>
        <w:tc>
          <w:tcPr>
            <w:tcW w:w="1530" w:type="dxa"/>
          </w:tcPr>
          <w:p w14:paraId="556B8412" w14:textId="77777777" w:rsidR="00E06E44" w:rsidRPr="00501E76" w:rsidRDefault="00E06E44" w:rsidP="00263DA6">
            <w:pPr>
              <w:keepNext/>
              <w:spacing w:before="2" w:after="2"/>
              <w:rPr>
                <w:rFonts w:ascii="Times New Roman" w:hAnsi="Times New Roman"/>
                <w:sz w:val="20"/>
              </w:rPr>
            </w:pPr>
            <w:r w:rsidRPr="00501E76">
              <w:rPr>
                <w:rFonts w:ascii="Times New Roman" w:hAnsi="Times New Roman"/>
                <w:sz w:val="20"/>
              </w:rPr>
              <w:t>Probably high</w:t>
            </w:r>
          </w:p>
        </w:tc>
        <w:tc>
          <w:tcPr>
            <w:tcW w:w="5868" w:type="dxa"/>
          </w:tcPr>
          <w:p w14:paraId="18B676CA"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 xml:space="preserve">There are no measured formaldehyde exposure levels in this study. Exposure status defined by being at the workplace. There is no doubt that everyone was exposed, and thus differential exposure assessment is unlikely. </w:t>
            </w:r>
          </w:p>
        </w:tc>
      </w:tr>
      <w:tr w:rsidR="00E06E44" w:rsidRPr="00501E76" w14:paraId="746496C7" w14:textId="77777777" w:rsidTr="00263DA6">
        <w:tc>
          <w:tcPr>
            <w:tcW w:w="1458" w:type="dxa"/>
          </w:tcPr>
          <w:p w14:paraId="04110408" w14:textId="77777777" w:rsidR="00E06E44" w:rsidRPr="00501E76" w:rsidRDefault="00E06E44" w:rsidP="00263DA6">
            <w:pPr>
              <w:keepNext/>
              <w:rPr>
                <w:rFonts w:ascii="Times New Roman" w:hAnsi="Times New Roman"/>
                <w:sz w:val="20"/>
              </w:rPr>
            </w:pPr>
            <w:r w:rsidRPr="00501E76">
              <w:rPr>
                <w:rFonts w:ascii="Times New Roman" w:hAnsi="Times New Roman"/>
                <w:sz w:val="20"/>
              </w:rPr>
              <w:t>Selective outcome reporting</w:t>
            </w:r>
          </w:p>
        </w:tc>
        <w:tc>
          <w:tcPr>
            <w:tcW w:w="1530" w:type="dxa"/>
          </w:tcPr>
          <w:p w14:paraId="1BD46B8B" w14:textId="77777777" w:rsidR="00E06E44" w:rsidRPr="00501E76" w:rsidRDefault="00E06E44" w:rsidP="00263DA6">
            <w:pPr>
              <w:keepNext/>
              <w:rPr>
                <w:rFonts w:ascii="Times New Roman" w:hAnsi="Times New Roman"/>
                <w:sz w:val="20"/>
              </w:rPr>
            </w:pPr>
            <w:r w:rsidRPr="00501E76">
              <w:rPr>
                <w:rFonts w:ascii="Times New Roman" w:hAnsi="Times New Roman"/>
                <w:sz w:val="20"/>
              </w:rPr>
              <w:t>Low</w:t>
            </w:r>
          </w:p>
        </w:tc>
        <w:tc>
          <w:tcPr>
            <w:tcW w:w="5868" w:type="dxa"/>
          </w:tcPr>
          <w:p w14:paraId="3F2E75A8" w14:textId="77777777" w:rsidR="00E06E44" w:rsidRPr="00501E76" w:rsidRDefault="00E06E44" w:rsidP="00263DA6">
            <w:pPr>
              <w:rPr>
                <w:rFonts w:ascii="Times New Roman" w:hAnsi="Times New Roman"/>
                <w:color w:val="000000"/>
                <w:sz w:val="20"/>
                <w:szCs w:val="22"/>
              </w:rPr>
            </w:pPr>
            <w:proofErr w:type="gramStart"/>
            <w:r w:rsidRPr="00501E76">
              <w:rPr>
                <w:rFonts w:ascii="Times New Roman" w:hAnsi="Times New Roman"/>
                <w:color w:val="000000"/>
                <w:sz w:val="20"/>
                <w:szCs w:val="22"/>
              </w:rPr>
              <w:t>All of</w:t>
            </w:r>
            <w:proofErr w:type="gramEnd"/>
            <w:r w:rsidRPr="00501E76">
              <w:rPr>
                <w:rFonts w:ascii="Times New Roman" w:hAnsi="Times New Roman"/>
                <w:color w:val="000000"/>
                <w:sz w:val="20"/>
                <w:szCs w:val="22"/>
              </w:rPr>
              <w:t xml:space="preserve"> the published manuscript's outcomes outlined in the methods, abstract, and/or introduction section that are of interest in the review have been reported in the specified way.</w:t>
            </w:r>
          </w:p>
        </w:tc>
      </w:tr>
      <w:tr w:rsidR="00E06E44" w:rsidRPr="00501E76" w14:paraId="01BFC915" w14:textId="77777777" w:rsidTr="00263DA6">
        <w:tc>
          <w:tcPr>
            <w:tcW w:w="1458" w:type="dxa"/>
          </w:tcPr>
          <w:p w14:paraId="51F94DF2" w14:textId="77777777" w:rsidR="00E06E44" w:rsidRPr="00501E76" w:rsidRDefault="00E06E44" w:rsidP="00263DA6">
            <w:pPr>
              <w:keepNext/>
              <w:rPr>
                <w:rFonts w:ascii="Times New Roman" w:hAnsi="Times New Roman"/>
                <w:sz w:val="20"/>
              </w:rPr>
            </w:pPr>
            <w:r w:rsidRPr="00501E76">
              <w:rPr>
                <w:rFonts w:ascii="Times New Roman" w:hAnsi="Times New Roman"/>
                <w:sz w:val="20"/>
              </w:rPr>
              <w:t>Conflict of interest</w:t>
            </w:r>
          </w:p>
        </w:tc>
        <w:tc>
          <w:tcPr>
            <w:tcW w:w="1530" w:type="dxa"/>
          </w:tcPr>
          <w:p w14:paraId="64302E47" w14:textId="77777777" w:rsidR="00E06E44" w:rsidRPr="00501E76" w:rsidRDefault="00E06E44" w:rsidP="00263DA6">
            <w:pPr>
              <w:keepNext/>
              <w:rPr>
                <w:rFonts w:ascii="Times New Roman" w:hAnsi="Times New Roman"/>
                <w:sz w:val="20"/>
              </w:rPr>
            </w:pPr>
            <w:r w:rsidRPr="00501E76">
              <w:rPr>
                <w:rFonts w:ascii="Times New Roman" w:hAnsi="Times New Roman"/>
                <w:sz w:val="20"/>
              </w:rPr>
              <w:t>Probably high</w:t>
            </w:r>
          </w:p>
        </w:tc>
        <w:tc>
          <w:tcPr>
            <w:tcW w:w="5868" w:type="dxa"/>
          </w:tcPr>
          <w:p w14:paraId="276C532E"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The authors' affiliation is the hospital in the study. The study appeared to have been funded by the employer who may have a financial stake in the outcome - if there are very high exposures or health outcomes identified there will need to be action taken which can be costly to address the exposures.</w:t>
            </w:r>
          </w:p>
        </w:tc>
      </w:tr>
      <w:tr w:rsidR="00E06E44" w:rsidRPr="00501E76" w14:paraId="202D39E4" w14:textId="77777777" w:rsidTr="00263DA6">
        <w:trPr>
          <w:trHeight w:val="684"/>
        </w:trPr>
        <w:tc>
          <w:tcPr>
            <w:tcW w:w="1458" w:type="dxa"/>
          </w:tcPr>
          <w:p w14:paraId="3591D50A" w14:textId="77777777" w:rsidR="00E06E44" w:rsidRPr="00501E76" w:rsidRDefault="00E06E44" w:rsidP="00263DA6">
            <w:pPr>
              <w:keepNext/>
              <w:rPr>
                <w:rFonts w:ascii="Times New Roman" w:hAnsi="Times New Roman"/>
                <w:sz w:val="20"/>
              </w:rPr>
            </w:pPr>
            <w:r w:rsidRPr="00501E76">
              <w:rPr>
                <w:rFonts w:ascii="Times New Roman" w:hAnsi="Times New Roman"/>
                <w:sz w:val="20"/>
              </w:rPr>
              <w:t>Other sources of bias</w:t>
            </w:r>
          </w:p>
        </w:tc>
        <w:tc>
          <w:tcPr>
            <w:tcW w:w="1530" w:type="dxa"/>
          </w:tcPr>
          <w:p w14:paraId="36A6B322" w14:textId="77777777" w:rsidR="00E06E44" w:rsidRPr="00501E76" w:rsidRDefault="00E06E44" w:rsidP="00263DA6">
            <w:pPr>
              <w:keepNext/>
              <w:rPr>
                <w:rFonts w:ascii="Times New Roman" w:hAnsi="Times New Roman"/>
                <w:sz w:val="20"/>
              </w:rPr>
            </w:pPr>
            <w:r w:rsidRPr="00501E76">
              <w:rPr>
                <w:rFonts w:ascii="Times New Roman" w:hAnsi="Times New Roman"/>
                <w:sz w:val="20"/>
              </w:rPr>
              <w:t>Probably high</w:t>
            </w:r>
          </w:p>
        </w:tc>
        <w:tc>
          <w:tcPr>
            <w:tcW w:w="5868" w:type="dxa"/>
          </w:tcPr>
          <w:p w14:paraId="3432E94F" w14:textId="77777777" w:rsidR="00E06E44" w:rsidRPr="00501E76" w:rsidRDefault="00E06E44" w:rsidP="00263DA6">
            <w:pPr>
              <w:rPr>
                <w:rFonts w:ascii="Times New Roman" w:hAnsi="Times New Roman"/>
                <w:color w:val="000000"/>
                <w:sz w:val="20"/>
                <w:szCs w:val="22"/>
              </w:rPr>
            </w:pPr>
            <w:r w:rsidRPr="00501E76">
              <w:rPr>
                <w:rFonts w:ascii="Times New Roman" w:hAnsi="Times New Roman"/>
                <w:color w:val="000000"/>
                <w:sz w:val="20"/>
                <w:szCs w:val="22"/>
              </w:rPr>
              <w:t xml:space="preserve">Subjects were staff members in a </w:t>
            </w:r>
            <w:proofErr w:type="spellStart"/>
            <w:r w:rsidRPr="00501E76">
              <w:rPr>
                <w:rFonts w:ascii="Times New Roman" w:hAnsi="Times New Roman"/>
                <w:color w:val="000000"/>
                <w:sz w:val="20"/>
                <w:szCs w:val="22"/>
              </w:rPr>
              <w:t>haemodialysis</w:t>
            </w:r>
            <w:proofErr w:type="spellEnd"/>
            <w:r w:rsidRPr="00501E76">
              <w:rPr>
                <w:rFonts w:ascii="Times New Roman" w:hAnsi="Times New Roman"/>
                <w:color w:val="000000"/>
                <w:sz w:val="20"/>
                <w:szCs w:val="22"/>
              </w:rPr>
              <w:t xml:space="preserve"> unit exposed to high levels of formaldehyde used to sterilize artificial kidneys. While individuals were included with asthma symptoms, some of the most affected could have left the job prior to the study taking place, thus introducing a healthy worker bias</w:t>
            </w:r>
            <w:r>
              <w:rPr>
                <w:rFonts w:ascii="Times New Roman" w:hAnsi="Times New Roman"/>
                <w:color w:val="000000"/>
                <w:sz w:val="20"/>
                <w:szCs w:val="22"/>
              </w:rPr>
              <w:t>, which would likely bias the results towards the null</w:t>
            </w:r>
            <w:r w:rsidRPr="00501E76">
              <w:rPr>
                <w:rFonts w:ascii="Times New Roman" w:hAnsi="Times New Roman"/>
                <w:color w:val="000000"/>
                <w:sz w:val="20"/>
                <w:szCs w:val="22"/>
              </w:rPr>
              <w:t xml:space="preserve">. </w:t>
            </w:r>
          </w:p>
        </w:tc>
      </w:tr>
    </w:tbl>
    <w:p w14:paraId="0212B088" w14:textId="77777777" w:rsidR="00E06E44" w:rsidRPr="001B6D6D" w:rsidRDefault="00E06E44" w:rsidP="00E06E44">
      <w:pPr>
        <w:rPr>
          <w:rFonts w:ascii="Times New Roman" w:hAnsi="Times New Roman" w:cs="Times New Roman"/>
          <w:sz w:val="28"/>
          <w:szCs w:val="28"/>
        </w:rPr>
      </w:pPr>
    </w:p>
    <w:p w14:paraId="220AF693" w14:textId="77777777" w:rsidR="00E06E44" w:rsidRDefault="00E06E44" w:rsidP="00E06E44">
      <w:pPr>
        <w:rPr>
          <w:rFonts w:ascii="Times New Roman" w:hAnsi="Times New Roman" w:cs="Times New Roman"/>
          <w:sz w:val="28"/>
          <w:szCs w:val="28"/>
        </w:rPr>
      </w:pPr>
      <w:r w:rsidRPr="001B6D6D">
        <w:rPr>
          <w:rFonts w:ascii="Times New Roman" w:hAnsi="Times New Roman" w:cs="Times New Roman"/>
          <w:sz w:val="28"/>
          <w:szCs w:val="28"/>
        </w:rPr>
        <w:t xml:space="preserve"> </w:t>
      </w:r>
    </w:p>
    <w:p w14:paraId="19A21C7B" w14:textId="77777777" w:rsidR="00E06E44" w:rsidRDefault="00E06E44" w:rsidP="00E06E44">
      <w:pPr>
        <w:rPr>
          <w:rFonts w:ascii="Times New Roman" w:hAnsi="Times New Roman" w:cs="Times New Roman"/>
          <w:sz w:val="28"/>
          <w:szCs w:val="28"/>
        </w:rPr>
      </w:pPr>
    </w:p>
    <w:p w14:paraId="7B2B5234" w14:textId="77777777" w:rsidR="00E06E44" w:rsidRDefault="00E06E44" w:rsidP="00E06E44">
      <w:pPr>
        <w:rPr>
          <w:rFonts w:ascii="Times New Roman" w:hAnsi="Times New Roman" w:cs="Times New Roman"/>
          <w:sz w:val="28"/>
          <w:szCs w:val="28"/>
        </w:rPr>
      </w:pPr>
    </w:p>
    <w:p w14:paraId="47FD8595" w14:textId="77777777" w:rsidR="00E06E44" w:rsidRDefault="00E06E44"/>
    <w:sectPr w:rsidR="00E06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44"/>
    <w:rsid w:val="00DF4A2E"/>
    <w:rsid w:val="00E06E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CE93"/>
  <w15:chartTrackingRefBased/>
  <w15:docId w15:val="{DD9C5422-3B86-459F-9D43-1B2B6DCA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06E44"/>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0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Vundavalli Divya</cp:lastModifiedBy>
  <cp:revision>2</cp:revision>
  <dcterms:created xsi:type="dcterms:W3CDTF">2021-03-06T04:31:00Z</dcterms:created>
  <dcterms:modified xsi:type="dcterms:W3CDTF">2021-03-12T14:41:00Z</dcterms:modified>
</cp:coreProperties>
</file>