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9415" w14:textId="77777777" w:rsidR="00A65C3D" w:rsidRPr="001B6D6D" w:rsidRDefault="00A65C3D" w:rsidP="00A65C3D">
      <w:pPr>
        <w:rPr>
          <w:rFonts w:ascii="Times New Roman" w:hAnsi="Times New Roman" w:cs="Times New Roman"/>
          <w:sz w:val="28"/>
          <w:szCs w:val="28"/>
        </w:rPr>
      </w:pPr>
      <w:bookmarkStart w:id="0" w:name="_GoBack"/>
      <w:bookmarkEnd w:id="0"/>
      <w:r w:rsidRPr="001B6D6D">
        <w:rPr>
          <w:rFonts w:ascii="Times New Roman" w:hAnsi="Times New Roman" w:cs="Times New Roman"/>
          <w:sz w:val="28"/>
          <w:szCs w:val="28"/>
        </w:rPr>
        <w:t>Supplemental Materials, Table 27. Characteristics of Frisk et al. 2009</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A65C3D" w:rsidRPr="00501E76" w14:paraId="4706E109" w14:textId="77777777" w:rsidTr="00263DA6">
        <w:tc>
          <w:tcPr>
            <w:tcW w:w="1458" w:type="dxa"/>
            <w:tcBorders>
              <w:top w:val="single" w:sz="4" w:space="0" w:color="auto"/>
              <w:bottom w:val="single" w:sz="4" w:space="0" w:color="auto"/>
            </w:tcBorders>
            <w:shd w:val="clear" w:color="auto" w:fill="auto"/>
          </w:tcPr>
          <w:p w14:paraId="7B9BC783" w14:textId="77777777" w:rsidR="00A65C3D" w:rsidRPr="00501E76" w:rsidRDefault="00A65C3D" w:rsidP="00263DA6">
            <w:pPr>
              <w:keepNext/>
              <w:rPr>
                <w:rFonts w:ascii="Times New Roman" w:hAnsi="Times New Roman"/>
                <w:sz w:val="22"/>
              </w:rPr>
            </w:pPr>
            <w:r w:rsidRPr="00501E76">
              <w:rPr>
                <w:rFonts w:ascii="Times New Roman" w:hAnsi="Times New Roman"/>
                <w:sz w:val="22"/>
              </w:rPr>
              <w:t>Bias domain</w:t>
            </w:r>
          </w:p>
        </w:tc>
        <w:tc>
          <w:tcPr>
            <w:tcW w:w="1530" w:type="dxa"/>
            <w:tcBorders>
              <w:top w:val="single" w:sz="4" w:space="0" w:color="auto"/>
              <w:bottom w:val="single" w:sz="4" w:space="0" w:color="auto"/>
            </w:tcBorders>
            <w:shd w:val="clear" w:color="auto" w:fill="auto"/>
          </w:tcPr>
          <w:p w14:paraId="2241E8C0" w14:textId="77777777" w:rsidR="00A65C3D" w:rsidRPr="00501E76" w:rsidRDefault="00A65C3D" w:rsidP="00263DA6">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14:paraId="558AC07A" w14:textId="77777777" w:rsidR="00A65C3D" w:rsidRPr="00501E76" w:rsidRDefault="00A65C3D" w:rsidP="00263DA6">
            <w:pPr>
              <w:keepNext/>
              <w:rPr>
                <w:rFonts w:ascii="Times New Roman" w:hAnsi="Times New Roman"/>
                <w:sz w:val="22"/>
              </w:rPr>
            </w:pPr>
            <w:r w:rsidRPr="00501E76">
              <w:rPr>
                <w:rFonts w:ascii="Times New Roman" w:hAnsi="Times New Roman"/>
                <w:sz w:val="22"/>
              </w:rPr>
              <w:t>Support for judgment</w:t>
            </w:r>
          </w:p>
        </w:tc>
      </w:tr>
      <w:tr w:rsidR="00A65C3D" w:rsidRPr="00501E76" w14:paraId="302A9261" w14:textId="77777777" w:rsidTr="00263DA6">
        <w:tc>
          <w:tcPr>
            <w:tcW w:w="1458" w:type="dxa"/>
            <w:tcBorders>
              <w:top w:val="single" w:sz="4" w:space="0" w:color="auto"/>
            </w:tcBorders>
          </w:tcPr>
          <w:p w14:paraId="6DF3F281" w14:textId="77777777" w:rsidR="00A65C3D" w:rsidRPr="00501E76" w:rsidRDefault="00A65C3D" w:rsidP="00263DA6">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14:paraId="42AB2FB5" w14:textId="77777777" w:rsidR="00A65C3D" w:rsidRPr="00501E76" w:rsidRDefault="00A65C3D" w:rsidP="00263DA6">
            <w:pPr>
              <w:keepNext/>
              <w:rPr>
                <w:rFonts w:ascii="Times New Roman" w:hAnsi="Times New Roman"/>
                <w:sz w:val="20"/>
              </w:rPr>
            </w:pPr>
            <w:r w:rsidRPr="00501E76">
              <w:rPr>
                <w:rFonts w:ascii="Times New Roman" w:hAnsi="Times New Roman"/>
                <w:sz w:val="20"/>
              </w:rPr>
              <w:t>Probably low</w:t>
            </w:r>
          </w:p>
        </w:tc>
        <w:tc>
          <w:tcPr>
            <w:tcW w:w="5868" w:type="dxa"/>
            <w:tcBorders>
              <w:top w:val="single" w:sz="4" w:space="0" w:color="auto"/>
            </w:tcBorders>
          </w:tcPr>
          <w:p w14:paraId="3C51FB83"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 xml:space="preserve">Participants were selected from the Orebro section of the 1996 </w:t>
            </w:r>
            <w:proofErr w:type="spellStart"/>
            <w:r w:rsidRPr="00501E76">
              <w:rPr>
                <w:rFonts w:ascii="Times New Roman" w:hAnsi="Times New Roman"/>
                <w:color w:val="000000"/>
                <w:sz w:val="20"/>
                <w:szCs w:val="22"/>
              </w:rPr>
              <w:t>FinEsS</w:t>
            </w:r>
            <w:proofErr w:type="spellEnd"/>
            <w:r w:rsidRPr="00501E76">
              <w:rPr>
                <w:rFonts w:ascii="Times New Roman" w:hAnsi="Times New Roman"/>
                <w:color w:val="000000"/>
                <w:sz w:val="20"/>
                <w:szCs w:val="22"/>
              </w:rPr>
              <w:t xml:space="preserve"> study. Details of the </w:t>
            </w:r>
            <w:proofErr w:type="spellStart"/>
            <w:r w:rsidRPr="00501E76">
              <w:rPr>
                <w:rFonts w:ascii="Times New Roman" w:hAnsi="Times New Roman"/>
                <w:color w:val="000000"/>
                <w:sz w:val="20"/>
                <w:szCs w:val="22"/>
              </w:rPr>
              <w:t>FinEsS</w:t>
            </w:r>
            <w:proofErr w:type="spellEnd"/>
            <w:r w:rsidRPr="00501E76">
              <w:rPr>
                <w:rFonts w:ascii="Times New Roman" w:hAnsi="Times New Roman"/>
                <w:color w:val="000000"/>
                <w:sz w:val="20"/>
                <w:szCs w:val="22"/>
              </w:rPr>
              <w:t xml:space="preserve"> study are provided elsewhere. 49 asthma cases between ages 15-54 were recruited for an investigation of their housing and a clinical examination.</w:t>
            </w:r>
          </w:p>
        </w:tc>
      </w:tr>
      <w:tr w:rsidR="00A65C3D" w:rsidRPr="00501E76" w14:paraId="22CDA70F" w14:textId="77777777" w:rsidTr="00263DA6">
        <w:tc>
          <w:tcPr>
            <w:tcW w:w="1458" w:type="dxa"/>
          </w:tcPr>
          <w:p w14:paraId="6C3E5925" w14:textId="77777777" w:rsidR="00A65C3D" w:rsidRPr="00501E76" w:rsidRDefault="00A65C3D" w:rsidP="00263DA6">
            <w:pPr>
              <w:keepNext/>
              <w:rPr>
                <w:rFonts w:ascii="Times New Roman" w:hAnsi="Times New Roman"/>
                <w:sz w:val="20"/>
              </w:rPr>
            </w:pPr>
            <w:r w:rsidRPr="00501E76">
              <w:rPr>
                <w:rFonts w:ascii="Times New Roman" w:hAnsi="Times New Roman"/>
                <w:sz w:val="20"/>
              </w:rPr>
              <w:t>Blinding</w:t>
            </w:r>
          </w:p>
        </w:tc>
        <w:tc>
          <w:tcPr>
            <w:tcW w:w="1530" w:type="dxa"/>
          </w:tcPr>
          <w:p w14:paraId="2EEECC57" w14:textId="77777777" w:rsidR="00A65C3D" w:rsidRPr="00501E76" w:rsidRDefault="00A65C3D" w:rsidP="00263DA6">
            <w:pPr>
              <w:keepNext/>
              <w:rPr>
                <w:rFonts w:ascii="Times New Roman" w:hAnsi="Times New Roman"/>
                <w:sz w:val="20"/>
              </w:rPr>
            </w:pPr>
            <w:r w:rsidRPr="00501E76">
              <w:rPr>
                <w:rFonts w:ascii="Times New Roman" w:hAnsi="Times New Roman"/>
                <w:sz w:val="20"/>
              </w:rPr>
              <w:t>Probably low</w:t>
            </w:r>
          </w:p>
        </w:tc>
        <w:tc>
          <w:tcPr>
            <w:tcW w:w="5868" w:type="dxa"/>
          </w:tcPr>
          <w:p w14:paraId="1A21EEAA"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No discussion on investigator blinding. All participants had asthma so that outcome was already known by investigators. Home inspections and clinical investigations who knew exposure risks may not have been blinded in measuring lung function outcomes, so there is potential for bias since blinding is not explicitly discussed.</w:t>
            </w:r>
          </w:p>
        </w:tc>
      </w:tr>
      <w:tr w:rsidR="00A65C3D" w:rsidRPr="00501E76" w14:paraId="3E6E9E80" w14:textId="77777777" w:rsidTr="00263DA6">
        <w:tc>
          <w:tcPr>
            <w:tcW w:w="1458" w:type="dxa"/>
          </w:tcPr>
          <w:p w14:paraId="468E9FDF" w14:textId="77777777" w:rsidR="00A65C3D" w:rsidRPr="00501E76" w:rsidRDefault="00A65C3D" w:rsidP="00263DA6">
            <w:pPr>
              <w:keepNext/>
              <w:rPr>
                <w:rFonts w:ascii="Times New Roman" w:hAnsi="Times New Roman"/>
                <w:sz w:val="20"/>
              </w:rPr>
            </w:pPr>
            <w:r w:rsidRPr="00501E76">
              <w:rPr>
                <w:rFonts w:ascii="Times New Roman" w:hAnsi="Times New Roman"/>
                <w:sz w:val="20"/>
              </w:rPr>
              <w:t>Outcome assessment</w:t>
            </w:r>
          </w:p>
        </w:tc>
        <w:tc>
          <w:tcPr>
            <w:tcW w:w="1530" w:type="dxa"/>
          </w:tcPr>
          <w:p w14:paraId="68981B68" w14:textId="77777777" w:rsidR="00A65C3D" w:rsidRPr="00501E76" w:rsidRDefault="00A65C3D" w:rsidP="00263DA6">
            <w:pPr>
              <w:keepNext/>
              <w:rPr>
                <w:rFonts w:ascii="Times New Roman" w:hAnsi="Times New Roman"/>
                <w:sz w:val="20"/>
              </w:rPr>
            </w:pPr>
            <w:r w:rsidRPr="00501E76">
              <w:rPr>
                <w:rFonts w:ascii="Times New Roman" w:hAnsi="Times New Roman"/>
                <w:sz w:val="20"/>
              </w:rPr>
              <w:t>Low</w:t>
            </w:r>
          </w:p>
        </w:tc>
        <w:tc>
          <w:tcPr>
            <w:tcW w:w="5868" w:type="dxa"/>
          </w:tcPr>
          <w:p w14:paraId="2E60461D"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Subjects were persons with asthma (identified as having answered positively to four questions about physician-diagnosed asthma, current use of asthma medication, attacks of breathlessness, and episodes of wheezing). An expanded lung function test following American Thoracic Society Standards was performed. Three expiratory measurements were performed by trained nurses using a calibrated spirometer. The best of the three measurements was used for FEV1 and PEF. Bronchial responsiveness was tested through a methacholine challenge test and performed using a Vitalograph1 spirometer, calibrated daily. Bronchial provocation tests were performed in 39 of the 49 subjects.</w:t>
            </w:r>
          </w:p>
        </w:tc>
      </w:tr>
      <w:tr w:rsidR="00A65C3D" w:rsidRPr="00501E76" w14:paraId="3176D4D9" w14:textId="77777777" w:rsidTr="00263DA6">
        <w:tc>
          <w:tcPr>
            <w:tcW w:w="1458" w:type="dxa"/>
          </w:tcPr>
          <w:p w14:paraId="34C377C8" w14:textId="77777777" w:rsidR="00A65C3D" w:rsidRPr="00501E76" w:rsidRDefault="00A65C3D" w:rsidP="00263DA6">
            <w:pPr>
              <w:keepNext/>
              <w:rPr>
                <w:rFonts w:ascii="Times New Roman" w:hAnsi="Times New Roman"/>
                <w:sz w:val="20"/>
              </w:rPr>
            </w:pPr>
            <w:r w:rsidRPr="00501E76">
              <w:rPr>
                <w:rFonts w:ascii="Times New Roman" w:hAnsi="Times New Roman"/>
                <w:sz w:val="20"/>
              </w:rPr>
              <w:t>Confounding</w:t>
            </w:r>
          </w:p>
        </w:tc>
        <w:tc>
          <w:tcPr>
            <w:tcW w:w="1530" w:type="dxa"/>
          </w:tcPr>
          <w:p w14:paraId="49D700FB" w14:textId="77777777" w:rsidR="00A65C3D" w:rsidRPr="00501E76" w:rsidRDefault="00A65C3D" w:rsidP="00263DA6">
            <w:pPr>
              <w:keepNext/>
              <w:rPr>
                <w:rFonts w:ascii="Times New Roman" w:hAnsi="Times New Roman"/>
                <w:sz w:val="20"/>
              </w:rPr>
            </w:pPr>
            <w:r w:rsidRPr="00501E76">
              <w:rPr>
                <w:rFonts w:ascii="Times New Roman" w:hAnsi="Times New Roman"/>
                <w:sz w:val="20"/>
              </w:rPr>
              <w:t>Probably high</w:t>
            </w:r>
          </w:p>
        </w:tc>
        <w:tc>
          <w:tcPr>
            <w:tcW w:w="5868" w:type="dxa"/>
          </w:tcPr>
          <w:p w14:paraId="584D8868"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 xml:space="preserve">The researchers performed measures of Tier I and some Tier II confounders. However, the analyses only accounted for water content, moisture content, CO2 and dust mites. The authors indicate that they did not control for asthma medication use prior to the clinical exams. </w:t>
            </w:r>
          </w:p>
        </w:tc>
      </w:tr>
      <w:tr w:rsidR="00A65C3D" w:rsidRPr="00501E76" w14:paraId="093C2FEF" w14:textId="77777777" w:rsidTr="00263DA6">
        <w:tc>
          <w:tcPr>
            <w:tcW w:w="1458" w:type="dxa"/>
          </w:tcPr>
          <w:p w14:paraId="36D06538" w14:textId="77777777" w:rsidR="00A65C3D" w:rsidRPr="00501E76" w:rsidRDefault="00A65C3D" w:rsidP="00263DA6">
            <w:pPr>
              <w:keepNext/>
              <w:rPr>
                <w:rFonts w:ascii="Times New Roman" w:hAnsi="Times New Roman"/>
                <w:sz w:val="20"/>
              </w:rPr>
            </w:pPr>
            <w:r w:rsidRPr="00501E76">
              <w:rPr>
                <w:rFonts w:ascii="Times New Roman" w:hAnsi="Times New Roman"/>
                <w:sz w:val="20"/>
              </w:rPr>
              <w:t>Incomplete outcome data</w:t>
            </w:r>
          </w:p>
        </w:tc>
        <w:tc>
          <w:tcPr>
            <w:tcW w:w="1530" w:type="dxa"/>
          </w:tcPr>
          <w:p w14:paraId="73C7EDC2" w14:textId="77777777" w:rsidR="00A65C3D" w:rsidRPr="00501E76" w:rsidRDefault="00A65C3D" w:rsidP="00263DA6">
            <w:pPr>
              <w:keepNext/>
              <w:rPr>
                <w:rFonts w:ascii="Times New Roman" w:hAnsi="Times New Roman"/>
                <w:sz w:val="20"/>
              </w:rPr>
            </w:pPr>
            <w:r w:rsidRPr="00501E76">
              <w:rPr>
                <w:rFonts w:ascii="Times New Roman" w:hAnsi="Times New Roman"/>
                <w:sz w:val="20"/>
              </w:rPr>
              <w:t>Low</w:t>
            </w:r>
          </w:p>
        </w:tc>
        <w:tc>
          <w:tcPr>
            <w:tcW w:w="5868" w:type="dxa"/>
          </w:tcPr>
          <w:p w14:paraId="57F91234"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The authors lead us to believe that complete data were used in the study.</w:t>
            </w:r>
          </w:p>
        </w:tc>
      </w:tr>
      <w:tr w:rsidR="00A65C3D" w:rsidRPr="00501E76" w14:paraId="08312846" w14:textId="77777777" w:rsidTr="00263DA6">
        <w:trPr>
          <w:trHeight w:val="981"/>
        </w:trPr>
        <w:tc>
          <w:tcPr>
            <w:tcW w:w="1458" w:type="dxa"/>
          </w:tcPr>
          <w:p w14:paraId="65078B89" w14:textId="77777777" w:rsidR="00A65C3D" w:rsidRPr="00501E76" w:rsidRDefault="00A65C3D" w:rsidP="00263DA6">
            <w:pPr>
              <w:keepNext/>
              <w:rPr>
                <w:rFonts w:ascii="Times New Roman" w:hAnsi="Times New Roman"/>
                <w:sz w:val="20"/>
              </w:rPr>
            </w:pPr>
            <w:r w:rsidRPr="00501E76">
              <w:rPr>
                <w:rFonts w:ascii="Times New Roman" w:hAnsi="Times New Roman"/>
                <w:sz w:val="20"/>
              </w:rPr>
              <w:t>Exposure assessment</w:t>
            </w:r>
          </w:p>
        </w:tc>
        <w:tc>
          <w:tcPr>
            <w:tcW w:w="1530" w:type="dxa"/>
          </w:tcPr>
          <w:p w14:paraId="6D80EAF2" w14:textId="77777777" w:rsidR="00A65C3D" w:rsidRPr="00501E76" w:rsidRDefault="00A65C3D" w:rsidP="00263DA6">
            <w:pPr>
              <w:keepNext/>
              <w:spacing w:before="2" w:after="2"/>
              <w:rPr>
                <w:rFonts w:ascii="Times New Roman" w:hAnsi="Times New Roman"/>
                <w:sz w:val="20"/>
              </w:rPr>
            </w:pPr>
            <w:r w:rsidRPr="00501E76">
              <w:rPr>
                <w:rFonts w:ascii="Times New Roman" w:hAnsi="Times New Roman"/>
                <w:sz w:val="20"/>
              </w:rPr>
              <w:t>Probably low</w:t>
            </w:r>
          </w:p>
        </w:tc>
        <w:tc>
          <w:tcPr>
            <w:tcW w:w="5868" w:type="dxa"/>
          </w:tcPr>
          <w:p w14:paraId="05C24080"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 xml:space="preserve">Formaldehyde was measured over a </w:t>
            </w:r>
            <w:proofErr w:type="gramStart"/>
            <w:r w:rsidRPr="00501E76">
              <w:rPr>
                <w:rFonts w:ascii="Times New Roman" w:hAnsi="Times New Roman"/>
                <w:color w:val="000000"/>
                <w:sz w:val="20"/>
                <w:szCs w:val="22"/>
              </w:rPr>
              <w:t>24 hour</w:t>
            </w:r>
            <w:proofErr w:type="gramEnd"/>
            <w:r w:rsidRPr="00501E76">
              <w:rPr>
                <w:rFonts w:ascii="Times New Roman" w:hAnsi="Times New Roman"/>
                <w:color w:val="000000"/>
                <w:sz w:val="20"/>
                <w:szCs w:val="22"/>
              </w:rPr>
              <w:t xml:space="preserve"> period by diffusion and analyzed by HPLC. No details were provided on QA/QC.</w:t>
            </w:r>
          </w:p>
        </w:tc>
      </w:tr>
      <w:tr w:rsidR="00A65C3D" w:rsidRPr="00501E76" w14:paraId="6E234CCB" w14:textId="77777777" w:rsidTr="00263DA6">
        <w:tc>
          <w:tcPr>
            <w:tcW w:w="1458" w:type="dxa"/>
          </w:tcPr>
          <w:p w14:paraId="60E2BAA1" w14:textId="77777777" w:rsidR="00A65C3D" w:rsidRPr="00501E76" w:rsidRDefault="00A65C3D" w:rsidP="00263DA6">
            <w:pPr>
              <w:keepNext/>
              <w:rPr>
                <w:rFonts w:ascii="Times New Roman" w:hAnsi="Times New Roman"/>
                <w:sz w:val="20"/>
              </w:rPr>
            </w:pPr>
            <w:r w:rsidRPr="00501E76">
              <w:rPr>
                <w:rFonts w:ascii="Times New Roman" w:hAnsi="Times New Roman"/>
                <w:sz w:val="20"/>
              </w:rPr>
              <w:t>Selective outcome reporting</w:t>
            </w:r>
          </w:p>
        </w:tc>
        <w:tc>
          <w:tcPr>
            <w:tcW w:w="1530" w:type="dxa"/>
          </w:tcPr>
          <w:p w14:paraId="751E8AFA" w14:textId="77777777" w:rsidR="00A65C3D" w:rsidRPr="00501E76" w:rsidRDefault="00A65C3D" w:rsidP="00263DA6">
            <w:pPr>
              <w:keepNext/>
              <w:rPr>
                <w:rFonts w:ascii="Times New Roman" w:hAnsi="Times New Roman"/>
                <w:sz w:val="20"/>
              </w:rPr>
            </w:pPr>
            <w:r w:rsidRPr="00501E76">
              <w:rPr>
                <w:rFonts w:ascii="Times New Roman" w:hAnsi="Times New Roman"/>
                <w:sz w:val="20"/>
              </w:rPr>
              <w:t>Low</w:t>
            </w:r>
          </w:p>
        </w:tc>
        <w:tc>
          <w:tcPr>
            <w:tcW w:w="5868" w:type="dxa"/>
          </w:tcPr>
          <w:p w14:paraId="2FC68684"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 xml:space="preserve">All outcomes outlined in abstract and method section have been reported. </w:t>
            </w:r>
          </w:p>
        </w:tc>
      </w:tr>
      <w:tr w:rsidR="00A65C3D" w:rsidRPr="00501E76" w14:paraId="7A8E4D72" w14:textId="77777777" w:rsidTr="00263DA6">
        <w:tc>
          <w:tcPr>
            <w:tcW w:w="1458" w:type="dxa"/>
          </w:tcPr>
          <w:p w14:paraId="5B45F597" w14:textId="77777777" w:rsidR="00A65C3D" w:rsidRPr="00501E76" w:rsidRDefault="00A65C3D" w:rsidP="00263DA6">
            <w:pPr>
              <w:keepNext/>
              <w:rPr>
                <w:rFonts w:ascii="Times New Roman" w:hAnsi="Times New Roman"/>
                <w:sz w:val="20"/>
              </w:rPr>
            </w:pPr>
            <w:r w:rsidRPr="00501E76">
              <w:rPr>
                <w:rFonts w:ascii="Times New Roman" w:hAnsi="Times New Roman"/>
                <w:sz w:val="20"/>
              </w:rPr>
              <w:t>Conflict of interest</w:t>
            </w:r>
          </w:p>
        </w:tc>
        <w:tc>
          <w:tcPr>
            <w:tcW w:w="1530" w:type="dxa"/>
          </w:tcPr>
          <w:p w14:paraId="25EB86C9" w14:textId="77777777" w:rsidR="00A65C3D" w:rsidRPr="00501E76" w:rsidRDefault="00A65C3D" w:rsidP="00263DA6">
            <w:pPr>
              <w:keepNext/>
              <w:rPr>
                <w:rFonts w:ascii="Times New Roman" w:hAnsi="Times New Roman"/>
                <w:sz w:val="20"/>
              </w:rPr>
            </w:pPr>
            <w:r w:rsidRPr="00501E76">
              <w:rPr>
                <w:rFonts w:ascii="Times New Roman" w:hAnsi="Times New Roman"/>
                <w:sz w:val="20"/>
              </w:rPr>
              <w:t>Low</w:t>
            </w:r>
          </w:p>
        </w:tc>
        <w:tc>
          <w:tcPr>
            <w:tcW w:w="5868" w:type="dxa"/>
          </w:tcPr>
          <w:p w14:paraId="579E9A32"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The authors had academic affiliations and this study was supported by the Swedish Council of Building Research and by Orebro County Council Research Committee.</w:t>
            </w:r>
          </w:p>
        </w:tc>
      </w:tr>
      <w:tr w:rsidR="00A65C3D" w:rsidRPr="00501E76" w14:paraId="77CBD37C" w14:textId="77777777" w:rsidTr="00263DA6">
        <w:trPr>
          <w:trHeight w:val="549"/>
        </w:trPr>
        <w:tc>
          <w:tcPr>
            <w:tcW w:w="1458" w:type="dxa"/>
          </w:tcPr>
          <w:p w14:paraId="403E1416" w14:textId="77777777" w:rsidR="00A65C3D" w:rsidRPr="00501E76" w:rsidRDefault="00A65C3D" w:rsidP="00263DA6">
            <w:pPr>
              <w:keepNext/>
              <w:rPr>
                <w:rFonts w:ascii="Times New Roman" w:hAnsi="Times New Roman"/>
                <w:sz w:val="20"/>
              </w:rPr>
            </w:pPr>
            <w:r w:rsidRPr="00501E76">
              <w:rPr>
                <w:rFonts w:ascii="Times New Roman" w:hAnsi="Times New Roman"/>
                <w:sz w:val="20"/>
              </w:rPr>
              <w:t>Other sources of bias</w:t>
            </w:r>
          </w:p>
        </w:tc>
        <w:tc>
          <w:tcPr>
            <w:tcW w:w="1530" w:type="dxa"/>
          </w:tcPr>
          <w:p w14:paraId="28956BA2" w14:textId="77777777" w:rsidR="00A65C3D" w:rsidRPr="00501E76" w:rsidRDefault="00A65C3D" w:rsidP="00263DA6">
            <w:pPr>
              <w:keepNext/>
              <w:rPr>
                <w:rFonts w:ascii="Times New Roman" w:hAnsi="Times New Roman"/>
                <w:sz w:val="20"/>
              </w:rPr>
            </w:pPr>
            <w:r w:rsidRPr="00501E76">
              <w:rPr>
                <w:rFonts w:ascii="Times New Roman" w:hAnsi="Times New Roman"/>
                <w:sz w:val="20"/>
              </w:rPr>
              <w:t>Probably low</w:t>
            </w:r>
          </w:p>
        </w:tc>
        <w:tc>
          <w:tcPr>
            <w:tcW w:w="5868" w:type="dxa"/>
          </w:tcPr>
          <w:p w14:paraId="074EDEF3" w14:textId="77777777" w:rsidR="00A65C3D" w:rsidRPr="00501E76" w:rsidRDefault="00A65C3D" w:rsidP="00263DA6">
            <w:pPr>
              <w:rPr>
                <w:rFonts w:ascii="Times New Roman" w:hAnsi="Times New Roman"/>
                <w:color w:val="000000"/>
                <w:sz w:val="20"/>
                <w:szCs w:val="22"/>
              </w:rPr>
            </w:pPr>
            <w:r w:rsidRPr="00501E76">
              <w:rPr>
                <w:rFonts w:ascii="Times New Roman" w:hAnsi="Times New Roman"/>
                <w:color w:val="000000"/>
                <w:sz w:val="20"/>
                <w:szCs w:val="22"/>
              </w:rPr>
              <w:t>Formaldehyde was not detected above WHO cut-off levels and therefore could not be included in the analysis when comparing occurrence vs. non-occurrence. If lower cut-off levels described for sensitive persons was used, then formaldehyde would have been included.</w:t>
            </w:r>
          </w:p>
        </w:tc>
      </w:tr>
    </w:tbl>
    <w:p w14:paraId="617D39A0" w14:textId="77777777" w:rsidR="00A65C3D" w:rsidRPr="001B6D6D" w:rsidRDefault="00A65C3D" w:rsidP="00A65C3D">
      <w:pPr>
        <w:rPr>
          <w:rFonts w:ascii="Times New Roman" w:hAnsi="Times New Roman" w:cs="Times New Roman"/>
          <w:sz w:val="28"/>
          <w:szCs w:val="28"/>
        </w:rPr>
      </w:pPr>
    </w:p>
    <w:p w14:paraId="1C189973" w14:textId="77777777" w:rsidR="00A65C3D" w:rsidRDefault="00A65C3D" w:rsidP="00A65C3D">
      <w:pPr>
        <w:rPr>
          <w:rFonts w:ascii="Times New Roman" w:hAnsi="Times New Roman" w:cs="Times New Roman"/>
          <w:sz w:val="28"/>
          <w:szCs w:val="28"/>
        </w:rPr>
      </w:pPr>
    </w:p>
    <w:p w14:paraId="76C3A0F3" w14:textId="77777777" w:rsidR="00A65C3D" w:rsidRDefault="00A65C3D" w:rsidP="00A65C3D">
      <w:pPr>
        <w:rPr>
          <w:rFonts w:ascii="Times New Roman" w:hAnsi="Times New Roman" w:cs="Times New Roman"/>
          <w:sz w:val="28"/>
          <w:szCs w:val="28"/>
        </w:rPr>
      </w:pPr>
    </w:p>
    <w:p w14:paraId="4A0271C1" w14:textId="77777777" w:rsidR="00A65C3D" w:rsidRDefault="00A65C3D"/>
    <w:sectPr w:rsidR="00A65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3D"/>
    <w:rsid w:val="00305A6A"/>
    <w:rsid w:val="00A65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F30C"/>
  <w15:chartTrackingRefBased/>
  <w15:docId w15:val="{55452D56-CC93-4245-9A0B-19A88AF0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65C3D"/>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Vundavalli Divya</cp:lastModifiedBy>
  <cp:revision>2</cp:revision>
  <dcterms:created xsi:type="dcterms:W3CDTF">2021-03-06T04:30:00Z</dcterms:created>
  <dcterms:modified xsi:type="dcterms:W3CDTF">2021-03-12T14:40:00Z</dcterms:modified>
</cp:coreProperties>
</file>