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1C37E" w14:textId="77777777" w:rsidR="004F2653" w:rsidRPr="00501E76" w:rsidRDefault="004F2653" w:rsidP="004F2653">
      <w:pPr>
        <w:rPr>
          <w:rFonts w:ascii="Times New Roman" w:hAnsi="Times New Roman" w:cs="Times New Roman"/>
          <w:sz w:val="28"/>
          <w:szCs w:val="28"/>
        </w:rPr>
      </w:pPr>
      <w:r w:rsidRPr="00501E76">
        <w:rPr>
          <w:rFonts w:ascii="Times New Roman" w:hAnsi="Times New Roman" w:cs="Times New Roman"/>
          <w:sz w:val="28"/>
          <w:szCs w:val="28"/>
        </w:rPr>
        <w:t>Supplemental Materials, Table 16. Characteristics of De Vos et al. 2009</w:t>
      </w: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1458"/>
        <w:gridCol w:w="1530"/>
        <w:gridCol w:w="5868"/>
      </w:tblGrid>
      <w:tr w:rsidR="004F2653" w:rsidRPr="00501E76" w14:paraId="74FEB701" w14:textId="77777777" w:rsidTr="00263DA6">
        <w:tc>
          <w:tcPr>
            <w:tcW w:w="1458" w:type="dxa"/>
            <w:tcBorders>
              <w:top w:val="single" w:sz="4" w:space="0" w:color="auto"/>
              <w:bottom w:val="single" w:sz="4" w:space="0" w:color="auto"/>
            </w:tcBorders>
            <w:shd w:val="clear" w:color="auto" w:fill="auto"/>
          </w:tcPr>
          <w:p w14:paraId="1F65A6B2" w14:textId="77777777" w:rsidR="004F2653" w:rsidRPr="00501E76" w:rsidRDefault="004F2653" w:rsidP="00263DA6">
            <w:pPr>
              <w:keepNext/>
              <w:rPr>
                <w:rFonts w:ascii="Times New Roman" w:hAnsi="Times New Roman"/>
                <w:sz w:val="22"/>
              </w:rPr>
            </w:pPr>
            <w:r w:rsidRPr="00501E76">
              <w:rPr>
                <w:rFonts w:ascii="Times New Roman" w:hAnsi="Times New Roman"/>
                <w:sz w:val="22"/>
              </w:rPr>
              <w:t>Bias domain</w:t>
            </w:r>
          </w:p>
        </w:tc>
        <w:tc>
          <w:tcPr>
            <w:tcW w:w="1530" w:type="dxa"/>
            <w:tcBorders>
              <w:top w:val="single" w:sz="4" w:space="0" w:color="auto"/>
              <w:bottom w:val="single" w:sz="4" w:space="0" w:color="auto"/>
            </w:tcBorders>
            <w:shd w:val="clear" w:color="auto" w:fill="auto"/>
          </w:tcPr>
          <w:p w14:paraId="19B8C00D" w14:textId="77777777" w:rsidR="004F2653" w:rsidRPr="00501E76" w:rsidRDefault="004F2653" w:rsidP="00263DA6">
            <w:pPr>
              <w:keepNext/>
              <w:rPr>
                <w:rFonts w:ascii="Times New Roman" w:hAnsi="Times New Roman"/>
                <w:sz w:val="22"/>
              </w:rPr>
            </w:pPr>
            <w:r w:rsidRPr="00501E76">
              <w:rPr>
                <w:rFonts w:ascii="Times New Roman" w:hAnsi="Times New Roman"/>
                <w:sz w:val="22"/>
              </w:rPr>
              <w:t>Authors’ judgment</w:t>
            </w:r>
          </w:p>
        </w:tc>
        <w:tc>
          <w:tcPr>
            <w:tcW w:w="5868" w:type="dxa"/>
            <w:tcBorders>
              <w:top w:val="single" w:sz="4" w:space="0" w:color="auto"/>
              <w:bottom w:val="single" w:sz="4" w:space="0" w:color="auto"/>
            </w:tcBorders>
            <w:shd w:val="clear" w:color="auto" w:fill="auto"/>
          </w:tcPr>
          <w:p w14:paraId="5FAC6DD7" w14:textId="77777777" w:rsidR="004F2653" w:rsidRPr="00501E76" w:rsidRDefault="004F2653" w:rsidP="00263DA6">
            <w:pPr>
              <w:keepNext/>
              <w:rPr>
                <w:rFonts w:ascii="Times New Roman" w:hAnsi="Times New Roman"/>
                <w:sz w:val="22"/>
              </w:rPr>
            </w:pPr>
            <w:r w:rsidRPr="00501E76">
              <w:rPr>
                <w:rFonts w:ascii="Times New Roman" w:hAnsi="Times New Roman"/>
                <w:sz w:val="22"/>
              </w:rPr>
              <w:t>Support for judgment</w:t>
            </w:r>
          </w:p>
        </w:tc>
      </w:tr>
      <w:tr w:rsidR="004F2653" w:rsidRPr="00501E76" w14:paraId="3BB31891" w14:textId="77777777" w:rsidTr="00263DA6">
        <w:tc>
          <w:tcPr>
            <w:tcW w:w="1458" w:type="dxa"/>
            <w:tcBorders>
              <w:top w:val="single" w:sz="4" w:space="0" w:color="auto"/>
            </w:tcBorders>
          </w:tcPr>
          <w:p w14:paraId="6ABFA2C3" w14:textId="77777777" w:rsidR="004F2653" w:rsidRPr="00501E76" w:rsidRDefault="004F2653" w:rsidP="00263DA6">
            <w:pPr>
              <w:keepNext/>
              <w:rPr>
                <w:rFonts w:ascii="Times New Roman" w:hAnsi="Times New Roman"/>
                <w:sz w:val="20"/>
              </w:rPr>
            </w:pPr>
            <w:r w:rsidRPr="00501E76">
              <w:rPr>
                <w:rFonts w:ascii="Times New Roman" w:hAnsi="Times New Roman"/>
                <w:sz w:val="20"/>
              </w:rPr>
              <w:t>Source population representation</w:t>
            </w:r>
          </w:p>
        </w:tc>
        <w:tc>
          <w:tcPr>
            <w:tcW w:w="1530" w:type="dxa"/>
            <w:tcBorders>
              <w:top w:val="single" w:sz="4" w:space="0" w:color="auto"/>
            </w:tcBorders>
          </w:tcPr>
          <w:p w14:paraId="54D4075A" w14:textId="77777777" w:rsidR="004F2653" w:rsidRPr="00501E76" w:rsidRDefault="004F2653" w:rsidP="00263DA6">
            <w:pPr>
              <w:keepNext/>
              <w:rPr>
                <w:rFonts w:ascii="Times New Roman" w:hAnsi="Times New Roman"/>
                <w:sz w:val="20"/>
              </w:rPr>
            </w:pPr>
            <w:r w:rsidRPr="00501E76">
              <w:rPr>
                <w:rFonts w:ascii="Times New Roman" w:hAnsi="Times New Roman"/>
                <w:sz w:val="20"/>
              </w:rPr>
              <w:t>Probably low</w:t>
            </w:r>
          </w:p>
        </w:tc>
        <w:tc>
          <w:tcPr>
            <w:tcW w:w="5868" w:type="dxa"/>
            <w:tcBorders>
              <w:top w:val="single" w:sz="4" w:space="0" w:color="auto"/>
            </w:tcBorders>
          </w:tcPr>
          <w:p w14:paraId="652AF2D7" w14:textId="77777777" w:rsidR="004F2653" w:rsidRPr="00501E76" w:rsidRDefault="004F2653" w:rsidP="00263DA6">
            <w:pPr>
              <w:rPr>
                <w:rFonts w:ascii="Times New Roman" w:hAnsi="Times New Roman"/>
                <w:color w:val="000000"/>
                <w:sz w:val="20"/>
                <w:szCs w:val="22"/>
              </w:rPr>
            </w:pPr>
            <w:r w:rsidRPr="00501E76">
              <w:rPr>
                <w:rFonts w:ascii="Times New Roman" w:hAnsi="Times New Roman"/>
                <w:color w:val="000000"/>
                <w:sz w:val="20"/>
                <w:szCs w:val="22"/>
              </w:rPr>
              <w:t>67 study participants were selected from 1000 currently active career firefighters in Western Australia. Individuals with unstable asthma, current acute or chronic respiratory illness, or any other chronic or severe illnesses were excluded from the study. Participant characteristics were described. The researchers determined the random allocation of the intervention after completion of the participant register, to ensured that the decision to participate in the study was made regardless of which intervention group the participant would be allocated. The authors note that there may have been selection bias towards healthier individuals or individuals concerned with health effects, as they were more likely to choose to participate in the study. Adjustment techniques to account for potential selection bias were not described.</w:t>
            </w:r>
          </w:p>
        </w:tc>
      </w:tr>
      <w:tr w:rsidR="004F2653" w:rsidRPr="00501E76" w14:paraId="6C13BC39" w14:textId="77777777" w:rsidTr="00263DA6">
        <w:tc>
          <w:tcPr>
            <w:tcW w:w="1458" w:type="dxa"/>
          </w:tcPr>
          <w:p w14:paraId="60C2532F" w14:textId="77777777" w:rsidR="004F2653" w:rsidRPr="00501E76" w:rsidRDefault="004F2653" w:rsidP="00263DA6">
            <w:pPr>
              <w:keepNext/>
              <w:rPr>
                <w:rFonts w:ascii="Times New Roman" w:hAnsi="Times New Roman"/>
                <w:sz w:val="20"/>
              </w:rPr>
            </w:pPr>
            <w:r w:rsidRPr="00501E76">
              <w:rPr>
                <w:rFonts w:ascii="Times New Roman" w:hAnsi="Times New Roman"/>
                <w:sz w:val="20"/>
              </w:rPr>
              <w:t>Blinding</w:t>
            </w:r>
          </w:p>
        </w:tc>
        <w:tc>
          <w:tcPr>
            <w:tcW w:w="1530" w:type="dxa"/>
          </w:tcPr>
          <w:p w14:paraId="19FE0A1E" w14:textId="77777777" w:rsidR="004F2653" w:rsidRPr="00501E76" w:rsidRDefault="004F2653" w:rsidP="00263DA6">
            <w:pPr>
              <w:keepNext/>
              <w:rPr>
                <w:rFonts w:ascii="Times New Roman" w:hAnsi="Times New Roman"/>
                <w:sz w:val="20"/>
              </w:rPr>
            </w:pPr>
            <w:r w:rsidRPr="00501E76">
              <w:rPr>
                <w:rFonts w:ascii="Times New Roman" w:hAnsi="Times New Roman"/>
                <w:sz w:val="20"/>
              </w:rPr>
              <w:t>Low</w:t>
            </w:r>
          </w:p>
        </w:tc>
        <w:tc>
          <w:tcPr>
            <w:tcW w:w="5868" w:type="dxa"/>
          </w:tcPr>
          <w:p w14:paraId="41D6E4C9" w14:textId="77777777" w:rsidR="004F2653" w:rsidRPr="00501E76" w:rsidRDefault="004F2653" w:rsidP="00263DA6">
            <w:pPr>
              <w:rPr>
                <w:rFonts w:ascii="Times New Roman" w:hAnsi="Times New Roman"/>
                <w:color w:val="000000"/>
                <w:sz w:val="20"/>
                <w:szCs w:val="22"/>
              </w:rPr>
            </w:pPr>
            <w:r w:rsidRPr="00501E76">
              <w:rPr>
                <w:rFonts w:ascii="Times New Roman" w:hAnsi="Times New Roman"/>
                <w:color w:val="000000"/>
                <w:sz w:val="20"/>
                <w:szCs w:val="22"/>
              </w:rPr>
              <w:t xml:space="preserve">This was a double-blind randomized study. Study authors tried to minimize "unblinding" by ensuring the different filters looked as similar as possible. </w:t>
            </w:r>
          </w:p>
        </w:tc>
      </w:tr>
      <w:tr w:rsidR="004F2653" w:rsidRPr="00501E76" w14:paraId="3DF04E64" w14:textId="77777777" w:rsidTr="00263DA6">
        <w:tc>
          <w:tcPr>
            <w:tcW w:w="1458" w:type="dxa"/>
          </w:tcPr>
          <w:p w14:paraId="4C28C24E" w14:textId="77777777" w:rsidR="004F2653" w:rsidRPr="00501E76" w:rsidRDefault="004F2653" w:rsidP="00263DA6">
            <w:pPr>
              <w:keepNext/>
              <w:rPr>
                <w:rFonts w:ascii="Times New Roman" w:hAnsi="Times New Roman"/>
                <w:sz w:val="20"/>
              </w:rPr>
            </w:pPr>
            <w:r w:rsidRPr="00501E76">
              <w:rPr>
                <w:rFonts w:ascii="Times New Roman" w:hAnsi="Times New Roman"/>
                <w:sz w:val="20"/>
              </w:rPr>
              <w:t>Outcome assessment</w:t>
            </w:r>
          </w:p>
        </w:tc>
        <w:tc>
          <w:tcPr>
            <w:tcW w:w="1530" w:type="dxa"/>
          </w:tcPr>
          <w:p w14:paraId="52B2FDE1" w14:textId="77777777" w:rsidR="004F2653" w:rsidRPr="00501E76" w:rsidRDefault="004F2653" w:rsidP="00263DA6">
            <w:pPr>
              <w:keepNext/>
              <w:rPr>
                <w:rFonts w:ascii="Times New Roman" w:hAnsi="Times New Roman"/>
                <w:sz w:val="20"/>
              </w:rPr>
            </w:pPr>
            <w:r w:rsidRPr="00501E76">
              <w:rPr>
                <w:rFonts w:ascii="Times New Roman" w:hAnsi="Times New Roman"/>
                <w:sz w:val="20"/>
              </w:rPr>
              <w:t>Low</w:t>
            </w:r>
          </w:p>
        </w:tc>
        <w:tc>
          <w:tcPr>
            <w:tcW w:w="5868" w:type="dxa"/>
          </w:tcPr>
          <w:p w14:paraId="37C28EE2" w14:textId="77777777" w:rsidR="004F2653" w:rsidRPr="00501E76" w:rsidRDefault="004F2653" w:rsidP="00263DA6">
            <w:pPr>
              <w:rPr>
                <w:rFonts w:ascii="Times New Roman" w:hAnsi="Times New Roman"/>
                <w:color w:val="000000"/>
                <w:sz w:val="20"/>
                <w:szCs w:val="22"/>
              </w:rPr>
            </w:pPr>
            <w:r w:rsidRPr="00501E76">
              <w:rPr>
                <w:rFonts w:ascii="Times New Roman" w:hAnsi="Times New Roman"/>
                <w:color w:val="000000"/>
                <w:sz w:val="20"/>
                <w:szCs w:val="22"/>
              </w:rPr>
              <w:t xml:space="preserve">Outcomes were assessed by respiratory symptom questionnaire, spirometry, and oximetry. Spirometry was performed by a single trained individual according to the recommendations for maneuver performance provided by the American Thoracic Society [American Thoracic Society, 1995]. The arterial oxygen saturation of hemoglobin was measured in percentages (%) using a </w:t>
            </w:r>
            <w:proofErr w:type="spellStart"/>
            <w:r w:rsidRPr="00501E76">
              <w:rPr>
                <w:rFonts w:ascii="Times New Roman" w:hAnsi="Times New Roman"/>
                <w:color w:val="000000"/>
                <w:sz w:val="20"/>
                <w:szCs w:val="22"/>
              </w:rPr>
              <w:t>Datex-Ohmeda</w:t>
            </w:r>
            <w:proofErr w:type="spellEnd"/>
            <w:r w:rsidRPr="00501E76">
              <w:rPr>
                <w:rFonts w:ascii="Times New Roman" w:hAnsi="Times New Roman"/>
                <w:color w:val="000000"/>
                <w:sz w:val="20"/>
                <w:szCs w:val="22"/>
              </w:rPr>
              <w:t xml:space="preserve"> </w:t>
            </w:r>
            <w:proofErr w:type="spellStart"/>
            <w:r w:rsidRPr="00501E76">
              <w:rPr>
                <w:rFonts w:ascii="Times New Roman" w:hAnsi="Times New Roman"/>
                <w:color w:val="000000"/>
                <w:sz w:val="20"/>
                <w:szCs w:val="22"/>
              </w:rPr>
              <w:t>TuffSatTM</w:t>
            </w:r>
            <w:proofErr w:type="spellEnd"/>
            <w:r w:rsidRPr="00501E76">
              <w:rPr>
                <w:rFonts w:ascii="Times New Roman" w:hAnsi="Times New Roman"/>
                <w:color w:val="000000"/>
                <w:sz w:val="20"/>
                <w:szCs w:val="22"/>
              </w:rPr>
              <w:t xml:space="preserve"> pulse oximeter.</w:t>
            </w:r>
          </w:p>
        </w:tc>
      </w:tr>
      <w:tr w:rsidR="004F2653" w:rsidRPr="00501E76" w14:paraId="5744F3AA" w14:textId="77777777" w:rsidTr="00263DA6">
        <w:tc>
          <w:tcPr>
            <w:tcW w:w="1458" w:type="dxa"/>
          </w:tcPr>
          <w:p w14:paraId="46FC2772" w14:textId="77777777" w:rsidR="004F2653" w:rsidRPr="00501E76" w:rsidRDefault="004F2653" w:rsidP="00263DA6">
            <w:pPr>
              <w:keepNext/>
              <w:rPr>
                <w:rFonts w:ascii="Times New Roman" w:hAnsi="Times New Roman"/>
                <w:sz w:val="20"/>
              </w:rPr>
            </w:pPr>
            <w:r w:rsidRPr="00501E76">
              <w:rPr>
                <w:rFonts w:ascii="Times New Roman" w:hAnsi="Times New Roman"/>
                <w:sz w:val="20"/>
              </w:rPr>
              <w:t>Confounding</w:t>
            </w:r>
          </w:p>
        </w:tc>
        <w:tc>
          <w:tcPr>
            <w:tcW w:w="1530" w:type="dxa"/>
          </w:tcPr>
          <w:p w14:paraId="52822771" w14:textId="77777777" w:rsidR="004F2653" w:rsidRPr="00501E76" w:rsidRDefault="004F2653" w:rsidP="00263DA6">
            <w:pPr>
              <w:keepNext/>
              <w:rPr>
                <w:rFonts w:ascii="Times New Roman" w:hAnsi="Times New Roman"/>
                <w:sz w:val="20"/>
              </w:rPr>
            </w:pPr>
            <w:r w:rsidRPr="00501E76">
              <w:rPr>
                <w:rFonts w:ascii="Times New Roman" w:hAnsi="Times New Roman"/>
                <w:sz w:val="20"/>
              </w:rPr>
              <w:t>Low</w:t>
            </w:r>
          </w:p>
        </w:tc>
        <w:tc>
          <w:tcPr>
            <w:tcW w:w="5868" w:type="dxa"/>
          </w:tcPr>
          <w:p w14:paraId="662FEA86" w14:textId="77777777" w:rsidR="004F2653" w:rsidRPr="00501E76" w:rsidRDefault="004F2653" w:rsidP="00263DA6">
            <w:pPr>
              <w:rPr>
                <w:rFonts w:ascii="Times New Roman" w:hAnsi="Times New Roman"/>
                <w:color w:val="000000"/>
                <w:sz w:val="20"/>
                <w:szCs w:val="22"/>
              </w:rPr>
            </w:pPr>
            <w:r w:rsidRPr="00501E76">
              <w:rPr>
                <w:rFonts w:ascii="Times New Roman" w:hAnsi="Times New Roman"/>
                <w:color w:val="000000"/>
                <w:sz w:val="20"/>
                <w:szCs w:val="22"/>
              </w:rPr>
              <w:t xml:space="preserve">Participants with uncontrolled asthma and respiratory conditions were excluded. Authors measured some Tier I variables such as </w:t>
            </w:r>
            <w:proofErr w:type="gramStart"/>
            <w:r w:rsidRPr="00501E76">
              <w:rPr>
                <w:rFonts w:ascii="Times New Roman" w:hAnsi="Times New Roman"/>
                <w:color w:val="000000"/>
                <w:sz w:val="20"/>
                <w:szCs w:val="22"/>
              </w:rPr>
              <w:t>smoking, but</w:t>
            </w:r>
            <w:proofErr w:type="gramEnd"/>
            <w:r w:rsidRPr="00501E76">
              <w:rPr>
                <w:rFonts w:ascii="Times New Roman" w:hAnsi="Times New Roman"/>
                <w:color w:val="000000"/>
                <w:sz w:val="20"/>
                <w:szCs w:val="22"/>
              </w:rPr>
              <w:t xml:space="preserve"> did not measure SES. SES may have less influence in this study, as all participants have the same occupation. They measured some Tier II variables including sex, age, respiratory symptoms, and number of years working as a firefighter. Participants were randomized to different interventions.</w:t>
            </w:r>
          </w:p>
        </w:tc>
      </w:tr>
      <w:tr w:rsidR="004F2653" w:rsidRPr="00501E76" w14:paraId="7DE583C6" w14:textId="77777777" w:rsidTr="00263DA6">
        <w:tc>
          <w:tcPr>
            <w:tcW w:w="1458" w:type="dxa"/>
          </w:tcPr>
          <w:p w14:paraId="0B44AA8F" w14:textId="77777777" w:rsidR="004F2653" w:rsidRPr="00501E76" w:rsidRDefault="004F2653" w:rsidP="00263DA6">
            <w:pPr>
              <w:keepNext/>
              <w:rPr>
                <w:rFonts w:ascii="Times New Roman" w:hAnsi="Times New Roman"/>
                <w:sz w:val="20"/>
              </w:rPr>
            </w:pPr>
            <w:r w:rsidRPr="00501E76">
              <w:rPr>
                <w:rFonts w:ascii="Times New Roman" w:hAnsi="Times New Roman"/>
                <w:sz w:val="20"/>
              </w:rPr>
              <w:t>Incomplete outcome data</w:t>
            </w:r>
          </w:p>
        </w:tc>
        <w:tc>
          <w:tcPr>
            <w:tcW w:w="1530" w:type="dxa"/>
          </w:tcPr>
          <w:p w14:paraId="644FF5B5" w14:textId="77777777" w:rsidR="004F2653" w:rsidRPr="00501E76" w:rsidRDefault="004F2653" w:rsidP="00263DA6">
            <w:pPr>
              <w:keepNext/>
              <w:rPr>
                <w:rFonts w:ascii="Times New Roman" w:hAnsi="Times New Roman"/>
                <w:sz w:val="20"/>
              </w:rPr>
            </w:pPr>
            <w:r w:rsidRPr="00501E76">
              <w:rPr>
                <w:rFonts w:ascii="Times New Roman" w:hAnsi="Times New Roman"/>
                <w:sz w:val="20"/>
              </w:rPr>
              <w:t>Low</w:t>
            </w:r>
          </w:p>
        </w:tc>
        <w:tc>
          <w:tcPr>
            <w:tcW w:w="5868" w:type="dxa"/>
          </w:tcPr>
          <w:p w14:paraId="6A91FEB6" w14:textId="77777777" w:rsidR="004F2653" w:rsidRPr="00501E76" w:rsidRDefault="004F2653" w:rsidP="00263DA6">
            <w:pPr>
              <w:rPr>
                <w:rFonts w:ascii="Times New Roman" w:hAnsi="Times New Roman"/>
                <w:color w:val="000000"/>
                <w:sz w:val="20"/>
                <w:szCs w:val="22"/>
              </w:rPr>
            </w:pPr>
            <w:r w:rsidRPr="00501E76">
              <w:rPr>
                <w:rFonts w:ascii="Times New Roman" w:hAnsi="Times New Roman"/>
                <w:color w:val="000000"/>
                <w:sz w:val="20"/>
                <w:szCs w:val="22"/>
              </w:rPr>
              <w:t>Results are complete for the 67 study subjects.</w:t>
            </w:r>
          </w:p>
        </w:tc>
      </w:tr>
      <w:tr w:rsidR="004F2653" w:rsidRPr="00501E76" w14:paraId="33D0F394" w14:textId="77777777" w:rsidTr="00263DA6">
        <w:trPr>
          <w:trHeight w:val="981"/>
        </w:trPr>
        <w:tc>
          <w:tcPr>
            <w:tcW w:w="1458" w:type="dxa"/>
          </w:tcPr>
          <w:p w14:paraId="68FD4634" w14:textId="77777777" w:rsidR="004F2653" w:rsidRPr="00501E76" w:rsidRDefault="004F2653" w:rsidP="00263DA6">
            <w:pPr>
              <w:keepNext/>
              <w:rPr>
                <w:rFonts w:ascii="Times New Roman" w:hAnsi="Times New Roman"/>
                <w:sz w:val="20"/>
              </w:rPr>
            </w:pPr>
            <w:r w:rsidRPr="00501E76">
              <w:rPr>
                <w:rFonts w:ascii="Times New Roman" w:hAnsi="Times New Roman"/>
                <w:sz w:val="20"/>
              </w:rPr>
              <w:t>Exposure assessment</w:t>
            </w:r>
          </w:p>
        </w:tc>
        <w:tc>
          <w:tcPr>
            <w:tcW w:w="1530" w:type="dxa"/>
          </w:tcPr>
          <w:p w14:paraId="577B1BB8" w14:textId="77777777" w:rsidR="004F2653" w:rsidRPr="00501E76" w:rsidRDefault="004F2653" w:rsidP="00263DA6">
            <w:pPr>
              <w:keepNext/>
              <w:rPr>
                <w:rFonts w:ascii="Times New Roman" w:hAnsi="Times New Roman"/>
                <w:sz w:val="20"/>
                <w:vertAlign w:val="superscript"/>
              </w:rPr>
            </w:pPr>
            <w:r w:rsidRPr="00501E76">
              <w:rPr>
                <w:rFonts w:ascii="Times New Roman" w:hAnsi="Times New Roman"/>
                <w:sz w:val="20"/>
              </w:rPr>
              <w:t>Low</w:t>
            </w:r>
          </w:p>
        </w:tc>
        <w:tc>
          <w:tcPr>
            <w:tcW w:w="5868" w:type="dxa"/>
          </w:tcPr>
          <w:p w14:paraId="28E35217" w14:textId="77777777" w:rsidR="004F2653" w:rsidRPr="00501E76" w:rsidRDefault="004F2653" w:rsidP="00263DA6">
            <w:pPr>
              <w:rPr>
                <w:rFonts w:ascii="Times New Roman" w:hAnsi="Times New Roman"/>
                <w:color w:val="000000"/>
                <w:sz w:val="20"/>
                <w:szCs w:val="22"/>
              </w:rPr>
            </w:pPr>
            <w:r w:rsidRPr="00501E76">
              <w:rPr>
                <w:rFonts w:ascii="Times New Roman" w:hAnsi="Times New Roman"/>
                <w:color w:val="000000"/>
                <w:sz w:val="20"/>
                <w:szCs w:val="22"/>
              </w:rPr>
              <w:t xml:space="preserve">Authors used a validated method to conduct personal air sampling for formaldehyde inside respirators (Johnston et al. 1992). The sampling lasted for 120 min. Formaldehyde analysis was conducted by HPLC by NIOSH method 2016. </w:t>
            </w:r>
          </w:p>
        </w:tc>
      </w:tr>
      <w:tr w:rsidR="004F2653" w:rsidRPr="00501E76" w14:paraId="26F3BEEA" w14:textId="77777777" w:rsidTr="00263DA6">
        <w:tc>
          <w:tcPr>
            <w:tcW w:w="1458" w:type="dxa"/>
          </w:tcPr>
          <w:p w14:paraId="721D4995" w14:textId="77777777" w:rsidR="004F2653" w:rsidRPr="00501E76" w:rsidRDefault="004F2653" w:rsidP="00263DA6">
            <w:pPr>
              <w:keepNext/>
              <w:rPr>
                <w:rFonts w:ascii="Times New Roman" w:hAnsi="Times New Roman"/>
                <w:sz w:val="20"/>
              </w:rPr>
            </w:pPr>
            <w:r w:rsidRPr="00501E76">
              <w:rPr>
                <w:rFonts w:ascii="Times New Roman" w:hAnsi="Times New Roman"/>
                <w:sz w:val="20"/>
              </w:rPr>
              <w:t>Selective outcome reporting</w:t>
            </w:r>
          </w:p>
        </w:tc>
        <w:tc>
          <w:tcPr>
            <w:tcW w:w="1530" w:type="dxa"/>
          </w:tcPr>
          <w:p w14:paraId="689CCAA5" w14:textId="77777777" w:rsidR="004F2653" w:rsidRPr="00501E76" w:rsidRDefault="004F2653" w:rsidP="00263DA6">
            <w:pPr>
              <w:keepNext/>
              <w:rPr>
                <w:rFonts w:ascii="Times New Roman" w:hAnsi="Times New Roman"/>
                <w:sz w:val="20"/>
              </w:rPr>
            </w:pPr>
            <w:r w:rsidRPr="00501E76">
              <w:rPr>
                <w:rFonts w:ascii="Times New Roman" w:hAnsi="Times New Roman"/>
                <w:sz w:val="20"/>
              </w:rPr>
              <w:t>Low</w:t>
            </w:r>
          </w:p>
        </w:tc>
        <w:tc>
          <w:tcPr>
            <w:tcW w:w="5868" w:type="dxa"/>
          </w:tcPr>
          <w:p w14:paraId="6216FCF9" w14:textId="77777777" w:rsidR="004F2653" w:rsidRPr="00501E76" w:rsidRDefault="004F2653" w:rsidP="00263DA6">
            <w:pPr>
              <w:rPr>
                <w:rFonts w:ascii="Times New Roman" w:hAnsi="Times New Roman"/>
                <w:color w:val="000000"/>
                <w:sz w:val="20"/>
                <w:szCs w:val="22"/>
              </w:rPr>
            </w:pPr>
            <w:r w:rsidRPr="00501E76">
              <w:rPr>
                <w:rFonts w:ascii="Times New Roman" w:hAnsi="Times New Roman"/>
                <w:color w:val="000000"/>
                <w:sz w:val="20"/>
                <w:szCs w:val="22"/>
              </w:rPr>
              <w:t>Results are reported for all outcomes specified in the methods.</w:t>
            </w:r>
          </w:p>
        </w:tc>
      </w:tr>
      <w:tr w:rsidR="004F2653" w:rsidRPr="00501E76" w14:paraId="0565762F" w14:textId="77777777" w:rsidTr="00263DA6">
        <w:tc>
          <w:tcPr>
            <w:tcW w:w="1458" w:type="dxa"/>
          </w:tcPr>
          <w:p w14:paraId="6FEFE468" w14:textId="77777777" w:rsidR="004F2653" w:rsidRPr="00501E76" w:rsidRDefault="004F2653" w:rsidP="00263DA6">
            <w:pPr>
              <w:keepNext/>
              <w:rPr>
                <w:rFonts w:ascii="Times New Roman" w:hAnsi="Times New Roman"/>
                <w:sz w:val="20"/>
              </w:rPr>
            </w:pPr>
            <w:r w:rsidRPr="00501E76">
              <w:rPr>
                <w:rFonts w:ascii="Times New Roman" w:hAnsi="Times New Roman"/>
                <w:sz w:val="20"/>
              </w:rPr>
              <w:t>Conflict of interest</w:t>
            </w:r>
          </w:p>
        </w:tc>
        <w:tc>
          <w:tcPr>
            <w:tcW w:w="1530" w:type="dxa"/>
          </w:tcPr>
          <w:p w14:paraId="611A5BF8" w14:textId="77777777" w:rsidR="004F2653" w:rsidRPr="00501E76" w:rsidRDefault="004F2653" w:rsidP="00263DA6">
            <w:pPr>
              <w:keepNext/>
              <w:rPr>
                <w:rFonts w:ascii="Times New Roman" w:hAnsi="Times New Roman"/>
                <w:sz w:val="20"/>
              </w:rPr>
            </w:pPr>
            <w:r w:rsidRPr="00501E76">
              <w:rPr>
                <w:rFonts w:ascii="Times New Roman" w:hAnsi="Times New Roman"/>
                <w:sz w:val="20"/>
              </w:rPr>
              <w:t>Low</w:t>
            </w:r>
          </w:p>
        </w:tc>
        <w:tc>
          <w:tcPr>
            <w:tcW w:w="5868" w:type="dxa"/>
          </w:tcPr>
          <w:p w14:paraId="4B473267" w14:textId="77777777" w:rsidR="004F2653" w:rsidRPr="00501E76" w:rsidRDefault="004F2653" w:rsidP="00263DA6">
            <w:pPr>
              <w:rPr>
                <w:rFonts w:ascii="Times New Roman" w:hAnsi="Times New Roman"/>
                <w:color w:val="000000"/>
                <w:sz w:val="20"/>
                <w:szCs w:val="22"/>
              </w:rPr>
            </w:pPr>
            <w:r w:rsidRPr="00501E76">
              <w:rPr>
                <w:rFonts w:ascii="Times New Roman" w:hAnsi="Times New Roman"/>
                <w:color w:val="000000"/>
                <w:sz w:val="20"/>
                <w:szCs w:val="22"/>
              </w:rPr>
              <w:t xml:space="preserve">Authors were from academic and medical institutions. Funding was provided through the Bushfire Cooperative Research Centre (which was funded by a grant from the Australian government). </w:t>
            </w:r>
          </w:p>
        </w:tc>
      </w:tr>
      <w:tr w:rsidR="004F2653" w:rsidRPr="00501E76" w14:paraId="1547C4F9" w14:textId="77777777" w:rsidTr="00263DA6">
        <w:trPr>
          <w:trHeight w:val="441"/>
        </w:trPr>
        <w:tc>
          <w:tcPr>
            <w:tcW w:w="1458" w:type="dxa"/>
          </w:tcPr>
          <w:p w14:paraId="2073979B" w14:textId="77777777" w:rsidR="004F2653" w:rsidRPr="00501E76" w:rsidRDefault="004F2653" w:rsidP="00263DA6">
            <w:pPr>
              <w:keepNext/>
              <w:rPr>
                <w:rFonts w:ascii="Times New Roman" w:hAnsi="Times New Roman"/>
                <w:sz w:val="20"/>
              </w:rPr>
            </w:pPr>
            <w:r w:rsidRPr="00501E76">
              <w:rPr>
                <w:rFonts w:ascii="Times New Roman" w:hAnsi="Times New Roman"/>
                <w:sz w:val="20"/>
              </w:rPr>
              <w:t>Other sources of bias</w:t>
            </w:r>
          </w:p>
        </w:tc>
        <w:tc>
          <w:tcPr>
            <w:tcW w:w="1530" w:type="dxa"/>
          </w:tcPr>
          <w:p w14:paraId="0D8BE76F" w14:textId="77777777" w:rsidR="004F2653" w:rsidRPr="00501E76" w:rsidRDefault="004F2653" w:rsidP="00263DA6">
            <w:pPr>
              <w:keepNext/>
              <w:rPr>
                <w:rFonts w:ascii="Times New Roman" w:hAnsi="Times New Roman"/>
                <w:sz w:val="20"/>
              </w:rPr>
            </w:pPr>
            <w:r w:rsidRPr="00501E76">
              <w:rPr>
                <w:rFonts w:ascii="Times New Roman" w:hAnsi="Times New Roman"/>
                <w:sz w:val="20"/>
              </w:rPr>
              <w:t>High</w:t>
            </w:r>
          </w:p>
        </w:tc>
        <w:tc>
          <w:tcPr>
            <w:tcW w:w="5868" w:type="dxa"/>
          </w:tcPr>
          <w:p w14:paraId="4B3A43CC" w14:textId="77777777" w:rsidR="004F2653" w:rsidRPr="00501E76" w:rsidRDefault="004F2653" w:rsidP="00263DA6">
            <w:pPr>
              <w:rPr>
                <w:rFonts w:ascii="Times New Roman" w:hAnsi="Times New Roman"/>
                <w:color w:val="000000"/>
                <w:sz w:val="20"/>
                <w:szCs w:val="22"/>
              </w:rPr>
            </w:pPr>
            <w:r w:rsidRPr="00501E76">
              <w:rPr>
                <w:rFonts w:ascii="Times New Roman" w:hAnsi="Times New Roman"/>
                <w:color w:val="000000"/>
                <w:sz w:val="20"/>
                <w:szCs w:val="22"/>
              </w:rPr>
              <w:t>The study randomly allocates firefighters to various groups to test the effectiveness of various protective filters. The authors specifically exclude individuals with "unstable asthma, current acute or chronic respiratory illness, or any other chronic or severe illnesses" and note that this could lead to selection bias, as it favors healthier individuals. Also, the authors did not specify whether the paired t-test assumed equal or unequal variance.</w:t>
            </w:r>
          </w:p>
        </w:tc>
      </w:tr>
    </w:tbl>
    <w:p w14:paraId="3230F30C" w14:textId="77777777" w:rsidR="004F2653" w:rsidRDefault="004F2653">
      <w:bookmarkStart w:id="0" w:name="_GoBack"/>
      <w:bookmarkEnd w:id="0"/>
    </w:p>
    <w:sectPr w:rsidR="004F2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53"/>
    <w:rsid w:val="004F2653"/>
    <w:rsid w:val="007739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C625"/>
  <w15:chartTrackingRefBased/>
  <w15:docId w15:val="{898E46E6-A455-4E40-8AA1-F94F5471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F2653"/>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2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 off44</dc:creator>
  <cp:keywords/>
  <dc:description/>
  <cp:lastModifiedBy>Vundavalli Divya</cp:lastModifiedBy>
  <cp:revision>2</cp:revision>
  <dcterms:created xsi:type="dcterms:W3CDTF">2021-03-06T04:28:00Z</dcterms:created>
  <dcterms:modified xsi:type="dcterms:W3CDTF">2021-03-12T14:37:00Z</dcterms:modified>
</cp:coreProperties>
</file>