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B135" w14:textId="0F86C279" w:rsidR="007A7424" w:rsidRPr="009903A5" w:rsidRDefault="009903A5" w:rsidP="007A7424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 w:rsidR="006F71AD">
        <w:rPr>
          <w:rFonts w:asciiTheme="minorHAnsi" w:hAnsiTheme="minorHAnsi" w:cstheme="minorHAnsi"/>
          <w:lang w:val="en-US"/>
        </w:rPr>
        <w:t>3</w:t>
      </w:r>
      <w:r w:rsidR="003536F6">
        <w:rPr>
          <w:rFonts w:asciiTheme="minorHAnsi" w:hAnsiTheme="minorHAnsi" w:cstheme="minorHAnsi"/>
          <w:lang w:val="en-US"/>
        </w:rPr>
        <w:t>5</w:t>
      </w:r>
      <w:r w:rsidR="00D0716A" w:rsidRPr="00D0716A">
        <w:rPr>
          <w:rFonts w:asciiTheme="minorHAnsi" w:hAnsiTheme="minorHAnsi" w:cstheme="minorHAnsi"/>
          <w:lang w:val="en-US"/>
        </w:rPr>
        <w:t xml:space="preserve"> </w:t>
      </w:r>
      <w:r w:rsidR="00D0716A">
        <w:rPr>
          <w:rFonts w:asciiTheme="minorHAnsi" w:hAnsiTheme="minorHAnsi" w:cstheme="minorHAnsi"/>
          <w:lang w:val="en-US"/>
        </w:rPr>
        <w:t>Table.</w:t>
      </w:r>
      <w:r w:rsidRPr="009903A5">
        <w:rPr>
          <w:rFonts w:asciiTheme="minorHAnsi" w:hAnsiTheme="minorHAnsi" w:cstheme="minorHAnsi"/>
          <w:lang w:val="en-US"/>
        </w:rPr>
        <w:t xml:space="preserve"> Summary of Findings</w:t>
      </w:r>
    </w:p>
    <w:p w14:paraId="52350FC6" w14:textId="77777777" w:rsidR="009903A5" w:rsidRPr="007A7424" w:rsidRDefault="009903A5" w:rsidP="007A7424">
      <w:pPr>
        <w:rPr>
          <w:lang w:val="en-US"/>
        </w:rPr>
      </w:pPr>
    </w:p>
    <w:tbl>
      <w:tblPr>
        <w:tblW w:w="5222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637"/>
        <w:gridCol w:w="1417"/>
        <w:gridCol w:w="993"/>
        <w:gridCol w:w="1133"/>
        <w:gridCol w:w="1135"/>
        <w:gridCol w:w="1844"/>
      </w:tblGrid>
      <w:tr w:rsidR="007A7424" w:rsidRPr="00133A4C" w14:paraId="35AE45DB" w14:textId="77777777" w:rsidTr="0061575D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B10BF" w14:textId="34757E21" w:rsidR="007A7424" w:rsidRPr="006F71AD" w:rsidRDefault="003536F6" w:rsidP="007A7424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Lopinavir/ritonavir</w:t>
            </w:r>
            <w:r w:rsidR="006F71A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plus </w:t>
            </w:r>
            <w:r w:rsidR="00936C01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interferon alpha</w:t>
            </w:r>
            <w:r w:rsidR="00312C69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compared with</w:t>
            </w:r>
            <w:r w:rsidR="006F71AD" w:rsidRPr="006F71A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36C01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ribavirin plus </w:t>
            </w:r>
            <w:r w:rsidR="006F71AD" w:rsidRPr="006F71A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lopinavir/ritonavir</w:t>
            </w:r>
            <w:r w:rsidR="006F71A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plus </w:t>
            </w:r>
            <w:r w:rsidR="006F71AD" w:rsidRPr="006F71A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interferon alpha</w:t>
            </w:r>
            <w:r w:rsidR="006F71AD" w:rsidRPr="006F71A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A7424" w:rsidRPr="006F71A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for COVID-19</w:t>
            </w:r>
          </w:p>
        </w:tc>
      </w:tr>
      <w:tr w:rsidR="007A7424" w:rsidRPr="006F71AD" w14:paraId="52EE94E9" w14:textId="77777777" w:rsidTr="0061575D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BAAD8F" w14:textId="77777777" w:rsidR="007A7424" w:rsidRPr="006F71AD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6F71A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 w:rsidRPr="006F71AD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09A14056" w14:textId="77777777" w:rsidR="007A7424" w:rsidRPr="006F71AD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6F71A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 w:rsidR="00FE74EB" w:rsidRPr="006F71AD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0A2DE09D" w14:textId="2215F88B" w:rsidR="007A7424" w:rsidRPr="006F71AD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6F71A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Intervention</w:t>
            </w:r>
            <w:r w:rsidRPr="003536F6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="003536F6" w:rsidRPr="003536F6">
              <w:rPr>
                <w:rFonts w:ascii="Calibri" w:hAnsi="Calibri" w:cs="Calibri"/>
                <w:sz w:val="18"/>
                <w:szCs w:val="18"/>
                <w:lang w:val="en-US"/>
              </w:rPr>
              <w:t>Lopinavir/ritonavir plus interferon alpha</w:t>
            </w:r>
          </w:p>
          <w:p w14:paraId="1D0E9172" w14:textId="3649320D" w:rsidR="007A7424" w:rsidRPr="006F71AD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6F71A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 w:rsidRPr="006F71AD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936C01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R</w:t>
            </w:r>
            <w:r w:rsidR="00936C01" w:rsidRPr="00936C01">
              <w:rPr>
                <w:rFonts w:ascii="Calibri" w:hAnsi="Calibri" w:cs="Calibri"/>
                <w:sz w:val="18"/>
                <w:szCs w:val="18"/>
                <w:lang w:val="en-US"/>
              </w:rPr>
              <w:t>ibavirin plus lopinavir/ritonavir plus interferon alpha</w:t>
            </w:r>
          </w:p>
        </w:tc>
      </w:tr>
      <w:tr w:rsidR="00356225" w:rsidRPr="00E257E8" w14:paraId="07808C59" w14:textId="77777777" w:rsidTr="006553B8">
        <w:trPr>
          <w:cantSplit/>
          <w:tblHeader/>
        </w:trPr>
        <w:tc>
          <w:tcPr>
            <w:tcW w:w="947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25D387F6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151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F13AFA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 absolute effects</w:t>
            </w:r>
            <w:r w:rsid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9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1455CFF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D0D949B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Relative effect (95% CI)</w:t>
            </w:r>
          </w:p>
        </w:tc>
        <w:tc>
          <w:tcPr>
            <w:tcW w:w="56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5D0ABC6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7FEB6B53" w14:textId="77777777" w:rsidR="00E257E8" w:rsidRPr="00E257E8" w:rsidRDefault="00E257E8" w:rsidP="00F91BB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64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581452B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B473965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1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671A911" w14:textId="77777777" w:rsid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516FAEB1" w14:textId="77777777" w:rsidR="0061575D" w:rsidRDefault="0061575D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48D9B03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61575D" w:rsidRPr="00133A4C" w14:paraId="690D3F5B" w14:textId="77777777" w:rsidTr="00BA2976">
        <w:trPr>
          <w:cantSplit/>
          <w:tblHeader/>
        </w:trPr>
        <w:tc>
          <w:tcPr>
            <w:tcW w:w="947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6994E608" w14:textId="77777777" w:rsidR="00E257E8" w:rsidRPr="00E257E8" w:rsidRDefault="00E257E8" w:rsidP="00F91BBB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81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42098202" w14:textId="77777777" w:rsidR="00BA2976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809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isk with </w:t>
            </w:r>
          </w:p>
          <w:p w14:paraId="1049A77C" w14:textId="196BA103" w:rsidR="00E257E8" w:rsidRPr="00893600" w:rsidRDefault="00893600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r</w:t>
            </w:r>
            <w:r w:rsidRPr="0089360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ibavirin plus lopinavir/ritonavir plus interferon alpha</w:t>
            </w:r>
          </w:p>
        </w:tc>
        <w:tc>
          <w:tcPr>
            <w:tcW w:w="704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27198FA8" w14:textId="77777777" w:rsidR="00F91BBB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2A7AC247" w14:textId="77777777" w:rsidR="003536F6" w:rsidRDefault="003536F6" w:rsidP="00F91BB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lopinavir/</w:t>
            </w:r>
          </w:p>
          <w:p w14:paraId="74AB0D12" w14:textId="069C050F" w:rsidR="00E257E8" w:rsidRPr="00E257E8" w:rsidRDefault="003536F6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ritonavir plus interferon alpha</w:t>
            </w:r>
          </w:p>
        </w:tc>
        <w:tc>
          <w:tcPr>
            <w:tcW w:w="49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6121614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589CBBE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0FE0623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2E2553D1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044D8" w:rsidRPr="00133A4C" w14:paraId="1E5DA688" w14:textId="77777777" w:rsidTr="00B359B5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447C5F" w14:textId="77777777" w:rsidR="004044D8" w:rsidRPr="00FD1A02" w:rsidRDefault="004044D8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  <w:p w14:paraId="2A641B16" w14:textId="5D3B99F8" w:rsidR="004044D8" w:rsidRPr="00FD1A02" w:rsidRDefault="00FD1A02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6F71AD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28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D6FD4E9" w14:textId="55DFF4C2" w:rsidR="004044D8" w:rsidRPr="00FD1A02" w:rsidRDefault="004B283F" w:rsidP="00B359B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</w:t>
            </w:r>
            <w:r w:rsidR="0098285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606B2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647D825" w14:textId="056701CC" w:rsidR="00FD1A02" w:rsidRPr="00F10C4C" w:rsidRDefault="004B283F" w:rsidP="00B359B5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606B2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04BFE" w14:textId="77777777" w:rsidR="004044D8" w:rsidRDefault="004044D8" w:rsidP="00B359B5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2D3BD3B1" w14:textId="13E04D3B" w:rsidR="009E104F" w:rsidRPr="008C2217" w:rsidRDefault="009E104F" w:rsidP="00B359B5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34F561" w14:textId="74C4C474" w:rsidR="004044D8" w:rsidRPr="008C2217" w:rsidRDefault="006F71AD" w:rsidP="00B359B5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6</w:t>
            </w:r>
            <w:r w:rsidR="003536F6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8</w:t>
            </w:r>
          </w:p>
          <w:p w14:paraId="69B68066" w14:textId="73DA7916" w:rsidR="00A66B6C" w:rsidRPr="00F23D02" w:rsidRDefault="00A66B6C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 w:rsidR="004B283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68B421" w14:textId="04AA32E3" w:rsidR="00A66B6C" w:rsidRPr="002958D5" w:rsidRDefault="003D4263" w:rsidP="00B359B5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="004B283F"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="004B283F"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  <w:r w:rsidR="002958D5"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D31F1E" w14:textId="627EA08E" w:rsidR="0053090F" w:rsidRPr="002958D5" w:rsidRDefault="002958D5" w:rsidP="00B359B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2958D5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Z</w:t>
            </w:r>
            <w:r w:rsidRPr="002958D5">
              <w:rPr>
                <w:rStyle w:val="cell-value"/>
                <w:rFonts w:asciiTheme="minorHAnsi" w:hAnsiTheme="minorHAnsi" w:cstheme="minorHAnsi"/>
                <w:sz w:val="18"/>
                <w:szCs w:val="18"/>
                <w:lang w:val="en-US"/>
              </w:rPr>
              <w:t>ero events in both groups</w:t>
            </w:r>
          </w:p>
        </w:tc>
      </w:tr>
      <w:tr w:rsidR="00ED1C23" w:rsidRPr="00133A4C" w14:paraId="4BF6A33D" w14:textId="77777777" w:rsidTr="00B359B5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D89C819" w14:textId="77777777" w:rsidR="00ED1C23" w:rsidRDefault="00ED1C23" w:rsidP="00ED1C23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</w:p>
          <w:p w14:paraId="33ECED86" w14:textId="7CF06D22" w:rsidR="002958D5" w:rsidRPr="00ED1C23" w:rsidRDefault="002958D5" w:rsidP="00ED1C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6F71AD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28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3610B7E" w14:textId="4EF16573" w:rsidR="00ED1C23" w:rsidRPr="00FD1A02" w:rsidRDefault="00B15D9A" w:rsidP="00B359B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</w:t>
            </w:r>
            <w:r w:rsid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606B2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D02A422" w14:textId="6CC4DC89" w:rsidR="00ED1C23" w:rsidRPr="00FD1A02" w:rsidRDefault="00BA2976" w:rsidP="00B359B5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="002958D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606B2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2958D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4165EE" w14:textId="77777777" w:rsidR="00ED1C23" w:rsidRDefault="00ED1C23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495F9181" w14:textId="1EFF90F3" w:rsidR="00ED1C23" w:rsidRPr="00E257E8" w:rsidRDefault="009E104F" w:rsidP="00B359B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1F3F0C" w14:textId="271AFD21" w:rsidR="00BA2976" w:rsidRPr="008C2217" w:rsidRDefault="006F71AD" w:rsidP="00B359B5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6</w:t>
            </w:r>
            <w:r w:rsidR="003536F6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8</w:t>
            </w:r>
          </w:p>
          <w:p w14:paraId="16FE8BD7" w14:textId="1EABF266" w:rsidR="00ED1C23" w:rsidRPr="00FD1284" w:rsidRDefault="002958D5" w:rsidP="00B359B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47712D" w14:textId="0B798E39" w:rsidR="00ED1C23" w:rsidRPr="002958D5" w:rsidRDefault="002958D5" w:rsidP="00B359B5">
            <w:pPr>
              <w:jc w:val="center"/>
              <w:rPr>
                <w:rStyle w:val="cell-value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CD9C6B" w14:textId="703CA957" w:rsidR="00ED1C23" w:rsidRPr="0053090F" w:rsidRDefault="00B15D9A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2958D5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Z</w:t>
            </w:r>
            <w:r w:rsidRPr="002958D5">
              <w:rPr>
                <w:rStyle w:val="cell-value"/>
                <w:rFonts w:asciiTheme="minorHAnsi" w:hAnsiTheme="minorHAnsi" w:cstheme="minorHAnsi"/>
                <w:sz w:val="18"/>
                <w:szCs w:val="18"/>
                <w:lang w:val="en-US"/>
              </w:rPr>
              <w:t>ero events in both groups</w:t>
            </w:r>
          </w:p>
        </w:tc>
      </w:tr>
      <w:tr w:rsidR="00F6238B" w:rsidRPr="00133A4C" w14:paraId="0B8E6E42" w14:textId="77777777" w:rsidTr="00B359B5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E14A5A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0EE4DD1" w14:textId="77777777" w:rsidR="00F6238B" w:rsidRPr="00E257E8" w:rsidRDefault="00F6238B" w:rsidP="00B359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12C0CB7" w14:textId="77777777" w:rsidR="00F6238B" w:rsidRPr="00E257E8" w:rsidRDefault="00F6238B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9357DC" w14:textId="77777777" w:rsidR="00F6238B" w:rsidRDefault="00F6238B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FB2158" w14:textId="77777777" w:rsidR="00F6238B" w:rsidRPr="00F23D02" w:rsidRDefault="00F6238B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1757B3" w14:textId="77777777" w:rsidR="00F6238B" w:rsidRPr="00F23D02" w:rsidRDefault="00F6238B" w:rsidP="00B359B5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8C405F" w14:textId="77777777" w:rsidR="00F6238B" w:rsidRPr="00197EFF" w:rsidRDefault="00F6238B" w:rsidP="00B359B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133A4C" w14:paraId="00BDC66E" w14:textId="77777777" w:rsidTr="00B359B5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28831C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73ABEAA" w14:textId="77777777" w:rsidR="00F6238B" w:rsidRPr="00E257E8" w:rsidRDefault="008C19F0" w:rsidP="00B359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3B12C0A" w14:textId="77777777" w:rsidR="00F6238B" w:rsidRPr="00E257E8" w:rsidRDefault="008C19F0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F362E1" w14:textId="77777777" w:rsidR="00F6238B" w:rsidRDefault="008C19F0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255D7A" w14:textId="77777777" w:rsidR="00F6238B" w:rsidRPr="00F23D02" w:rsidRDefault="008C19F0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800861" w14:textId="77777777" w:rsidR="00F6238B" w:rsidRPr="00F23D02" w:rsidRDefault="008C19F0" w:rsidP="00B359B5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CE6321" w14:textId="77777777" w:rsidR="00F6238B" w:rsidRPr="00197EFF" w:rsidRDefault="008C19F0" w:rsidP="00B359B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133A4C" w14:paraId="25DB884A" w14:textId="77777777" w:rsidTr="00B359B5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720A7C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108E415" w14:textId="77777777" w:rsidR="00F6238B" w:rsidRPr="00E257E8" w:rsidRDefault="008C19F0" w:rsidP="00B359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D22BEFA" w14:textId="77777777" w:rsidR="00F6238B" w:rsidRPr="00E257E8" w:rsidRDefault="008C19F0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547A2" w14:textId="77777777" w:rsidR="00F6238B" w:rsidRDefault="008C19F0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9A0D08" w14:textId="77777777" w:rsidR="00F6238B" w:rsidRPr="00F23D02" w:rsidRDefault="008C19F0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F2DD6C" w14:textId="77777777" w:rsidR="00F6238B" w:rsidRPr="00F23D02" w:rsidRDefault="008C19F0" w:rsidP="00B359B5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255932" w14:textId="77777777" w:rsidR="00F6238B" w:rsidRPr="00197EFF" w:rsidRDefault="008C19F0" w:rsidP="00B359B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133A4C" w14:paraId="70641DDB" w14:textId="77777777" w:rsidTr="00B359B5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085067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401713C" w14:textId="77777777" w:rsidR="00F6238B" w:rsidRPr="00E257E8" w:rsidRDefault="00F6238B" w:rsidP="00B359B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661E158" w14:textId="77777777" w:rsidR="00F6238B" w:rsidRPr="00E257E8" w:rsidRDefault="00F6238B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0E9893" w14:textId="77777777" w:rsidR="00F6238B" w:rsidRDefault="00F6238B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0034AA" w14:textId="77777777" w:rsidR="00F6238B" w:rsidRPr="00F23D02" w:rsidRDefault="00F6238B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F141EF" w14:textId="77777777" w:rsidR="00F6238B" w:rsidRPr="00F23D02" w:rsidRDefault="00F6238B" w:rsidP="00B359B5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7B687B" w14:textId="77777777" w:rsidR="00F6238B" w:rsidRPr="00197EFF" w:rsidRDefault="00F6238B" w:rsidP="00B359B5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EF3DCE" w:rsidRPr="00133A4C" w14:paraId="4FED772B" w14:textId="77777777" w:rsidTr="00B359B5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138814A0" w14:textId="10C6CC62" w:rsidR="00EF3DCE" w:rsidRPr="006F71AD" w:rsidRDefault="00EF3DCE" w:rsidP="006F71A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Non-serious adverse events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668C024F" w14:textId="08EB8FB8" w:rsidR="00EF3DCE" w:rsidRPr="00FD1A02" w:rsidRDefault="006F71AD" w:rsidP="00B359B5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244175C8" w14:textId="2980D2C6" w:rsidR="00FD1A02" w:rsidRPr="002958D5" w:rsidRDefault="006F71AD" w:rsidP="00B359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E502E67" w14:textId="297AD2FC" w:rsidR="009E104F" w:rsidRPr="00E257E8" w:rsidRDefault="009E104F" w:rsidP="00B359B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5D251EC9" w14:textId="086172AB" w:rsidR="00EF3DCE" w:rsidRPr="00FD1284" w:rsidRDefault="006F71AD" w:rsidP="00B359B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741AE094" w14:textId="2ED3A4AE" w:rsidR="00EF3DCE" w:rsidRPr="00321BE0" w:rsidRDefault="006F71AD" w:rsidP="00B359B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quality-sign"/>
                <w:rFonts w:ascii="Cambria Math" w:hAnsi="Cambria Math" w:cs="Cambria Math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46268C9F" w14:textId="1A595E77" w:rsidR="003809BA" w:rsidRPr="006F71AD" w:rsidRDefault="006F71AD" w:rsidP="00B359B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133A4C" w14:paraId="054FA6A8" w14:textId="77777777" w:rsidTr="00197EF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A29BA" w14:textId="77777777" w:rsidR="00F6238B" w:rsidRPr="0004323E" w:rsidRDefault="00F6238B" w:rsidP="00F6238B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Risk ratio;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04323E" w:rsidRPr="00133A4C" w14:paraId="37564F71" w14:textId="77777777" w:rsidTr="00197EF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925AA" w14:textId="77777777" w:rsid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 Working Group grades of evidence</w:t>
            </w:r>
          </w:p>
          <w:p w14:paraId="68E6D228" w14:textId="77777777" w:rsidR="0004323E" w:rsidRP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7A193BD8" w14:textId="77777777" w:rsidR="0004323E" w:rsidRPr="0004323E" w:rsidRDefault="0004323E" w:rsidP="0004323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3519BC37" w14:textId="77777777" w:rsidR="0004323E" w:rsidRPr="0004323E" w:rsidRDefault="0004323E" w:rsidP="0004323E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05326424" w14:textId="77777777" w:rsidR="00E257E8" w:rsidRDefault="00E257E8" w:rsidP="00341F1E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7938747E" w14:textId="77777777" w:rsidR="00197EFF" w:rsidRPr="00197EFF" w:rsidRDefault="00197EFF" w:rsidP="00341F1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t>Explanations</w:t>
      </w:r>
    </w:p>
    <w:p w14:paraId="05DA078E" w14:textId="112B99AD" w:rsidR="00E91D0B" w:rsidRPr="003D6FFF" w:rsidRDefault="00E91D0B" w:rsidP="00341F1E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a. Downgraded </w:t>
      </w:r>
      <w:r w:rsidR="00606B2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for risk of bias </w:t>
      </w:r>
    </w:p>
    <w:p w14:paraId="7B403FC3" w14:textId="1E49B1F2" w:rsidR="00915818" w:rsidRPr="003D6FFF" w:rsidRDefault="00E91D0B" w:rsidP="002958D5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b. Downgraded </w:t>
      </w:r>
      <w:r w:rsidR="00560F81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for imprecision</w:t>
      </w:r>
      <w:r w:rsidR="002958D5"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due to low number of participants</w:t>
      </w:r>
    </w:p>
    <w:p w14:paraId="6881089D" w14:textId="354925E5" w:rsidR="002958D5" w:rsidRPr="003D6FFF" w:rsidRDefault="002958D5" w:rsidP="002958D5">
      <w:pP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c. </w:t>
      </w:r>
      <w:r w:rsidRPr="003D6FFF">
        <w:rPr>
          <w:rStyle w:val="apple-converted-space"/>
          <w:rFonts w:asciiTheme="minorHAnsi" w:eastAsiaTheme="majorEastAsia" w:hAnsiTheme="minorHAnsi" w:cstheme="minorHAnsi"/>
          <w:color w:val="000000" w:themeColor="text1"/>
          <w:sz w:val="18"/>
          <w:szCs w:val="18"/>
          <w:lang w:val="en-US"/>
        </w:rPr>
        <w:t xml:space="preserve">Downgraded 1 for 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indirectness due to a single study from a single country, therefore results in this population might not be generalizable to other settings</w:t>
      </w:r>
    </w:p>
    <w:p w14:paraId="1D72C27A" w14:textId="39345A68" w:rsidR="002958D5" w:rsidRDefault="002958D5" w:rsidP="002958D5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</w:p>
    <w:p w14:paraId="47B97FDE" w14:textId="77777777" w:rsidR="00D0156A" w:rsidRPr="00341F1E" w:rsidRDefault="00D0716A" w:rsidP="00341F1E">
      <w:pPr>
        <w:spacing w:line="276" w:lineRule="auto"/>
        <w:rPr>
          <w:rFonts w:ascii="Arial Narrow" w:hAnsi="Arial Narrow"/>
          <w:color w:val="FF0000"/>
          <w:sz w:val="18"/>
          <w:szCs w:val="18"/>
          <w:lang w:val="en"/>
        </w:rPr>
      </w:pPr>
    </w:p>
    <w:sectPr w:rsidR="00D0156A" w:rsidRPr="00341F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0B"/>
    <w:rsid w:val="00006255"/>
    <w:rsid w:val="0004323E"/>
    <w:rsid w:val="000B5E30"/>
    <w:rsid w:val="00130144"/>
    <w:rsid w:val="00133A4C"/>
    <w:rsid w:val="00137ACB"/>
    <w:rsid w:val="00197EFF"/>
    <w:rsid w:val="001C50F0"/>
    <w:rsid w:val="002958D5"/>
    <w:rsid w:val="002E0F24"/>
    <w:rsid w:val="00312C69"/>
    <w:rsid w:val="00321BE0"/>
    <w:rsid w:val="00326B92"/>
    <w:rsid w:val="00341F1E"/>
    <w:rsid w:val="003536F6"/>
    <w:rsid w:val="00356225"/>
    <w:rsid w:val="00363C68"/>
    <w:rsid w:val="003809BA"/>
    <w:rsid w:val="003873EA"/>
    <w:rsid w:val="003D4263"/>
    <w:rsid w:val="003D6FFF"/>
    <w:rsid w:val="003E6BBD"/>
    <w:rsid w:val="004044D8"/>
    <w:rsid w:val="004763B3"/>
    <w:rsid w:val="004B283F"/>
    <w:rsid w:val="00500743"/>
    <w:rsid w:val="0050739D"/>
    <w:rsid w:val="0053090F"/>
    <w:rsid w:val="00560F81"/>
    <w:rsid w:val="00606B2F"/>
    <w:rsid w:val="0061575D"/>
    <w:rsid w:val="00640E02"/>
    <w:rsid w:val="00646581"/>
    <w:rsid w:val="006553B8"/>
    <w:rsid w:val="006A4AAB"/>
    <w:rsid w:val="006D6F43"/>
    <w:rsid w:val="006F71AD"/>
    <w:rsid w:val="00752FDD"/>
    <w:rsid w:val="0077596A"/>
    <w:rsid w:val="007A4401"/>
    <w:rsid w:val="007A7424"/>
    <w:rsid w:val="007C5ECF"/>
    <w:rsid w:val="0080231B"/>
    <w:rsid w:val="008510A3"/>
    <w:rsid w:val="008847EF"/>
    <w:rsid w:val="00893600"/>
    <w:rsid w:val="00893C07"/>
    <w:rsid w:val="008C19F0"/>
    <w:rsid w:val="008C2217"/>
    <w:rsid w:val="00915818"/>
    <w:rsid w:val="00936C01"/>
    <w:rsid w:val="009528A0"/>
    <w:rsid w:val="00971396"/>
    <w:rsid w:val="00982855"/>
    <w:rsid w:val="009903A5"/>
    <w:rsid w:val="009E104F"/>
    <w:rsid w:val="009F7412"/>
    <w:rsid w:val="00A66B6C"/>
    <w:rsid w:val="00AC474B"/>
    <w:rsid w:val="00B15D9A"/>
    <w:rsid w:val="00B359B5"/>
    <w:rsid w:val="00BA2976"/>
    <w:rsid w:val="00BC3B54"/>
    <w:rsid w:val="00C03995"/>
    <w:rsid w:val="00C0613D"/>
    <w:rsid w:val="00C3255B"/>
    <w:rsid w:val="00C92DBB"/>
    <w:rsid w:val="00CE0888"/>
    <w:rsid w:val="00D0716A"/>
    <w:rsid w:val="00D44349"/>
    <w:rsid w:val="00E257E8"/>
    <w:rsid w:val="00E7299A"/>
    <w:rsid w:val="00E779A5"/>
    <w:rsid w:val="00E91D0B"/>
    <w:rsid w:val="00ED1323"/>
    <w:rsid w:val="00ED1C23"/>
    <w:rsid w:val="00EE4A75"/>
    <w:rsid w:val="00EF3DCE"/>
    <w:rsid w:val="00F10C4C"/>
    <w:rsid w:val="00F23D02"/>
    <w:rsid w:val="00F62293"/>
    <w:rsid w:val="00F6238B"/>
    <w:rsid w:val="00F63B77"/>
    <w:rsid w:val="00F64FF6"/>
    <w:rsid w:val="00F85EE1"/>
    <w:rsid w:val="00F91BBB"/>
    <w:rsid w:val="00F965E2"/>
    <w:rsid w:val="00FD1284"/>
    <w:rsid w:val="00FD1A02"/>
    <w:rsid w:val="00FE641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9F12"/>
  <w15:chartTrackingRefBased/>
  <w15:docId w15:val="{BB0B39BC-DE87-4FF6-8780-03CEF08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0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D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91D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91D0B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DefaultParagraphFont"/>
    <w:rsid w:val="00E91D0B"/>
  </w:style>
  <w:style w:type="character" w:customStyle="1" w:styleId="quality-sign">
    <w:name w:val="quality-sign"/>
    <w:basedOn w:val="DefaultParagraphFont"/>
    <w:rsid w:val="00E91D0B"/>
  </w:style>
  <w:style w:type="character" w:customStyle="1" w:styleId="quality-text">
    <w:name w:val="quality-text"/>
    <w:basedOn w:val="DefaultParagraphFont"/>
    <w:rsid w:val="00E91D0B"/>
  </w:style>
  <w:style w:type="character" w:customStyle="1" w:styleId="comma">
    <w:name w:val="comma"/>
    <w:basedOn w:val="DefaultParagraphFont"/>
    <w:rsid w:val="00E91D0B"/>
  </w:style>
  <w:style w:type="character" w:customStyle="1" w:styleId="cell">
    <w:name w:val="cell"/>
    <w:basedOn w:val="DefaultParagraphFont"/>
    <w:rsid w:val="00E91D0B"/>
  </w:style>
  <w:style w:type="character" w:customStyle="1" w:styleId="block">
    <w:name w:val="block"/>
    <w:basedOn w:val="DefaultParagraphFont"/>
    <w:rsid w:val="00E91D0B"/>
  </w:style>
  <w:style w:type="character" w:customStyle="1" w:styleId="cell-value">
    <w:name w:val="cell-value"/>
    <w:basedOn w:val="DefaultParagraphFont"/>
    <w:rsid w:val="00E91D0B"/>
  </w:style>
  <w:style w:type="paragraph" w:customStyle="1" w:styleId="Titel2">
    <w:name w:val="Titel2"/>
    <w:basedOn w:val="Normal"/>
    <w:rsid w:val="00E91D0B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1E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1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26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26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apple-converted-space">
    <w:name w:val="apple-converted-space"/>
    <w:basedOn w:val="DefaultParagraphFont"/>
    <w:rsid w:val="0029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2A8116-BF9E-47D8-AE0D-EA43F4B1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Eik Nielsen</dc:creator>
  <cp:keywords/>
  <dc:description/>
  <cp:lastModifiedBy>chn off35</cp:lastModifiedBy>
  <cp:revision>6</cp:revision>
  <dcterms:created xsi:type="dcterms:W3CDTF">2020-08-07T15:40:00Z</dcterms:created>
  <dcterms:modified xsi:type="dcterms:W3CDTF">2021-02-27T10:39:00Z</dcterms:modified>
</cp:coreProperties>
</file>