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1" w:rsidRDefault="00552CD1" w:rsidP="00552CD1">
      <w:pPr>
        <w:rPr>
          <w:rFonts w:ascii="Times New Roman" w:hAnsi="Times New Roman" w:cs="Times New Roman"/>
          <w:b/>
          <w:bCs/>
        </w:rPr>
      </w:pPr>
    </w:p>
    <w:p w:rsidR="00552CD1" w:rsidRDefault="00552CD1" w:rsidP="00552CD1">
      <w:pPr>
        <w:rPr>
          <w:rFonts w:ascii="Times New Roman" w:hAnsi="Times New Roman" w:cs="Times New Roman"/>
          <w:b/>
          <w:bCs/>
        </w:rPr>
      </w:pPr>
      <w:r w:rsidRPr="009B2F87">
        <w:rPr>
          <w:rFonts w:ascii="Times New Roman" w:hAnsi="Times New Roman" w:cs="Times New Roman"/>
          <w:b/>
          <w:bCs/>
        </w:rPr>
        <w:t>Tab</w:t>
      </w:r>
      <w:r>
        <w:rPr>
          <w:rFonts w:ascii="Times New Roman" w:hAnsi="Times New Roman" w:cs="Times New Roman"/>
          <w:b/>
          <w:bCs/>
        </w:rPr>
        <w:t>le</w:t>
      </w:r>
      <w:r w:rsidRPr="009B2F87">
        <w:rPr>
          <w:rFonts w:ascii="Times New Roman" w:hAnsi="Times New Roman" w:cs="Times New Roman"/>
          <w:b/>
          <w:bCs/>
        </w:rPr>
        <w:t xml:space="preserve"> S1 </w:t>
      </w:r>
      <w:r>
        <w:rPr>
          <w:rFonts w:ascii="Times New Roman" w:hAnsi="Times New Roman" w:cs="Times New Roman"/>
          <w:b/>
          <w:bCs/>
        </w:rPr>
        <w:t>B</w:t>
      </w:r>
      <w:r w:rsidRPr="009B2F87">
        <w:rPr>
          <w:rFonts w:ascii="Times New Roman" w:hAnsi="Times New Roman" w:cs="Times New Roman"/>
          <w:b/>
          <w:bCs/>
        </w:rPr>
        <w:t>acterial strains and plasmids used in this study</w:t>
      </w:r>
    </w:p>
    <w:p w:rsidR="00552CD1" w:rsidRPr="009B2F87" w:rsidRDefault="00552CD1" w:rsidP="00552CD1">
      <w:pPr>
        <w:rPr>
          <w:rFonts w:ascii="Times New Roman" w:hAnsi="Times New Roman" w:cs="Times New Roman"/>
          <w:b/>
          <w:bCs/>
        </w:rPr>
      </w:pPr>
    </w:p>
    <w:tbl>
      <w:tblPr>
        <w:tblStyle w:val="TableGrid"/>
        <w:tblW w:w="0" w:type="auto"/>
        <w:tblLook w:val="04A0" w:firstRow="1" w:lastRow="0" w:firstColumn="1" w:lastColumn="0" w:noHBand="0" w:noVBand="1"/>
      </w:tblPr>
      <w:tblGrid>
        <w:gridCol w:w="2414"/>
        <w:gridCol w:w="5893"/>
        <w:gridCol w:w="1269"/>
      </w:tblGrid>
      <w:tr w:rsidR="00552CD1" w:rsidRPr="00E62C42" w:rsidTr="00765D55">
        <w:trPr>
          <w:trHeight w:val="280"/>
        </w:trPr>
        <w:tc>
          <w:tcPr>
            <w:tcW w:w="2547" w:type="dxa"/>
            <w:noWrap/>
            <w:hideMark/>
          </w:tcPr>
          <w:p w:rsidR="00552CD1" w:rsidRPr="00E62C42" w:rsidRDefault="00552CD1" w:rsidP="00765D55">
            <w:pPr>
              <w:jc w:val="center"/>
              <w:rPr>
                <w:rFonts w:ascii="Times New Roman" w:hAnsi="Times New Roman" w:cs="Times New Roman"/>
                <w:b/>
                <w:bCs/>
                <w:sz w:val="20"/>
                <w:szCs w:val="20"/>
              </w:rPr>
            </w:pPr>
            <w:r w:rsidRPr="00113D6D">
              <w:rPr>
                <w:rFonts w:ascii="Times New Roman" w:hAnsi="Times New Roman" w:cs="Times New Roman"/>
                <w:b/>
                <w:bCs/>
                <w:sz w:val="20"/>
                <w:szCs w:val="20"/>
              </w:rPr>
              <w:t>Names</w:t>
            </w:r>
          </w:p>
        </w:tc>
        <w:tc>
          <w:tcPr>
            <w:tcW w:w="6237" w:type="dxa"/>
            <w:noWrap/>
            <w:hideMark/>
          </w:tcPr>
          <w:p w:rsidR="00552CD1" w:rsidRPr="00E62C42" w:rsidRDefault="00552CD1" w:rsidP="00765D55">
            <w:pPr>
              <w:jc w:val="center"/>
              <w:rPr>
                <w:rFonts w:ascii="Times New Roman" w:hAnsi="Times New Roman" w:cs="Times New Roman"/>
                <w:b/>
                <w:bCs/>
                <w:sz w:val="20"/>
                <w:szCs w:val="20"/>
              </w:rPr>
            </w:pPr>
            <w:r w:rsidRPr="00113D6D">
              <w:rPr>
                <w:rFonts w:ascii="Times New Roman" w:hAnsi="Times New Roman" w:cs="Times New Roman"/>
                <w:b/>
                <w:bCs/>
                <w:sz w:val="20"/>
                <w:szCs w:val="20"/>
              </w:rPr>
              <w:t>Characteristics</w:t>
            </w:r>
          </w:p>
        </w:tc>
        <w:tc>
          <w:tcPr>
            <w:tcW w:w="1333" w:type="dxa"/>
            <w:noWrap/>
            <w:hideMark/>
          </w:tcPr>
          <w:p w:rsidR="00552CD1" w:rsidRPr="00E62C42" w:rsidRDefault="00552CD1" w:rsidP="00765D55">
            <w:pPr>
              <w:jc w:val="center"/>
              <w:rPr>
                <w:rFonts w:ascii="Times New Roman" w:hAnsi="Times New Roman" w:cs="Times New Roman"/>
                <w:b/>
                <w:bCs/>
                <w:sz w:val="20"/>
                <w:szCs w:val="20"/>
              </w:rPr>
            </w:pPr>
            <w:r w:rsidRPr="00113D6D">
              <w:rPr>
                <w:rFonts w:ascii="Times New Roman" w:hAnsi="Times New Roman" w:cs="Times New Roman"/>
                <w:b/>
                <w:bCs/>
                <w:sz w:val="20"/>
                <w:szCs w:val="20"/>
              </w:rPr>
              <w:t>References or source</w:t>
            </w:r>
            <w:r>
              <w:rPr>
                <w:rFonts w:ascii="Times New Roman" w:hAnsi="Times New Roman" w:cs="Times New Roman"/>
                <w:b/>
                <w:bCs/>
                <w:sz w:val="20"/>
                <w:szCs w:val="20"/>
              </w:rPr>
              <w:t>s</w:t>
            </w:r>
          </w:p>
        </w:tc>
      </w:tr>
      <w:tr w:rsidR="00552CD1" w:rsidRPr="00E62C42" w:rsidTr="00765D55">
        <w:trPr>
          <w:trHeight w:val="280"/>
        </w:trPr>
        <w:tc>
          <w:tcPr>
            <w:tcW w:w="10117" w:type="dxa"/>
            <w:gridSpan w:val="3"/>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i/>
                <w:iCs/>
                <w:sz w:val="20"/>
                <w:szCs w:val="20"/>
              </w:rPr>
              <w:t>Xanthomonas campestris</w:t>
            </w:r>
            <w:r w:rsidRPr="00113D6D">
              <w:rPr>
                <w:rFonts w:ascii="Times New Roman" w:hAnsi="Times New Roman" w:cs="Times New Roman"/>
                <w:sz w:val="20"/>
                <w:szCs w:val="20"/>
              </w:rPr>
              <w:t xml:space="preserve"> pv. </w:t>
            </w:r>
            <w:r w:rsidRPr="00113D6D">
              <w:rPr>
                <w:rFonts w:ascii="Times New Roman" w:hAnsi="Times New Roman" w:cs="Times New Roman"/>
                <w:i/>
                <w:iCs/>
                <w:sz w:val="20"/>
                <w:szCs w:val="20"/>
              </w:rPr>
              <w:t>campestris</w:t>
            </w:r>
            <w:r w:rsidRPr="00113D6D">
              <w:rPr>
                <w:rFonts w:ascii="Times New Roman" w:hAnsi="Times New Roman" w:cs="Times New Roman"/>
                <w:sz w:val="20"/>
                <w:szCs w:val="20"/>
              </w:rPr>
              <w:t xml:space="preserve"> strain</w:t>
            </w:r>
            <w:r>
              <w:rPr>
                <w:rFonts w:ascii="Times New Roman" w:hAnsi="Times New Roman" w:cs="Times New Roman" w:hint="eastAsia"/>
                <w:sz w:val="20"/>
                <w:szCs w:val="20"/>
              </w:rPr>
              <w:t>s</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8004</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Wild type,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1]</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ΔavrBs1</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deletion of </w:t>
            </w:r>
            <w:r w:rsidRPr="00113D6D">
              <w:rPr>
                <w:rFonts w:ascii="Times New Roman" w:hAnsi="Times New Roman" w:cs="Times New Roman"/>
                <w:i/>
                <w:iCs/>
                <w:sz w:val="20"/>
                <w:szCs w:val="20"/>
              </w:rPr>
              <w:t>avrBs1</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ΔhrcV</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deletion of </w:t>
            </w:r>
            <w:r w:rsidRPr="00113D6D">
              <w:rPr>
                <w:rFonts w:ascii="Times New Roman" w:hAnsi="Times New Roman" w:cs="Times New Roman"/>
                <w:i/>
                <w:iCs/>
                <w:sz w:val="20"/>
                <w:szCs w:val="20"/>
              </w:rPr>
              <w:t>hrcV</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ΔhrcN</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deletion of </w:t>
            </w:r>
            <w:r w:rsidRPr="00113D6D">
              <w:rPr>
                <w:rFonts w:ascii="Times New Roman" w:hAnsi="Times New Roman" w:cs="Times New Roman"/>
                <w:i/>
                <w:iCs/>
                <w:sz w:val="20"/>
                <w:szCs w:val="20"/>
              </w:rPr>
              <w:t>hrcN</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ΔhrpF</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deletion of </w:t>
            </w:r>
            <w:r w:rsidRPr="00113D6D">
              <w:rPr>
                <w:rFonts w:ascii="Times New Roman" w:hAnsi="Times New Roman" w:cs="Times New Roman"/>
                <w:i/>
                <w:iCs/>
                <w:sz w:val="20"/>
                <w:szCs w:val="20"/>
              </w:rPr>
              <w:t>hrpF</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in frame deletion of </w:t>
            </w:r>
            <w:r w:rsidRPr="00113D6D">
              <w:rPr>
                <w:rFonts w:ascii="Times New Roman" w:hAnsi="Times New Roman" w:cs="Times New Roman"/>
                <w:i/>
                <w:iCs/>
                <w:sz w:val="20"/>
                <w:szCs w:val="20"/>
              </w:rPr>
              <w:t>hpaB</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Δ45-160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in frame deletion of 45-160 codons of </w:t>
            </w:r>
            <w:r w:rsidRPr="00113D6D">
              <w:rPr>
                <w:rFonts w:ascii="Times New Roman" w:hAnsi="Times New Roman" w:cs="Times New Roman"/>
                <w:i/>
                <w:iCs/>
                <w:sz w:val="20"/>
                <w:szCs w:val="20"/>
              </w:rPr>
              <w:t>hpaB</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Δ137-160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in frame deletion of 137-160 codons of </w:t>
            </w:r>
            <w:r w:rsidRPr="00113D6D">
              <w:rPr>
                <w:rFonts w:ascii="Times New Roman" w:hAnsi="Times New Roman" w:cs="Times New Roman"/>
                <w:i/>
                <w:iCs/>
                <w:sz w:val="20"/>
                <w:szCs w:val="20"/>
              </w:rPr>
              <w:t>hpaB</w:t>
            </w:r>
            <w:r w:rsidRPr="00113D6D">
              <w:rPr>
                <w:rFonts w:ascii="Times New Roman" w:hAnsi="Times New Roman" w:cs="Times New Roman"/>
                <w:sz w:val="20"/>
                <w:szCs w:val="20"/>
              </w:rPr>
              <w:t xml:space="preserve"> gene in 8004, Rif</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CΔhrcN</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complementation of ΔhrcN containing pJNhrcN,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CΔhpaB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complementation of ΔhpaB containing pJNhpaB,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CΔ45-160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complementation of Δ45-160 containing pJNhpaB,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CΔ137-160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complementation of Δ137-160 containing pJNhpaB,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ΔavrBs1/pJAG1553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ΔavrBs1 containing pJAG1553,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ΔhpaB/pJAG1553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ΔhpaB containing pJAG1553,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Δ45-160/pJAG1553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Δ45-160 containing pJAG1553,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Δ137-160/pJAG1553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Δ137-160 containing pJAG1553, Rif</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280"/>
        </w:trPr>
        <w:tc>
          <w:tcPr>
            <w:tcW w:w="2547" w:type="dxa"/>
            <w:noWrap/>
            <w:hideMark/>
          </w:tcPr>
          <w:p w:rsidR="00552CD1" w:rsidRPr="00E62C42" w:rsidRDefault="00552CD1" w:rsidP="00765D55">
            <w:pPr>
              <w:rPr>
                <w:rFonts w:ascii="Times New Roman" w:hAnsi="Times New Roman" w:cs="Times New Roman"/>
                <w:sz w:val="20"/>
                <w:szCs w:val="20"/>
              </w:rPr>
            </w:pPr>
          </w:p>
        </w:tc>
        <w:tc>
          <w:tcPr>
            <w:tcW w:w="6237" w:type="dxa"/>
            <w:noWrap/>
            <w:hideMark/>
          </w:tcPr>
          <w:p w:rsidR="00552CD1" w:rsidRPr="00E62C42" w:rsidRDefault="00552CD1" w:rsidP="00765D55">
            <w:pPr>
              <w:rPr>
                <w:rFonts w:ascii="Times New Roman" w:hAnsi="Times New Roman" w:cs="Times New Roman"/>
                <w:sz w:val="20"/>
                <w:szCs w:val="20"/>
              </w:rPr>
            </w:pPr>
          </w:p>
        </w:tc>
        <w:tc>
          <w:tcPr>
            <w:tcW w:w="1333" w:type="dxa"/>
            <w:noWrap/>
            <w:hideMark/>
          </w:tcPr>
          <w:p w:rsidR="00552CD1" w:rsidRPr="00E62C42" w:rsidRDefault="00552CD1" w:rsidP="00765D55">
            <w:pPr>
              <w:rPr>
                <w:rFonts w:ascii="Times New Roman" w:hAnsi="Times New Roman" w:cs="Times New Roman"/>
                <w:sz w:val="20"/>
                <w:szCs w:val="20"/>
              </w:rPr>
            </w:pPr>
          </w:p>
        </w:tc>
      </w:tr>
      <w:tr w:rsidR="00552CD1" w:rsidRPr="00E62C42" w:rsidTr="00765D55">
        <w:trPr>
          <w:trHeight w:val="280"/>
        </w:trPr>
        <w:tc>
          <w:tcPr>
            <w:tcW w:w="10117" w:type="dxa"/>
            <w:gridSpan w:val="3"/>
            <w:noWrap/>
            <w:hideMark/>
          </w:tcPr>
          <w:p w:rsidR="00552CD1" w:rsidRPr="00E62C42" w:rsidRDefault="00552CD1" w:rsidP="00765D55">
            <w:pPr>
              <w:rPr>
                <w:rFonts w:ascii="Times New Roman" w:hAnsi="Times New Roman" w:cs="Times New Roman"/>
                <w:sz w:val="20"/>
                <w:szCs w:val="20"/>
              </w:rPr>
            </w:pPr>
            <w:r w:rsidRPr="00EC16D4">
              <w:rPr>
                <w:rFonts w:ascii="Times New Roman" w:hAnsi="Times New Roman" w:cs="Times New Roman"/>
                <w:i/>
                <w:sz w:val="20"/>
                <w:szCs w:val="20"/>
              </w:rPr>
              <w:t>E</w:t>
            </w:r>
            <w:r w:rsidRPr="00113D6D">
              <w:rPr>
                <w:rFonts w:ascii="Times New Roman" w:hAnsi="Times New Roman" w:cs="Times New Roman"/>
                <w:sz w:val="20"/>
                <w:szCs w:val="20"/>
              </w:rPr>
              <w:t xml:space="preserve">. </w:t>
            </w:r>
            <w:r w:rsidRPr="00EC16D4">
              <w:rPr>
                <w:rFonts w:ascii="Times New Roman" w:hAnsi="Times New Roman" w:cs="Times New Roman"/>
                <w:i/>
                <w:sz w:val="20"/>
                <w:szCs w:val="20"/>
              </w:rPr>
              <w:t>coli</w:t>
            </w:r>
          </w:p>
        </w:tc>
      </w:tr>
      <w:tr w:rsidR="00552CD1" w:rsidRPr="00E62C42" w:rsidTr="00765D55">
        <w:trPr>
          <w:trHeight w:val="28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DH5</w:t>
            </w:r>
            <w:r w:rsidRPr="00BF0C5F">
              <w:rPr>
                <w:rFonts w:ascii="Times New Roman" w:hAnsi="Times New Roman" w:cs="Times New Roman"/>
                <w:i/>
                <w:sz w:val="20"/>
                <w:szCs w:val="20"/>
              </w:rPr>
              <w:t>α</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F</w:t>
            </w:r>
            <w:r w:rsidRPr="00113D6D">
              <w:rPr>
                <w:rFonts w:ascii="Times New Roman" w:hAnsi="Times New Roman" w:cs="Times New Roman"/>
                <w:sz w:val="20"/>
                <w:szCs w:val="20"/>
                <w:vertAlign w:val="superscript"/>
              </w:rPr>
              <w:t>-</w:t>
            </w:r>
            <w:r>
              <w:rPr>
                <w:rFonts w:ascii="Times New Roman" w:hAnsi="Times New Roman" w:cs="Times New Roman" w:hint="eastAsia"/>
                <w:sz w:val="20"/>
                <w:szCs w:val="20"/>
                <w:vertAlign w:val="superscript"/>
              </w:rPr>
              <w:t xml:space="preserve"> </w:t>
            </w:r>
            <w:r w:rsidRPr="00113D6D">
              <w:rPr>
                <w:rFonts w:ascii="Times New Roman" w:hAnsi="Times New Roman" w:cs="Times New Roman"/>
                <w:i/>
                <w:sz w:val="20"/>
                <w:szCs w:val="20"/>
              </w:rPr>
              <w:t>recA</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hsdR17</w:t>
            </w:r>
            <w:r>
              <w:rPr>
                <w:rFonts w:ascii="Times New Roman" w:hAnsi="Times New Roman" w:cs="Times New Roman" w:hint="eastAsia"/>
                <w:sz w:val="20"/>
                <w:szCs w:val="20"/>
              </w:rPr>
              <w:t xml:space="preserve"> </w:t>
            </w:r>
            <w:r w:rsidRPr="00113D6D">
              <w:rPr>
                <w:rFonts w:ascii="Times New Roman" w:hAnsi="Times New Roman" w:cs="Times New Roman"/>
                <w:sz w:val="20"/>
                <w:szCs w:val="20"/>
              </w:rPr>
              <w:t>(</w:t>
            </w:r>
            <w:r w:rsidRPr="00C146CF">
              <w:rPr>
                <w:rFonts w:ascii="Times New Roman" w:hAnsi="Times New Roman" w:cs="Times New Roman"/>
                <w:i/>
                <w:sz w:val="20"/>
                <w:szCs w:val="20"/>
              </w:rPr>
              <w:t>rk</w:t>
            </w:r>
            <w:r w:rsidRPr="00C146CF">
              <w:rPr>
                <w:rFonts w:ascii="Times New Roman" w:hAnsi="Times New Roman" w:cs="Times New Roman"/>
                <w:i/>
                <w:sz w:val="20"/>
                <w:szCs w:val="20"/>
                <w:vertAlign w:val="superscript"/>
              </w:rPr>
              <w:t>-</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mk</w:t>
            </w:r>
            <w:r w:rsidRPr="00C146CF">
              <w:rPr>
                <w:rFonts w:ascii="Times New Roman" w:hAnsi="Times New Roman" w:cs="Times New Roman"/>
                <w:i/>
                <w:sz w:val="20"/>
                <w:szCs w:val="20"/>
                <w:vertAlign w:val="superscript"/>
              </w:rPr>
              <w:t>+</w:t>
            </w:r>
            <w:r w:rsidRPr="00113D6D">
              <w:rPr>
                <w:rFonts w:ascii="Times New Roman" w:hAnsi="Times New Roman" w:cs="Times New Roman"/>
                <w:sz w:val="20"/>
                <w:szCs w:val="20"/>
              </w:rPr>
              <w:t xml:space="preserve">) </w:t>
            </w:r>
            <w:r w:rsidRPr="00C146CF">
              <w:rPr>
                <w:rFonts w:ascii="Cambria Math" w:hAnsi="Cambria Math" w:cs="Cambria Math"/>
                <w:i/>
                <w:sz w:val="20"/>
                <w:szCs w:val="20"/>
              </w:rPr>
              <w:t>𝛷</w:t>
            </w:r>
            <w:r w:rsidRPr="00C146CF">
              <w:rPr>
                <w:rFonts w:ascii="Times New Roman" w:hAnsi="Times New Roman" w:cs="Times New Roman"/>
                <w:i/>
                <w:sz w:val="20"/>
                <w:szCs w:val="20"/>
              </w:rPr>
              <w:t>80</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dLacZ</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DM15</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Gibco BRL, Life Technologies</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BL21(DE3)</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F</w:t>
            </w:r>
            <w:r w:rsidRPr="00113D6D">
              <w:rPr>
                <w:rFonts w:ascii="Times New Roman" w:hAnsi="Times New Roman" w:cs="Times New Roman"/>
                <w:sz w:val="20"/>
                <w:szCs w:val="20"/>
                <w:vertAlign w:val="superscript"/>
              </w:rPr>
              <w:t>-</w:t>
            </w:r>
            <w:r>
              <w:rPr>
                <w:rFonts w:ascii="Times New Roman" w:hAnsi="Times New Roman" w:cs="Times New Roman" w:hint="eastAsia"/>
                <w:sz w:val="20"/>
                <w:szCs w:val="20"/>
                <w:vertAlign w:val="superscript"/>
              </w:rPr>
              <w:t xml:space="preserve"> </w:t>
            </w:r>
            <w:r w:rsidRPr="00C146CF">
              <w:rPr>
                <w:rFonts w:ascii="Times New Roman" w:hAnsi="Times New Roman" w:cs="Times New Roman"/>
                <w:i/>
                <w:sz w:val="20"/>
                <w:szCs w:val="20"/>
              </w:rPr>
              <w:t>ompT</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hsdR17</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rB</w:t>
            </w:r>
            <w:r w:rsidRPr="00C146CF">
              <w:rPr>
                <w:rFonts w:ascii="Times New Roman" w:hAnsi="Times New Roman" w:cs="Times New Roman"/>
                <w:i/>
                <w:sz w:val="20"/>
                <w:szCs w:val="20"/>
                <w:vertAlign w:val="superscript"/>
              </w:rPr>
              <w:t>-</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mB</w:t>
            </w:r>
            <w:r w:rsidRPr="00C146CF">
              <w:rPr>
                <w:rFonts w:ascii="Times New Roman" w:hAnsi="Times New Roman" w:cs="Times New Roman"/>
                <w:i/>
                <w:sz w:val="20"/>
                <w:szCs w:val="20"/>
                <w:vertAlign w:val="superscript"/>
              </w:rPr>
              <w:t>+</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gal</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dcm</w:t>
            </w:r>
            <w:r w:rsidRPr="00113D6D">
              <w:rPr>
                <w:rFonts w:ascii="Times New Roman" w:hAnsi="Times New Roman" w:cs="Times New Roman"/>
                <w:sz w:val="20"/>
                <w:szCs w:val="20"/>
              </w:rPr>
              <w:t xml:space="preserve"> (</w:t>
            </w:r>
            <w:r w:rsidRPr="00C146CF">
              <w:rPr>
                <w:rFonts w:ascii="Times New Roman" w:hAnsi="Times New Roman" w:cs="Times New Roman"/>
                <w:i/>
                <w:sz w:val="20"/>
                <w:szCs w:val="20"/>
              </w:rPr>
              <w:t>DE3</w:t>
            </w:r>
            <w:r w:rsidRPr="00113D6D">
              <w:rPr>
                <w:rFonts w:ascii="Times New Roman" w:hAnsi="Times New Roman" w:cs="Times New Roman"/>
                <w:sz w:val="20"/>
                <w:szCs w:val="20"/>
              </w:rPr>
              <w:t>)</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Novagen</w:t>
            </w:r>
          </w:p>
        </w:tc>
      </w:tr>
      <w:tr w:rsidR="00552CD1" w:rsidRPr="00E62C42" w:rsidTr="00765D55">
        <w:trPr>
          <w:trHeight w:val="28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C43(DE3)</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BL21(DE3), better expression of toxic proteins</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2]</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ED8767/pRK2073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Helper strain containing pRK2073, </w:t>
            </w:r>
            <w:r w:rsidRPr="00113D6D">
              <w:rPr>
                <w:rFonts w:ascii="Times New Roman" w:hAnsi="Times New Roman" w:cs="Times New Roman"/>
                <w:i/>
                <w:sz w:val="20"/>
                <w:szCs w:val="20"/>
              </w:rPr>
              <w:t>recA met</w:t>
            </w:r>
            <w:r w:rsidRPr="00113D6D">
              <w:rPr>
                <w:rFonts w:ascii="Times New Roman" w:hAnsi="Times New Roman" w:cs="Times New Roman"/>
                <w:sz w:val="20"/>
                <w:szCs w:val="20"/>
              </w:rPr>
              <w:t>, Spc</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w:t>
            </w:r>
          </w:p>
        </w:tc>
      </w:tr>
      <w:tr w:rsidR="00552CD1" w:rsidRPr="00E62C42" w:rsidTr="00765D55">
        <w:trPr>
          <w:trHeight w:val="280"/>
        </w:trPr>
        <w:tc>
          <w:tcPr>
            <w:tcW w:w="2547" w:type="dxa"/>
            <w:noWrap/>
            <w:hideMark/>
          </w:tcPr>
          <w:p w:rsidR="00552CD1" w:rsidRPr="00E62C42" w:rsidRDefault="00552CD1" w:rsidP="00765D55">
            <w:pPr>
              <w:rPr>
                <w:rFonts w:ascii="Times New Roman" w:hAnsi="Times New Roman" w:cs="Times New Roman"/>
                <w:sz w:val="20"/>
                <w:szCs w:val="20"/>
              </w:rPr>
            </w:pPr>
          </w:p>
        </w:tc>
        <w:tc>
          <w:tcPr>
            <w:tcW w:w="6237" w:type="dxa"/>
            <w:noWrap/>
            <w:hideMark/>
          </w:tcPr>
          <w:p w:rsidR="00552CD1" w:rsidRPr="00E62C42" w:rsidRDefault="00552CD1" w:rsidP="00765D55">
            <w:pPr>
              <w:rPr>
                <w:rFonts w:ascii="Times New Roman" w:hAnsi="Times New Roman" w:cs="Times New Roman"/>
                <w:sz w:val="20"/>
                <w:szCs w:val="20"/>
              </w:rPr>
            </w:pPr>
          </w:p>
        </w:tc>
        <w:tc>
          <w:tcPr>
            <w:tcW w:w="1333" w:type="dxa"/>
            <w:noWrap/>
            <w:hideMark/>
          </w:tcPr>
          <w:p w:rsidR="00552CD1" w:rsidRPr="00E62C42" w:rsidRDefault="00552CD1" w:rsidP="00765D55">
            <w:pPr>
              <w:rPr>
                <w:rFonts w:ascii="Times New Roman" w:hAnsi="Times New Roman" w:cs="Times New Roman"/>
                <w:sz w:val="20"/>
                <w:szCs w:val="20"/>
              </w:rPr>
            </w:pPr>
          </w:p>
        </w:tc>
      </w:tr>
      <w:tr w:rsidR="00552CD1" w:rsidRPr="00E62C42" w:rsidTr="00765D55">
        <w:trPr>
          <w:trHeight w:val="28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plasmids</w:t>
            </w:r>
          </w:p>
        </w:tc>
        <w:tc>
          <w:tcPr>
            <w:tcW w:w="6237" w:type="dxa"/>
            <w:noWrap/>
            <w:hideMark/>
          </w:tcPr>
          <w:p w:rsidR="00552CD1" w:rsidRPr="00E62C42" w:rsidRDefault="00552CD1" w:rsidP="00765D55">
            <w:pPr>
              <w:rPr>
                <w:rFonts w:ascii="Times New Roman" w:hAnsi="Times New Roman" w:cs="Times New Roman"/>
                <w:sz w:val="20"/>
                <w:szCs w:val="20"/>
              </w:rPr>
            </w:pPr>
          </w:p>
        </w:tc>
        <w:tc>
          <w:tcPr>
            <w:tcW w:w="1333" w:type="dxa"/>
            <w:noWrap/>
            <w:hideMark/>
          </w:tcPr>
          <w:p w:rsidR="00552CD1" w:rsidRPr="00E62C42" w:rsidRDefault="00552CD1" w:rsidP="00765D55">
            <w:pPr>
              <w:rPr>
                <w:rFonts w:ascii="Times New Roman" w:hAnsi="Times New Roman" w:cs="Times New Roman"/>
                <w:sz w:val="20"/>
                <w:szCs w:val="20"/>
              </w:rPr>
            </w:pP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pK18mobsacB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Suicide plasmid, </w:t>
            </w:r>
            <w:r w:rsidRPr="00113D6D">
              <w:rPr>
                <w:rFonts w:ascii="Times New Roman" w:hAnsi="Times New Roman" w:cs="Times New Roman"/>
                <w:i/>
                <w:iCs/>
                <w:sz w:val="20"/>
                <w:szCs w:val="20"/>
              </w:rPr>
              <w:t>sacB</w:t>
            </w:r>
            <w:r w:rsidRPr="00113D6D">
              <w:rPr>
                <w:rFonts w:ascii="Times New Roman" w:hAnsi="Times New Roman" w:cs="Times New Roman"/>
                <w:sz w:val="20"/>
                <w:szCs w:val="20"/>
              </w:rPr>
              <w:t>,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4]</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pK18</w:t>
            </w:r>
            <w:r>
              <w:rPr>
                <w:rFonts w:ascii="Times New Roman" w:hAnsi="Times New Roman" w:cs="Times New Roman"/>
                <w:sz w:val="20"/>
                <w:szCs w:val="20"/>
              </w:rPr>
              <w:t>-</w:t>
            </w:r>
            <w:r w:rsidRPr="00113D6D">
              <w:rPr>
                <w:rFonts w:ascii="Times New Roman" w:hAnsi="Times New Roman" w:cs="Times New Roman"/>
                <w:sz w:val="20"/>
                <w:szCs w:val="20"/>
              </w:rPr>
              <w:t>ΔhpaB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pK18mobsacB containing hpaB flanking regions,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pK18</w:t>
            </w:r>
            <w:r>
              <w:rPr>
                <w:rFonts w:ascii="Times New Roman" w:hAnsi="Times New Roman" w:cs="Times New Roman"/>
                <w:sz w:val="20"/>
                <w:szCs w:val="20"/>
              </w:rPr>
              <w:t>-</w:t>
            </w:r>
            <w:r w:rsidRPr="00113D6D">
              <w:rPr>
                <w:rFonts w:ascii="Times New Roman" w:hAnsi="Times New Roman" w:cs="Times New Roman"/>
                <w:sz w:val="20"/>
                <w:szCs w:val="20"/>
              </w:rPr>
              <w:t>Δ45-160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pK18mobsacB containing flanking-regions of 45-160 codons of</w:t>
            </w:r>
            <w:r w:rsidRPr="00113D6D">
              <w:rPr>
                <w:rFonts w:ascii="Times New Roman" w:hAnsi="Times New Roman" w:cs="Times New Roman"/>
                <w:i/>
                <w:iCs/>
                <w:sz w:val="20"/>
                <w:szCs w:val="20"/>
              </w:rPr>
              <w:t xml:space="preserve"> hpaB</w:t>
            </w:r>
            <w:r w:rsidRPr="00113D6D">
              <w:rPr>
                <w:rFonts w:ascii="Times New Roman" w:hAnsi="Times New Roman" w:cs="Times New Roman"/>
                <w:sz w:val="20"/>
                <w:szCs w:val="20"/>
              </w:rPr>
              <w:t>,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pK18</w:t>
            </w:r>
            <w:r>
              <w:rPr>
                <w:rFonts w:ascii="Times New Roman" w:hAnsi="Times New Roman" w:cs="Times New Roman"/>
                <w:sz w:val="20"/>
                <w:szCs w:val="20"/>
              </w:rPr>
              <w:t>-</w:t>
            </w:r>
            <w:r w:rsidRPr="00113D6D">
              <w:rPr>
                <w:rFonts w:ascii="Times New Roman" w:hAnsi="Times New Roman" w:cs="Times New Roman"/>
                <w:sz w:val="20"/>
                <w:szCs w:val="20"/>
              </w:rPr>
              <w:t>Δ137-160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derivative of pK18mobsacB containing flanking-regions of 137-160 codons of </w:t>
            </w:r>
            <w:r w:rsidRPr="00113D6D">
              <w:rPr>
                <w:rFonts w:ascii="Times New Roman" w:hAnsi="Times New Roman" w:cs="Times New Roman"/>
                <w:i/>
                <w:iCs/>
                <w:sz w:val="20"/>
                <w:szCs w:val="20"/>
              </w:rPr>
              <w:t>hpaB</w:t>
            </w:r>
            <w:r w:rsidRPr="00113D6D">
              <w:rPr>
                <w:rFonts w:ascii="Times New Roman" w:hAnsi="Times New Roman" w:cs="Times New Roman"/>
                <w:sz w:val="20"/>
                <w:szCs w:val="20"/>
              </w:rPr>
              <w:t>,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Expression plasmid, T7 promoter,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Novagen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pET30a-1553</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His-AvrAC,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lastRenderedPageBreak/>
              <w:t>pET30a-2081</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His-AvrBs1,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pET30a-3006</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His-HrcN,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pET30a-3012</w:t>
            </w:r>
          </w:p>
        </w:tc>
        <w:tc>
          <w:tcPr>
            <w:tcW w:w="6237"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His-HrcU, Kan</w:t>
            </w:r>
            <w:r w:rsidRPr="00113D6D">
              <w:rPr>
                <w:rFonts w:ascii="Times New Roman" w:hAnsi="Times New Roman" w:cs="Times New Roman"/>
                <w:sz w:val="20"/>
                <w:szCs w:val="20"/>
                <w:vertAlign w:val="superscript"/>
              </w:rPr>
              <w:t>r</w:t>
            </w:r>
          </w:p>
        </w:tc>
        <w:tc>
          <w:tcPr>
            <w:tcW w:w="1333"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pET30a-3015</w:t>
            </w:r>
          </w:p>
        </w:tc>
        <w:tc>
          <w:tcPr>
            <w:tcW w:w="6237"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His-HrcQ, Kan</w:t>
            </w:r>
            <w:r w:rsidRPr="00113D6D">
              <w:rPr>
                <w:rFonts w:ascii="Times New Roman" w:hAnsi="Times New Roman" w:cs="Times New Roman"/>
                <w:sz w:val="20"/>
                <w:szCs w:val="20"/>
                <w:vertAlign w:val="superscript"/>
              </w:rPr>
              <w:t>r</w:t>
            </w:r>
          </w:p>
        </w:tc>
        <w:tc>
          <w:tcPr>
            <w:tcW w:w="1333" w:type="dxa"/>
            <w:noWrap/>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pET30a-3018</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His-HpaA,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pET30a-HpaB</w:t>
            </w:r>
            <w:r w:rsidRPr="00113D6D">
              <w:rPr>
                <w:rFonts w:ascii="Times New Roman" w:hAnsi="Times New Roman" w:cs="Times New Roman"/>
                <w:sz w:val="20"/>
                <w:szCs w:val="20"/>
                <w:vertAlign w:val="subscript"/>
              </w:rPr>
              <w:t>1-144</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His-HpaB</w:t>
            </w:r>
            <w:r w:rsidRPr="00113D6D">
              <w:rPr>
                <w:rFonts w:ascii="Times New Roman" w:hAnsi="Times New Roman" w:cs="Times New Roman"/>
                <w:sz w:val="20"/>
                <w:szCs w:val="20"/>
                <w:vertAlign w:val="subscript"/>
              </w:rPr>
              <w:t>1-144</w:t>
            </w:r>
            <w:r w:rsidRPr="00113D6D">
              <w:rPr>
                <w:rFonts w:ascii="Times New Roman" w:hAnsi="Times New Roman" w:cs="Times New Roman"/>
                <w:sz w:val="20"/>
                <w:szCs w:val="20"/>
              </w:rPr>
              <w:t>,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pET30a-3176</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pET30a encoding 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His-XC3176, Kan</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pET32a</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Expression plasmid, T7 promoter, N-Trx tag,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Novagen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pET32a-HpaB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derivative of pET32a encoding Trx-6</w:t>
            </w:r>
            <w:r w:rsidRPr="00883F1F">
              <w:rPr>
                <w:rFonts w:ascii="Times New Roman" w:hAnsi="Times New Roman" w:cs="Times New Roman"/>
                <w:bCs/>
                <w:iCs/>
                <w:color w:val="000000" w:themeColor="text1"/>
                <w:sz w:val="20"/>
                <w:szCs w:val="20"/>
                <w:shd w:val="clear" w:color="auto" w:fill="FFFFFF"/>
              </w:rPr>
              <w:t>×</w:t>
            </w:r>
            <w:r w:rsidRPr="00113D6D">
              <w:rPr>
                <w:rFonts w:ascii="Times New Roman" w:hAnsi="Times New Roman" w:cs="Times New Roman"/>
                <w:sz w:val="20"/>
                <w:szCs w:val="20"/>
              </w:rPr>
              <w:t>His-HpaB,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i/>
                <w:iCs/>
                <w:sz w:val="20"/>
                <w:szCs w:val="20"/>
              </w:rPr>
              <w:t>gst</w:t>
            </w:r>
            <w:r w:rsidRPr="00113D6D">
              <w:rPr>
                <w:rFonts w:ascii="Times New Roman" w:hAnsi="Times New Roman" w:cs="Times New Roman"/>
                <w:sz w:val="20"/>
                <w:szCs w:val="20"/>
              </w:rPr>
              <w:t xml:space="preserve"> expression plasmid, </w:t>
            </w:r>
            <w:r w:rsidRPr="00113D6D">
              <w:rPr>
                <w:rFonts w:ascii="Times New Roman" w:hAnsi="Times New Roman" w:cs="Times New Roman"/>
                <w:i/>
                <w:iCs/>
                <w:sz w:val="20"/>
                <w:szCs w:val="20"/>
              </w:rPr>
              <w:t>Tac</w:t>
            </w:r>
            <w:r w:rsidRPr="00113D6D">
              <w:rPr>
                <w:rFonts w:ascii="Times New Roman" w:hAnsi="Times New Roman" w:cs="Times New Roman"/>
                <w:sz w:val="20"/>
                <w:szCs w:val="20"/>
              </w:rPr>
              <w:t xml:space="preserve"> promoter, GST, pBR322 </w:t>
            </w:r>
            <w:r w:rsidRPr="00113D6D">
              <w:rPr>
                <w:rFonts w:ascii="Times New Roman" w:hAnsi="Times New Roman" w:cs="Times New Roman"/>
                <w:i/>
                <w:iCs/>
                <w:sz w:val="20"/>
                <w:szCs w:val="20"/>
              </w:rPr>
              <w:t>ori</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1-50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1-50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1-80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1-80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1-110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1-110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1-136</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1-136</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left"/>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85-160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85-160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111-160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111-160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pGEXHpaB</w:t>
            </w:r>
            <w:r w:rsidRPr="00113D6D">
              <w:rPr>
                <w:rFonts w:ascii="Times New Roman" w:hAnsi="Times New Roman" w:cs="Times New Roman"/>
                <w:sz w:val="20"/>
                <w:szCs w:val="20"/>
                <w:vertAlign w:val="subscript"/>
              </w:rPr>
              <w:t>137-160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pGEX-4T-1 derivative encoding GST-HpaB</w:t>
            </w:r>
            <w:r w:rsidRPr="00113D6D">
              <w:rPr>
                <w:rFonts w:ascii="Times New Roman" w:hAnsi="Times New Roman" w:cs="Times New Roman"/>
                <w:sz w:val="20"/>
                <w:szCs w:val="20"/>
                <w:vertAlign w:val="subscript"/>
              </w:rPr>
              <w:t>137-160</w:t>
            </w:r>
            <w:r w:rsidRPr="00113D6D">
              <w:rPr>
                <w:rFonts w:ascii="Times New Roman" w:hAnsi="Times New Roman" w:cs="Times New Roman"/>
                <w:sz w:val="20"/>
                <w:szCs w:val="20"/>
              </w:rPr>
              <w:t>, Amp</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pLAFRJ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Broad host range plasmid, pLAFR3 derivative containing the multiple cloning site</w:t>
            </w:r>
            <w:r>
              <w:rPr>
                <w:rFonts w:ascii="Times New Roman" w:hAnsi="Times New Roman" w:cs="Times New Roman" w:hint="eastAsia"/>
                <w:sz w:val="20"/>
                <w:szCs w:val="20"/>
              </w:rPr>
              <w:t>s</w:t>
            </w:r>
            <w:r w:rsidRPr="00113D6D">
              <w:rPr>
                <w:rFonts w:ascii="Times New Roman" w:hAnsi="Times New Roman" w:cs="Times New Roman"/>
                <w:sz w:val="20"/>
                <w:szCs w:val="20"/>
              </w:rPr>
              <w:t xml:space="preserve"> of pUC19,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5]</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pJXG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Broad host range plasmid, pLAFRJ derivative containing DNA fragment encoding 3×FLAG,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5]</w:t>
            </w:r>
          </w:p>
        </w:tc>
      </w:tr>
      <w:tr w:rsidR="00552CD1" w:rsidRPr="00E62C42" w:rsidTr="00765D55">
        <w:trPr>
          <w:trHeight w:val="35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Broad host range plasmid, pJXG derivative containing DNA fragment encoding AvrBs1</w:t>
            </w:r>
            <w:r w:rsidRPr="00113D6D">
              <w:rPr>
                <w:rFonts w:ascii="Times New Roman" w:hAnsi="Times New Roman" w:cs="Times New Roman"/>
                <w:sz w:val="20"/>
                <w:szCs w:val="20"/>
                <w:vertAlign w:val="subscript"/>
              </w:rPr>
              <w:t>59-445</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5]</w:t>
            </w:r>
          </w:p>
        </w:tc>
      </w:tr>
      <w:tr w:rsidR="00552CD1" w:rsidRPr="00E62C42" w:rsidTr="00765D55">
        <w:trPr>
          <w:trHeight w:val="27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pJAA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Broad host range plasmid, pJXG derivative containing DNA fragment encoding Cya, Tc</w:t>
            </w:r>
            <w:r w:rsidRPr="00113D6D">
              <w:rPr>
                <w:rFonts w:ascii="Times New Roman" w:hAnsi="Times New Roman" w:cs="Times New Roman"/>
                <w:sz w:val="20"/>
                <w:szCs w:val="20"/>
                <w:vertAlign w:val="superscript"/>
              </w:rPr>
              <w:t>r</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6]</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pJNhpaB</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pLAFRJ derivative containing DNA fragment of 500 bp upstream, ORF and 100 bp downstream of </w:t>
            </w:r>
            <w:r w:rsidRPr="00113D6D">
              <w:rPr>
                <w:rFonts w:ascii="Times New Roman" w:hAnsi="Times New Roman" w:cs="Times New Roman"/>
                <w:i/>
                <w:iCs/>
                <w:sz w:val="20"/>
                <w:szCs w:val="20"/>
              </w:rPr>
              <w:t>hpaB</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pJNhrcN</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pLAFRJ derivative containing DNA fragment of 498 bp upstream, ORF and 93 bp downstream of </w:t>
            </w:r>
            <w:r w:rsidRPr="00113D6D">
              <w:rPr>
                <w:rFonts w:ascii="Times New Roman" w:hAnsi="Times New Roman" w:cs="Times New Roman"/>
                <w:i/>
                <w:iCs/>
                <w:sz w:val="20"/>
                <w:szCs w:val="20"/>
              </w:rPr>
              <w:t>hrcN</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pJAG0052</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DNA fragment of 555 bp upstream and first 161 codons of </w:t>
            </w:r>
            <w:r w:rsidRPr="00113D6D">
              <w:rPr>
                <w:rFonts w:ascii="Times New Roman" w:hAnsi="Times New Roman" w:cs="Times New Roman"/>
                <w:i/>
                <w:iCs/>
                <w:sz w:val="20"/>
                <w:szCs w:val="20"/>
              </w:rPr>
              <w:t>XC0052</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avrBs2</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pJAG0241</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DNA fragment of 488 bp upstream and first 53 codons of </w:t>
            </w:r>
            <w:r w:rsidRPr="00113D6D">
              <w:rPr>
                <w:rFonts w:ascii="Times New Roman" w:hAnsi="Times New Roman" w:cs="Times New Roman"/>
                <w:i/>
                <w:iCs/>
                <w:sz w:val="20"/>
                <w:szCs w:val="20"/>
              </w:rPr>
              <w:t>XC0241</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xop</w:t>
            </w:r>
            <w:r>
              <w:rPr>
                <w:rFonts w:ascii="Times New Roman" w:hAnsi="Times New Roman" w:cs="Times New Roman" w:hint="eastAsia"/>
                <w:i/>
                <w:iCs/>
                <w:sz w:val="20"/>
                <w:szCs w:val="20"/>
              </w:rPr>
              <w:t>Xcc</w:t>
            </w:r>
            <w:r w:rsidRPr="00113D6D">
              <w:rPr>
                <w:rFonts w:ascii="Times New Roman" w:hAnsi="Times New Roman" w:cs="Times New Roman"/>
                <w:i/>
                <w:iCs/>
                <w:sz w:val="20"/>
                <w:szCs w:val="20"/>
              </w:rPr>
              <w:t>N</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pJAG1210</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DNA fragment of 705 bp upstream and first 131 codons of </w:t>
            </w:r>
            <w:r w:rsidRPr="00113D6D">
              <w:rPr>
                <w:rFonts w:ascii="Times New Roman" w:hAnsi="Times New Roman" w:cs="Times New Roman"/>
                <w:i/>
                <w:iCs/>
                <w:sz w:val="20"/>
                <w:szCs w:val="20"/>
              </w:rPr>
              <w:t>XC1210</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(xopK</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pJAG1553</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DNA fragment of 588 bp upstream and first 102 codons of </w:t>
            </w:r>
            <w:r w:rsidRPr="00113D6D">
              <w:rPr>
                <w:rFonts w:ascii="Times New Roman" w:hAnsi="Times New Roman" w:cs="Times New Roman"/>
                <w:i/>
                <w:iCs/>
                <w:sz w:val="20"/>
                <w:szCs w:val="20"/>
              </w:rPr>
              <w:t>XC1553</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avrAC</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pJAG2602</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DNA fragment of 194 bp upstream and first 134 codons of </w:t>
            </w:r>
            <w:r w:rsidRPr="00113D6D">
              <w:rPr>
                <w:rFonts w:ascii="Times New Roman" w:hAnsi="Times New Roman" w:cs="Times New Roman"/>
                <w:i/>
                <w:iCs/>
                <w:sz w:val="20"/>
                <w:szCs w:val="20"/>
              </w:rPr>
              <w:t>XC</w:t>
            </w:r>
            <w:r>
              <w:rPr>
                <w:rFonts w:ascii="Times New Roman" w:hAnsi="Times New Roman" w:cs="Times New Roman" w:hint="eastAsia"/>
                <w:i/>
                <w:iCs/>
                <w:sz w:val="20"/>
                <w:szCs w:val="20"/>
              </w:rPr>
              <w:t>2602</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avrXccE1</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Our lab's collection</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pJAG3176</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pJAG derivative containing ORF of </w:t>
            </w:r>
            <w:r w:rsidRPr="00113D6D">
              <w:rPr>
                <w:rFonts w:ascii="Times New Roman" w:hAnsi="Times New Roman" w:cs="Times New Roman"/>
                <w:i/>
                <w:iCs/>
                <w:sz w:val="20"/>
                <w:szCs w:val="20"/>
              </w:rPr>
              <w:t>XC3176</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pJAA1553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pJAA derivative containing DNA fragment of 588 bp upstream and first 102 codons of </w:t>
            </w:r>
            <w:r w:rsidRPr="00113D6D">
              <w:rPr>
                <w:rFonts w:ascii="Times New Roman" w:hAnsi="Times New Roman" w:cs="Times New Roman"/>
                <w:i/>
                <w:iCs/>
                <w:sz w:val="20"/>
                <w:szCs w:val="20"/>
              </w:rPr>
              <w:t>XC1553</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avrAC</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6]</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lastRenderedPageBreak/>
              <w:t xml:space="preserve">pJXG2081 </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pJXG derivative containing ORF of </w:t>
            </w:r>
            <w:r w:rsidRPr="00113D6D">
              <w:rPr>
                <w:rFonts w:ascii="Times New Roman" w:hAnsi="Times New Roman" w:cs="Times New Roman"/>
                <w:i/>
                <w:iCs/>
                <w:sz w:val="20"/>
                <w:szCs w:val="20"/>
              </w:rPr>
              <w:t>XC2081</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avrBs1</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pJXG3002</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pJXG derivative containing ORF of </w:t>
            </w:r>
            <w:r w:rsidRPr="00113D6D">
              <w:rPr>
                <w:rFonts w:ascii="Times New Roman" w:hAnsi="Times New Roman" w:cs="Times New Roman"/>
                <w:i/>
                <w:iCs/>
                <w:sz w:val="20"/>
                <w:szCs w:val="20"/>
              </w:rPr>
              <w:t>XC3002</w:t>
            </w:r>
            <w:r w:rsidRPr="00113D6D">
              <w:rPr>
                <w:rFonts w:ascii="Times New Roman" w:hAnsi="Times New Roman" w:cs="Times New Roman"/>
                <w:sz w:val="20"/>
                <w:szCs w:val="20"/>
              </w:rPr>
              <w:t xml:space="preserve"> (</w:t>
            </w:r>
            <w:r w:rsidRPr="00113D6D">
              <w:rPr>
                <w:rFonts w:ascii="Times New Roman" w:hAnsi="Times New Roman" w:cs="Times New Roman"/>
                <w:i/>
                <w:iCs/>
                <w:sz w:val="20"/>
                <w:szCs w:val="20"/>
              </w:rPr>
              <w:t>hpa1</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r</w:t>
            </w:r>
            <w:r w:rsidRPr="00113D6D">
              <w:rPr>
                <w:rFonts w:ascii="Times New Roman" w:hAnsi="Times New Roman" w:cs="Times New Roman"/>
                <w:sz w:val="20"/>
                <w:szCs w:val="20"/>
              </w:rPr>
              <w:t xml:space="preserve"> </w:t>
            </w:r>
          </w:p>
        </w:tc>
        <w:tc>
          <w:tcPr>
            <w:tcW w:w="1333"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This study</w:t>
            </w:r>
          </w:p>
        </w:tc>
      </w:tr>
      <w:tr w:rsidR="00552CD1" w:rsidRPr="00E62C42" w:rsidTr="00765D55">
        <w:trPr>
          <w:trHeight w:val="330"/>
        </w:trPr>
        <w:tc>
          <w:tcPr>
            <w:tcW w:w="254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pJXG3176</w:t>
            </w:r>
          </w:p>
        </w:tc>
        <w:tc>
          <w:tcPr>
            <w:tcW w:w="6237" w:type="dxa"/>
            <w:noWrap/>
            <w:hideMark/>
          </w:tcPr>
          <w:p w:rsidR="00552CD1" w:rsidRPr="00E62C42" w:rsidRDefault="00552CD1" w:rsidP="00765D55">
            <w:pPr>
              <w:rPr>
                <w:rFonts w:ascii="Times New Roman" w:hAnsi="Times New Roman" w:cs="Times New Roman"/>
                <w:sz w:val="20"/>
                <w:szCs w:val="20"/>
              </w:rPr>
            </w:pPr>
            <w:r w:rsidRPr="00113D6D">
              <w:rPr>
                <w:rFonts w:ascii="Times New Roman" w:hAnsi="Times New Roman" w:cs="Times New Roman"/>
                <w:sz w:val="20"/>
                <w:szCs w:val="20"/>
              </w:rPr>
              <w:t xml:space="preserve">pJXG derivative containing ORF of </w:t>
            </w:r>
            <w:r w:rsidRPr="00113D6D">
              <w:rPr>
                <w:rFonts w:ascii="Times New Roman" w:hAnsi="Times New Roman" w:cs="Times New Roman"/>
                <w:i/>
                <w:iCs/>
                <w:sz w:val="20"/>
                <w:szCs w:val="20"/>
              </w:rPr>
              <w:t>XC3176</w:t>
            </w:r>
            <w:r w:rsidRPr="00113D6D">
              <w:rPr>
                <w:rFonts w:ascii="Times New Roman" w:hAnsi="Times New Roman" w:cs="Times New Roman"/>
                <w:sz w:val="20"/>
                <w:szCs w:val="20"/>
              </w:rPr>
              <w:t>, Tc</w:t>
            </w:r>
            <w:r w:rsidRPr="00113D6D">
              <w:rPr>
                <w:rFonts w:ascii="Times New Roman" w:hAnsi="Times New Roman" w:cs="Times New Roman"/>
                <w:sz w:val="20"/>
                <w:szCs w:val="20"/>
                <w:vertAlign w:val="superscript"/>
              </w:rPr>
              <w:t xml:space="preserve">r </w:t>
            </w:r>
          </w:p>
        </w:tc>
        <w:tc>
          <w:tcPr>
            <w:tcW w:w="1333" w:type="dxa"/>
            <w:noWrap/>
            <w:hideMark/>
          </w:tcPr>
          <w:p w:rsidR="00552CD1" w:rsidRPr="00E62C42" w:rsidRDefault="00552CD1" w:rsidP="00765D55">
            <w:pPr>
              <w:jc w:val="center"/>
              <w:rPr>
                <w:rFonts w:ascii="Times New Roman" w:hAnsi="Times New Roman" w:cs="Times New Roman"/>
                <w:sz w:val="20"/>
                <w:szCs w:val="20"/>
              </w:rPr>
            </w:pPr>
            <w:r>
              <w:rPr>
                <w:rFonts w:ascii="Times New Roman" w:hAnsi="Times New Roman" w:cs="Times New Roman"/>
                <w:sz w:val="20"/>
                <w:szCs w:val="20"/>
              </w:rPr>
              <w:t>[7]</w:t>
            </w:r>
          </w:p>
        </w:tc>
      </w:tr>
    </w:tbl>
    <w:p w:rsidR="00552CD1" w:rsidRPr="006C3DE4" w:rsidRDefault="00552CD1" w:rsidP="00552CD1">
      <w:pPr>
        <w:rPr>
          <w:rFonts w:ascii="Times New Roman" w:hAnsi="Times New Roman" w:cs="Times New Roman"/>
          <w:vertAlign w:val="superscript"/>
        </w:rPr>
      </w:pPr>
    </w:p>
    <w:p w:rsidR="00552CD1" w:rsidRDefault="00552CD1" w:rsidP="00552CD1">
      <w:pPr>
        <w:rPr>
          <w:rFonts w:ascii="Times New Roman" w:hAnsi="Times New Roman" w:cs="Times New Roman"/>
        </w:rPr>
      </w:pPr>
    </w:p>
    <w:p w:rsidR="007612F7" w:rsidRDefault="007612F7" w:rsidP="007612F7">
      <w:pPr>
        <w:rPr>
          <w:rFonts w:ascii="Times New Roman" w:hAnsi="Times New Roman" w:cs="Times New Roman"/>
        </w:rPr>
      </w:pPr>
    </w:p>
    <w:p w:rsidR="007612F7" w:rsidRPr="00981BB3" w:rsidRDefault="007612F7" w:rsidP="007612F7">
      <w:pPr>
        <w:autoSpaceDE w:val="0"/>
        <w:autoSpaceDN w:val="0"/>
        <w:adjustRightInd w:val="0"/>
        <w:spacing w:line="360" w:lineRule="auto"/>
        <w:jc w:val="left"/>
        <w:rPr>
          <w:rFonts w:ascii="Times New Roman" w:eastAsia="DengXian" w:hAnsi="Times New Roman" w:cs="Times New Roman"/>
          <w:kern w:val="0"/>
          <w:szCs w:val="21"/>
          <w:shd w:val="pct15" w:color="auto" w:fill="FFFFFF"/>
        </w:rPr>
      </w:pPr>
      <w:r w:rsidRPr="00981BB3">
        <w:rPr>
          <w:rFonts w:ascii="Times New Roman" w:eastAsia="DengXian" w:hAnsi="Times New Roman" w:cs="Times New Roman"/>
          <w:b/>
          <w:bCs/>
          <w:kern w:val="0"/>
          <w:szCs w:val="21"/>
          <w:shd w:val="pct15" w:color="auto" w:fill="FFFFFF"/>
        </w:rPr>
        <w:t>References:</w:t>
      </w:r>
    </w:p>
    <w:p w:rsidR="007612F7" w:rsidRDefault="007612F7" w:rsidP="007612F7">
      <w:pPr>
        <w:pStyle w:val="ListParagraph"/>
        <w:numPr>
          <w:ilvl w:val="0"/>
          <w:numId w:val="1"/>
        </w:numPr>
        <w:ind w:firstLineChars="0"/>
        <w:jc w:val="left"/>
        <w:rPr>
          <w:rFonts w:ascii="Times New Roman" w:hAnsi="Times New Roman" w:cs="Times New Roman"/>
          <w:color w:val="212121"/>
          <w:szCs w:val="21"/>
          <w:shd w:val="clear" w:color="auto" w:fill="FFFFFF"/>
        </w:rPr>
      </w:pPr>
      <w:r w:rsidRPr="00981BB3">
        <w:rPr>
          <w:rFonts w:ascii="Times New Roman" w:hAnsi="Times New Roman" w:cs="Times New Roman"/>
          <w:color w:val="212121"/>
          <w:szCs w:val="21"/>
          <w:shd w:val="clear" w:color="auto" w:fill="FFFFFF"/>
        </w:rPr>
        <w:t xml:space="preserve">Daniels MJ, Barber CE, Turner PC, Sawczyc MK, Byrde RJ, Fielding AH. Cloning of genes involved in pathogenicity of </w:t>
      </w:r>
      <w:r w:rsidRPr="00981BB3">
        <w:rPr>
          <w:rFonts w:ascii="Times New Roman" w:hAnsi="Times New Roman" w:cs="Times New Roman"/>
          <w:i/>
          <w:color w:val="212121"/>
          <w:szCs w:val="21"/>
          <w:shd w:val="clear" w:color="auto" w:fill="FFFFFF"/>
        </w:rPr>
        <w:t>Xanthomonas campestris</w:t>
      </w:r>
      <w:r w:rsidRPr="00981BB3">
        <w:rPr>
          <w:rFonts w:ascii="Times New Roman" w:hAnsi="Times New Roman" w:cs="Times New Roman"/>
          <w:color w:val="212121"/>
          <w:szCs w:val="21"/>
          <w:shd w:val="clear" w:color="auto" w:fill="FFFFFF"/>
        </w:rPr>
        <w:t xml:space="preserve"> pv. </w:t>
      </w:r>
      <w:r w:rsidRPr="00981BB3">
        <w:rPr>
          <w:rFonts w:ascii="Times New Roman" w:hAnsi="Times New Roman" w:cs="Times New Roman"/>
          <w:i/>
          <w:color w:val="212121"/>
          <w:szCs w:val="21"/>
          <w:shd w:val="clear" w:color="auto" w:fill="FFFFFF"/>
        </w:rPr>
        <w:t>campestris</w:t>
      </w:r>
      <w:r w:rsidRPr="00981BB3">
        <w:rPr>
          <w:rFonts w:ascii="Times New Roman" w:hAnsi="Times New Roman" w:cs="Times New Roman"/>
          <w:color w:val="212121"/>
          <w:szCs w:val="21"/>
          <w:shd w:val="clear" w:color="auto" w:fill="FFFFFF"/>
        </w:rPr>
        <w:t xml:space="preserve"> using the broad host range cosmid pLAFR1. EMBO J. 1984; 3(13):3323-8.</w:t>
      </w:r>
      <w:r>
        <w:rPr>
          <w:rFonts w:ascii="Times New Roman" w:hAnsi="Times New Roman" w:cs="Times New Roman" w:hint="eastAsia"/>
          <w:color w:val="212121"/>
          <w:szCs w:val="21"/>
          <w:shd w:val="clear" w:color="auto" w:fill="FFFFFF"/>
        </w:rPr>
        <w:t xml:space="preserve"> </w:t>
      </w:r>
      <w:hyperlink r:id="rId6" w:history="1">
        <w:r w:rsidRPr="002A10AE">
          <w:rPr>
            <w:rStyle w:val="Hyperlink"/>
            <w:rFonts w:ascii="Times New Roman" w:hAnsi="Times New Roman" w:cs="Times New Roman"/>
            <w:szCs w:val="21"/>
            <w:shd w:val="clear" w:color="auto" w:fill="FFFFFF"/>
          </w:rPr>
          <w:t>https://doi.org/10.1002/j.1460-2075.1984.tb02298.x</w:t>
        </w:r>
      </w:hyperlink>
      <w:r>
        <w:rPr>
          <w:rFonts w:ascii="Times New Roman" w:hAnsi="Times New Roman" w:cs="Times New Roman" w:hint="eastAsia"/>
          <w:color w:val="212121"/>
          <w:szCs w:val="21"/>
          <w:shd w:val="clear" w:color="auto" w:fill="FFFFFF"/>
        </w:rPr>
        <w:t xml:space="preserve"> </w:t>
      </w:r>
      <w:r w:rsidRPr="00981BB3">
        <w:rPr>
          <w:rFonts w:ascii="Times New Roman" w:hAnsi="Times New Roman" w:cs="Times New Roman"/>
          <w:color w:val="212121"/>
          <w:szCs w:val="21"/>
          <w:shd w:val="clear" w:color="auto" w:fill="FFFFFF"/>
        </w:rPr>
        <w:t>PMID: 16453595</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szCs w:val="21"/>
        </w:rPr>
        <w:t xml:space="preserve">Miroux B, Walker JE. Over-production of proteins in </w:t>
      </w:r>
      <w:r w:rsidRPr="00981BB3">
        <w:rPr>
          <w:rFonts w:ascii="Times New Roman" w:hAnsi="Times New Roman" w:cs="Times New Roman"/>
          <w:i/>
          <w:szCs w:val="21"/>
        </w:rPr>
        <w:t>Escherichia coli</w:t>
      </w:r>
      <w:r w:rsidRPr="00981BB3">
        <w:rPr>
          <w:rFonts w:ascii="Times New Roman" w:hAnsi="Times New Roman" w:cs="Times New Roman"/>
          <w:szCs w:val="21"/>
        </w:rPr>
        <w:t xml:space="preserve">: mutant hosts that allow synthesis of some membrane proteins and globular proteins at high levels. J Mol Biol. 1996; 260(3):289-98. </w:t>
      </w:r>
      <w:hyperlink r:id="rId7" w:history="1">
        <w:r w:rsidRPr="002A10AE">
          <w:rPr>
            <w:rStyle w:val="Hyperlink"/>
            <w:rFonts w:ascii="Times New Roman" w:hAnsi="Times New Roman" w:cs="Times New Roman"/>
            <w:szCs w:val="21"/>
          </w:rPr>
          <w:t>https://doi.org/10.1006/jmbi.1996.0399</w:t>
        </w:r>
      </w:hyperlink>
      <w:r>
        <w:rPr>
          <w:rFonts w:ascii="Times New Roman" w:hAnsi="Times New Roman" w:cs="Times New Roman" w:hint="eastAsia"/>
          <w:szCs w:val="21"/>
        </w:rPr>
        <w:t xml:space="preserve"> </w:t>
      </w:r>
      <w:r w:rsidRPr="00981BB3">
        <w:rPr>
          <w:rFonts w:ascii="Times New Roman" w:hAnsi="Times New Roman" w:cs="Times New Roman"/>
          <w:szCs w:val="21"/>
        </w:rPr>
        <w:t>PMID: 8757792.</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szCs w:val="21"/>
        </w:rPr>
        <w:t xml:space="preserve">Leong SA, Ditta GS, Helinski DR. Heme biosynthesis in </w:t>
      </w:r>
      <w:r w:rsidRPr="00981BB3">
        <w:rPr>
          <w:rFonts w:ascii="Times New Roman" w:hAnsi="Times New Roman" w:cs="Times New Roman"/>
          <w:i/>
          <w:szCs w:val="21"/>
        </w:rPr>
        <w:t>Rhizobium</w:t>
      </w:r>
      <w:r w:rsidRPr="00981BB3">
        <w:rPr>
          <w:rFonts w:ascii="Times New Roman" w:hAnsi="Times New Roman" w:cs="Times New Roman"/>
          <w:szCs w:val="21"/>
        </w:rPr>
        <w:t xml:space="preserve">. Identification of a cloned gene coding for delta-aminolevulinic acid synthetase from </w:t>
      </w:r>
      <w:r w:rsidRPr="00981BB3">
        <w:rPr>
          <w:rFonts w:ascii="Times New Roman" w:hAnsi="Times New Roman" w:cs="Times New Roman"/>
          <w:i/>
          <w:szCs w:val="21"/>
        </w:rPr>
        <w:t>Rhizobium meliloti</w:t>
      </w:r>
      <w:r w:rsidRPr="00981BB3">
        <w:rPr>
          <w:rFonts w:ascii="Times New Roman" w:hAnsi="Times New Roman" w:cs="Times New Roman"/>
          <w:szCs w:val="21"/>
        </w:rPr>
        <w:t xml:space="preserve">. J Biol Chem. 1982; 257(15):8724-30. </w:t>
      </w:r>
      <w:hyperlink r:id="rId8" w:history="1">
        <w:r w:rsidRPr="002A10AE">
          <w:rPr>
            <w:rStyle w:val="Hyperlink"/>
            <w:rFonts w:ascii="Times New Roman" w:hAnsi="Times New Roman" w:cs="Times New Roman"/>
            <w:szCs w:val="21"/>
          </w:rPr>
          <w:t>https://www.jbc.org/content/257/15/8724.long</w:t>
        </w:r>
      </w:hyperlink>
      <w:r>
        <w:rPr>
          <w:rFonts w:ascii="Times New Roman" w:hAnsi="Times New Roman" w:cs="Times New Roman" w:hint="eastAsia"/>
          <w:szCs w:val="21"/>
        </w:rPr>
        <w:t xml:space="preserve"> </w:t>
      </w:r>
      <w:r w:rsidRPr="00981BB3">
        <w:rPr>
          <w:rFonts w:ascii="Times New Roman" w:hAnsi="Times New Roman" w:cs="Times New Roman"/>
          <w:szCs w:val="21"/>
        </w:rPr>
        <w:t>PMID: 7096330.</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color w:val="212121"/>
          <w:szCs w:val="21"/>
          <w:shd w:val="clear" w:color="auto" w:fill="FFFFFF"/>
        </w:rPr>
        <w:t xml:space="preserve">Schäfer A, Tauch A, Jäger W, Kalinowski J, Thierbach G, Pühler A. Small mobilizable multi-purpose cloning vectors derived from the </w:t>
      </w:r>
      <w:r w:rsidRPr="00981BB3">
        <w:rPr>
          <w:rFonts w:ascii="Times New Roman" w:hAnsi="Times New Roman" w:cs="Times New Roman"/>
          <w:i/>
          <w:color w:val="212121"/>
          <w:szCs w:val="21"/>
          <w:shd w:val="clear" w:color="auto" w:fill="FFFFFF"/>
        </w:rPr>
        <w:t>Escherichia coli</w:t>
      </w:r>
      <w:r w:rsidRPr="00981BB3">
        <w:rPr>
          <w:rFonts w:ascii="Times New Roman" w:hAnsi="Times New Roman" w:cs="Times New Roman"/>
          <w:color w:val="212121"/>
          <w:szCs w:val="21"/>
          <w:shd w:val="clear" w:color="auto" w:fill="FFFFFF"/>
        </w:rPr>
        <w:t xml:space="preserve"> plasmids pK18 and pK19: selection of defined deletions in the chromosome of </w:t>
      </w:r>
      <w:r w:rsidRPr="00981BB3">
        <w:rPr>
          <w:rFonts w:ascii="Times New Roman" w:hAnsi="Times New Roman" w:cs="Times New Roman"/>
          <w:i/>
          <w:color w:val="212121"/>
          <w:szCs w:val="21"/>
          <w:shd w:val="clear" w:color="auto" w:fill="FFFFFF"/>
        </w:rPr>
        <w:t>Corynebacterium glutamicum</w:t>
      </w:r>
      <w:r w:rsidRPr="00981BB3">
        <w:rPr>
          <w:rFonts w:ascii="Times New Roman" w:hAnsi="Times New Roman" w:cs="Times New Roman"/>
          <w:color w:val="212121"/>
          <w:szCs w:val="21"/>
          <w:shd w:val="clear" w:color="auto" w:fill="FFFFFF"/>
        </w:rPr>
        <w:t xml:space="preserve">. Gene. 1994; 145(1):69-73. </w:t>
      </w:r>
      <w:hyperlink r:id="rId9" w:history="1">
        <w:r w:rsidRPr="002A10AE">
          <w:rPr>
            <w:rStyle w:val="Hyperlink"/>
            <w:rFonts w:ascii="Times New Roman" w:hAnsi="Times New Roman" w:cs="Times New Roman"/>
            <w:szCs w:val="21"/>
            <w:shd w:val="clear" w:color="auto" w:fill="FFFFFF"/>
          </w:rPr>
          <w:t>https://doi.org/10.1016/0378-1119(94)90324-7</w:t>
        </w:r>
      </w:hyperlink>
      <w:r>
        <w:rPr>
          <w:rFonts w:ascii="Times New Roman" w:hAnsi="Times New Roman" w:cs="Times New Roman" w:hint="eastAsia"/>
          <w:color w:val="212121"/>
          <w:szCs w:val="21"/>
          <w:shd w:val="clear" w:color="auto" w:fill="FFFFFF"/>
        </w:rPr>
        <w:t xml:space="preserve"> </w:t>
      </w:r>
      <w:r w:rsidRPr="00981BB3">
        <w:rPr>
          <w:rFonts w:ascii="Times New Roman" w:hAnsi="Times New Roman" w:cs="Times New Roman"/>
          <w:color w:val="212121"/>
          <w:szCs w:val="21"/>
          <w:shd w:val="clear" w:color="auto" w:fill="FFFFFF"/>
        </w:rPr>
        <w:t>PMID: 8045426.</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szCs w:val="21"/>
        </w:rPr>
        <w:t xml:space="preserve">Jiang W, Jiang BL, Xu RQ, Huang JD, Wei HY, Jiang GF, et al. Identification of six type III effector genes with the </w:t>
      </w:r>
      <w:r>
        <w:rPr>
          <w:rFonts w:ascii="Times New Roman" w:hAnsi="Times New Roman" w:cs="Times New Roman" w:hint="eastAsia"/>
          <w:szCs w:val="21"/>
        </w:rPr>
        <w:t>PIP</w:t>
      </w:r>
      <w:r w:rsidRPr="00981BB3">
        <w:rPr>
          <w:rFonts w:ascii="Times New Roman" w:hAnsi="Times New Roman" w:cs="Times New Roman"/>
          <w:szCs w:val="21"/>
        </w:rPr>
        <w:t xml:space="preserve"> box in </w:t>
      </w:r>
      <w:r w:rsidRPr="00981BB3">
        <w:rPr>
          <w:rFonts w:ascii="Times New Roman" w:hAnsi="Times New Roman" w:cs="Times New Roman"/>
          <w:i/>
          <w:szCs w:val="21"/>
        </w:rPr>
        <w:t>Xanthomonas campestris</w:t>
      </w:r>
      <w:r w:rsidRPr="00981BB3">
        <w:rPr>
          <w:rFonts w:ascii="Times New Roman" w:hAnsi="Times New Roman" w:cs="Times New Roman"/>
          <w:szCs w:val="21"/>
        </w:rPr>
        <w:t xml:space="preserve"> pv. </w:t>
      </w:r>
      <w:r w:rsidRPr="00981BB3">
        <w:rPr>
          <w:rFonts w:ascii="Times New Roman" w:hAnsi="Times New Roman" w:cs="Times New Roman"/>
          <w:i/>
          <w:szCs w:val="21"/>
        </w:rPr>
        <w:t>campestris</w:t>
      </w:r>
      <w:r w:rsidRPr="00981BB3">
        <w:rPr>
          <w:rFonts w:ascii="Times New Roman" w:hAnsi="Times New Roman" w:cs="Times New Roman"/>
          <w:szCs w:val="21"/>
        </w:rPr>
        <w:t xml:space="preserve"> and five of them contribute individually to full pathogenicity. Mol Plant Microbe Interact. 2009; 22(11):1401</w:t>
      </w:r>
      <w:r w:rsidRPr="00981BB3">
        <w:rPr>
          <w:rFonts w:ascii="Times New Roman" w:hAnsi="Times New Roman" w:cs="Times New Roman"/>
          <w:color w:val="212121"/>
          <w:szCs w:val="21"/>
          <w:shd w:val="clear" w:color="auto" w:fill="FFFFFF"/>
        </w:rPr>
        <w:t>-</w:t>
      </w:r>
      <w:r w:rsidRPr="00981BB3">
        <w:rPr>
          <w:rFonts w:ascii="Times New Roman" w:hAnsi="Times New Roman" w:cs="Times New Roman"/>
          <w:szCs w:val="21"/>
        </w:rPr>
        <w:t xml:space="preserve">11. </w:t>
      </w:r>
      <w:hyperlink r:id="rId10" w:history="1">
        <w:r w:rsidRPr="002A10AE">
          <w:rPr>
            <w:rStyle w:val="Hyperlink"/>
            <w:rFonts w:ascii="Times New Roman" w:hAnsi="Times New Roman" w:cs="Times New Roman"/>
            <w:szCs w:val="21"/>
          </w:rPr>
          <w:t>https://doi.org/10.1094/MPMI-22-11-1401</w:t>
        </w:r>
      </w:hyperlink>
      <w:r>
        <w:rPr>
          <w:rFonts w:ascii="Times New Roman" w:hAnsi="Times New Roman" w:cs="Times New Roman" w:hint="eastAsia"/>
          <w:szCs w:val="21"/>
        </w:rPr>
        <w:t xml:space="preserve"> </w:t>
      </w:r>
      <w:r w:rsidRPr="00981BB3">
        <w:rPr>
          <w:rFonts w:ascii="Times New Roman" w:hAnsi="Times New Roman" w:cs="Times New Roman"/>
          <w:szCs w:val="21"/>
        </w:rPr>
        <w:t>PMID: 19810809</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szCs w:val="21"/>
        </w:rPr>
        <w:t xml:space="preserve">Wang L, Yang LY, Gan YL, Yang F, Liang XL, Li WL, et al. Two lytic transglycosylases of </w:t>
      </w:r>
      <w:r w:rsidRPr="00981BB3">
        <w:rPr>
          <w:rFonts w:ascii="Times New Roman" w:hAnsi="Times New Roman" w:cs="Times New Roman"/>
          <w:i/>
          <w:szCs w:val="21"/>
        </w:rPr>
        <w:t>Xanthomonas campestris</w:t>
      </w:r>
      <w:r w:rsidRPr="00981BB3">
        <w:rPr>
          <w:rFonts w:ascii="Times New Roman" w:hAnsi="Times New Roman" w:cs="Times New Roman"/>
          <w:szCs w:val="21"/>
        </w:rPr>
        <w:t xml:space="preserve"> pv. </w:t>
      </w:r>
      <w:r w:rsidRPr="00981BB3">
        <w:rPr>
          <w:rFonts w:ascii="Times New Roman" w:hAnsi="Times New Roman" w:cs="Times New Roman"/>
          <w:i/>
          <w:szCs w:val="21"/>
        </w:rPr>
        <w:t>campestris</w:t>
      </w:r>
      <w:r w:rsidRPr="00981BB3">
        <w:rPr>
          <w:rFonts w:ascii="Times New Roman" w:hAnsi="Times New Roman" w:cs="Times New Roman"/>
          <w:szCs w:val="21"/>
        </w:rPr>
        <w:t xml:space="preserve"> associated with cell separation and type III secretion system, respectively. FEMS Microbiol Lett. 2019; 366(7)</w:t>
      </w:r>
      <w:r>
        <w:rPr>
          <w:rFonts w:ascii="Times New Roman" w:hAnsi="Times New Roman" w:cs="Times New Roman" w:hint="eastAsia"/>
          <w:szCs w:val="21"/>
        </w:rPr>
        <w:t>:</w:t>
      </w:r>
      <w:r w:rsidRPr="00981BB3">
        <w:rPr>
          <w:rFonts w:ascii="Times New Roman" w:hAnsi="Times New Roman" w:cs="Times New Roman"/>
          <w:szCs w:val="21"/>
        </w:rPr>
        <w:t xml:space="preserve">fnz073. </w:t>
      </w:r>
      <w:hyperlink r:id="rId11" w:history="1">
        <w:r w:rsidRPr="002A10AE">
          <w:rPr>
            <w:rStyle w:val="Hyperlink"/>
            <w:rFonts w:ascii="Times New Roman" w:hAnsi="Times New Roman" w:cs="Times New Roman"/>
            <w:szCs w:val="21"/>
          </w:rPr>
          <w:t>https://doi.org/10.1093/femsle/fnz073</w:t>
        </w:r>
      </w:hyperlink>
      <w:r>
        <w:rPr>
          <w:rFonts w:ascii="Times New Roman" w:hAnsi="Times New Roman" w:cs="Times New Roman" w:hint="eastAsia"/>
          <w:szCs w:val="21"/>
        </w:rPr>
        <w:t xml:space="preserve"> </w:t>
      </w:r>
      <w:r w:rsidRPr="00981BB3">
        <w:rPr>
          <w:rFonts w:ascii="Times New Roman" w:hAnsi="Times New Roman" w:cs="Times New Roman"/>
          <w:szCs w:val="21"/>
        </w:rPr>
        <w:t>PMID: 30977795</w:t>
      </w:r>
    </w:p>
    <w:p w:rsidR="007612F7" w:rsidRPr="00981BB3" w:rsidRDefault="007612F7" w:rsidP="007612F7">
      <w:pPr>
        <w:pStyle w:val="ListParagraph"/>
        <w:numPr>
          <w:ilvl w:val="0"/>
          <w:numId w:val="1"/>
        </w:numPr>
        <w:ind w:firstLineChars="0"/>
        <w:jc w:val="left"/>
        <w:rPr>
          <w:rFonts w:ascii="Times New Roman" w:hAnsi="Times New Roman" w:cs="Times New Roman"/>
          <w:szCs w:val="21"/>
        </w:rPr>
      </w:pPr>
      <w:r w:rsidRPr="00981BB3">
        <w:rPr>
          <w:rFonts w:ascii="Times New Roman" w:hAnsi="Times New Roman" w:cs="Times New Roman"/>
          <w:kern w:val="0"/>
          <w:szCs w:val="21"/>
        </w:rPr>
        <w:t xml:space="preserve">Yang LC, Gan YL, Yang LY, Jiang BL, Tang JL. Peptidoglycan hydrolysis mediated by the amidase AmiC and its LytM activator NlpD is critical for cell separation and virulence in the phytopathogen </w:t>
      </w:r>
      <w:r w:rsidRPr="00981BB3">
        <w:rPr>
          <w:rFonts w:ascii="Times New Roman" w:hAnsi="Times New Roman" w:cs="Times New Roman"/>
          <w:i/>
          <w:kern w:val="0"/>
          <w:szCs w:val="21"/>
        </w:rPr>
        <w:t>Xanthomonas campestris</w:t>
      </w:r>
      <w:r w:rsidRPr="00981BB3">
        <w:rPr>
          <w:rFonts w:ascii="Times New Roman" w:hAnsi="Times New Roman" w:cs="Times New Roman"/>
          <w:kern w:val="0"/>
          <w:szCs w:val="21"/>
        </w:rPr>
        <w:t>. Mol Plant Pathol. 2018; 19(7):1705</w:t>
      </w:r>
      <w:r w:rsidRPr="00981BB3">
        <w:rPr>
          <w:rFonts w:ascii="Times New Roman" w:hAnsi="Times New Roman" w:cs="Times New Roman"/>
          <w:color w:val="212121"/>
          <w:szCs w:val="21"/>
          <w:shd w:val="clear" w:color="auto" w:fill="FFFFFF"/>
        </w:rPr>
        <w:t>-</w:t>
      </w:r>
      <w:r w:rsidRPr="00981BB3">
        <w:rPr>
          <w:rFonts w:ascii="Times New Roman" w:hAnsi="Times New Roman" w:cs="Times New Roman"/>
          <w:kern w:val="0"/>
          <w:szCs w:val="21"/>
        </w:rPr>
        <w:t xml:space="preserve">18. </w:t>
      </w:r>
      <w:hyperlink r:id="rId12" w:history="1">
        <w:r w:rsidRPr="002A10AE">
          <w:rPr>
            <w:rStyle w:val="Hyperlink"/>
            <w:rFonts w:ascii="Times New Roman" w:hAnsi="Times New Roman" w:cs="Times New Roman"/>
            <w:kern w:val="0"/>
            <w:szCs w:val="21"/>
            <w:shd w:val="clear" w:color="auto" w:fill="FFFFFF"/>
          </w:rPr>
          <w:t>https://doi.org/10.1111/mpp.12653</w:t>
        </w:r>
      </w:hyperlink>
      <w:r>
        <w:rPr>
          <w:rFonts w:ascii="Times New Roman" w:hAnsi="Times New Roman" w:cs="Times New Roman" w:hint="eastAsia"/>
          <w:color w:val="212121"/>
          <w:kern w:val="0"/>
          <w:szCs w:val="21"/>
          <w:shd w:val="clear" w:color="auto" w:fill="FFFFFF"/>
        </w:rPr>
        <w:t xml:space="preserve"> </w:t>
      </w:r>
      <w:r w:rsidRPr="00981BB3">
        <w:rPr>
          <w:rFonts w:ascii="Times New Roman" w:hAnsi="Times New Roman" w:cs="Times New Roman"/>
          <w:kern w:val="0"/>
          <w:szCs w:val="21"/>
        </w:rPr>
        <w:t>PMID: 29240286</w:t>
      </w:r>
    </w:p>
    <w:p w:rsidR="007612F7" w:rsidRPr="00345CF1" w:rsidRDefault="007612F7" w:rsidP="007612F7">
      <w:pPr>
        <w:autoSpaceDE w:val="0"/>
        <w:autoSpaceDN w:val="0"/>
        <w:adjustRightInd w:val="0"/>
        <w:spacing w:line="360" w:lineRule="auto"/>
        <w:ind w:left="420" w:hangingChars="200" w:hanging="420"/>
        <w:rPr>
          <w:rFonts w:ascii="Times New Roman" w:hAnsi="Times New Roman" w:cs="Times New Roman"/>
          <w:szCs w:val="21"/>
        </w:rPr>
      </w:pPr>
      <w:r w:rsidRPr="00345CF1">
        <w:rPr>
          <w:rFonts w:ascii="Times New Roman" w:hAnsi="Times New Roman" w:cs="Times New Roman"/>
          <w:szCs w:val="21"/>
        </w:rPr>
        <w:t xml:space="preserve"> </w:t>
      </w:r>
    </w:p>
    <w:p w:rsidR="007612F7" w:rsidRPr="00345CF1" w:rsidRDefault="007612F7" w:rsidP="007612F7">
      <w:pPr>
        <w:rPr>
          <w:rFonts w:ascii="Times New Roman" w:hAnsi="Times New Roman" w:cs="Times New Roman"/>
          <w:szCs w:val="21"/>
        </w:rPr>
      </w:pPr>
    </w:p>
    <w:p w:rsidR="007612F7" w:rsidRPr="00F6234B" w:rsidRDefault="007612F7" w:rsidP="007612F7"/>
    <w:p w:rsidR="00E920B6" w:rsidRPr="00552CD1" w:rsidRDefault="00E920B6" w:rsidP="00552CD1">
      <w:bookmarkStart w:id="0" w:name="_GoBack"/>
      <w:bookmarkEnd w:id="0"/>
    </w:p>
    <w:sectPr w:rsidR="00E920B6" w:rsidRPr="0055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C297D"/>
    <w:multiLevelType w:val="hybridMultilevel"/>
    <w:tmpl w:val="BC56DC4C"/>
    <w:lvl w:ilvl="0" w:tplc="08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94"/>
    <w:rsid w:val="00277A9E"/>
    <w:rsid w:val="00552CD1"/>
    <w:rsid w:val="00711394"/>
    <w:rsid w:val="007612F7"/>
    <w:rsid w:val="00E524DD"/>
    <w:rsid w:val="00E9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9E"/>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A9E"/>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2F7"/>
    <w:rPr>
      <w:color w:val="0000FF" w:themeColor="hyperlink"/>
      <w:u w:val="single"/>
    </w:rPr>
  </w:style>
  <w:style w:type="paragraph" w:styleId="ListParagraph">
    <w:name w:val="List Paragraph"/>
    <w:basedOn w:val="Normal"/>
    <w:uiPriority w:val="34"/>
    <w:qFormat/>
    <w:rsid w:val="007612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9E"/>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A9E"/>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2F7"/>
    <w:rPr>
      <w:color w:val="0000FF" w:themeColor="hyperlink"/>
      <w:u w:val="single"/>
    </w:rPr>
  </w:style>
  <w:style w:type="paragraph" w:styleId="ListParagraph">
    <w:name w:val="List Paragraph"/>
    <w:basedOn w:val="Normal"/>
    <w:uiPriority w:val="34"/>
    <w:qFormat/>
    <w:rsid w:val="007612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c.org/content/257/15/8724.lo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06/jmbi.1996.0399" TargetMode="External"/><Relationship Id="rId12" Type="http://schemas.openxmlformats.org/officeDocument/2006/relationships/hyperlink" Target="https://doi.org/10.1111/mpp.12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j.1460-2075.1984.tb02298.x" TargetMode="External"/><Relationship Id="rId11" Type="http://schemas.openxmlformats.org/officeDocument/2006/relationships/hyperlink" Target="https://doi.org/10.1093/femsle/fnz073" TargetMode="External"/><Relationship Id="rId5" Type="http://schemas.openxmlformats.org/officeDocument/2006/relationships/webSettings" Target="webSettings.xml"/><Relationship Id="rId10" Type="http://schemas.openxmlformats.org/officeDocument/2006/relationships/hyperlink" Target="https://doi.org/10.1094/MPMI-22-11-1401" TargetMode="External"/><Relationship Id="rId4" Type="http://schemas.openxmlformats.org/officeDocument/2006/relationships/settings" Target="settings.xml"/><Relationship Id="rId9" Type="http://schemas.openxmlformats.org/officeDocument/2006/relationships/hyperlink" Target="https://doi.org/10.1016/0378-1119(94)9032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4</cp:revision>
  <dcterms:created xsi:type="dcterms:W3CDTF">2021-01-16T04:01:00Z</dcterms:created>
  <dcterms:modified xsi:type="dcterms:W3CDTF">2021-01-20T12:43:00Z</dcterms:modified>
</cp:coreProperties>
</file>