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8064" w14:textId="4B817242" w:rsidR="008D5E52" w:rsidRDefault="008D5E52" w:rsidP="008D5E52">
      <w:pPr>
        <w:rPr>
          <w:rFonts w:ascii="Courier New" w:hAnsi="Courier New" w:cs="Courier New"/>
        </w:rPr>
      </w:pPr>
      <w:r w:rsidRPr="00DD451A">
        <w:rPr>
          <w:rFonts w:ascii="Courier New" w:hAnsi="Courier New" w:cs="Courier New"/>
          <w:b/>
          <w:bCs/>
        </w:rPr>
        <w:t>S</w:t>
      </w:r>
      <w:r w:rsidR="00AF78E4">
        <w:rPr>
          <w:rFonts w:ascii="Courier New" w:hAnsi="Courier New" w:cs="Courier New"/>
          <w:b/>
          <w:bCs/>
        </w:rPr>
        <w:t>3</w:t>
      </w:r>
      <w:r w:rsidRPr="00DD451A">
        <w:rPr>
          <w:rFonts w:ascii="Courier New" w:hAnsi="Courier New" w:cs="Courier New"/>
          <w:b/>
          <w:bCs/>
        </w:rPr>
        <w:t xml:space="preserve"> Table: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Mobility category-specific bivariable results</w:t>
      </w: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20"/>
        <w:gridCol w:w="1440"/>
        <w:gridCol w:w="1955"/>
        <w:gridCol w:w="1520"/>
        <w:gridCol w:w="1440"/>
        <w:gridCol w:w="1520"/>
      </w:tblGrid>
      <w:tr w:rsidR="008D5E52" w:rsidRPr="00DD451A" w14:paraId="23390809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5AE0495A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Hlk56592516"/>
          </w:p>
        </w:tc>
        <w:tc>
          <w:tcPr>
            <w:tcW w:w="1440" w:type="dxa"/>
            <w:noWrap/>
            <w:hideMark/>
          </w:tcPr>
          <w:p w14:paraId="696AF768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955" w:type="dxa"/>
            <w:noWrap/>
            <w:hideMark/>
          </w:tcPr>
          <w:p w14:paraId="47A2385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Grocery Stores</w:t>
            </w:r>
          </w:p>
        </w:tc>
        <w:tc>
          <w:tcPr>
            <w:tcW w:w="1520" w:type="dxa"/>
            <w:noWrap/>
            <w:hideMark/>
          </w:tcPr>
          <w:p w14:paraId="3557EFC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Parks</w:t>
            </w:r>
          </w:p>
        </w:tc>
        <w:tc>
          <w:tcPr>
            <w:tcW w:w="1440" w:type="dxa"/>
            <w:noWrap/>
            <w:hideMark/>
          </w:tcPr>
          <w:p w14:paraId="099618B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Transit</w:t>
            </w:r>
          </w:p>
        </w:tc>
        <w:tc>
          <w:tcPr>
            <w:tcW w:w="1520" w:type="dxa"/>
            <w:noWrap/>
            <w:hideMark/>
          </w:tcPr>
          <w:p w14:paraId="5E3E9DCF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Workplace</w:t>
            </w:r>
          </w:p>
        </w:tc>
      </w:tr>
      <w:tr w:rsidR="008D5E52" w:rsidRPr="00DD451A" w14:paraId="1F5BBA65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5DF6021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Trump Vote Share</w:t>
            </w:r>
          </w:p>
        </w:tc>
        <w:tc>
          <w:tcPr>
            <w:tcW w:w="1440" w:type="dxa"/>
            <w:noWrap/>
            <w:hideMark/>
          </w:tcPr>
          <w:p w14:paraId="41BABE0A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955" w:type="dxa"/>
            <w:noWrap/>
            <w:hideMark/>
          </w:tcPr>
          <w:p w14:paraId="34195A6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520" w:type="dxa"/>
            <w:noWrap/>
            <w:hideMark/>
          </w:tcPr>
          <w:p w14:paraId="4BACFF6C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20.82</w:t>
            </w:r>
          </w:p>
        </w:tc>
        <w:tc>
          <w:tcPr>
            <w:tcW w:w="1440" w:type="dxa"/>
            <w:noWrap/>
            <w:hideMark/>
          </w:tcPr>
          <w:p w14:paraId="46CFB750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520" w:type="dxa"/>
            <w:noWrap/>
            <w:hideMark/>
          </w:tcPr>
          <w:p w14:paraId="29B8532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-0.07</w:t>
            </w:r>
          </w:p>
        </w:tc>
      </w:tr>
      <w:tr w:rsidR="008D5E52" w:rsidRPr="00DD451A" w14:paraId="40913102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1D0A6E63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3439A08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1955" w:type="dxa"/>
            <w:noWrap/>
            <w:hideMark/>
          </w:tcPr>
          <w:p w14:paraId="21D16A90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1520" w:type="dxa"/>
            <w:noWrap/>
            <w:hideMark/>
          </w:tcPr>
          <w:p w14:paraId="79F1DD4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440" w:type="dxa"/>
            <w:noWrap/>
            <w:hideMark/>
          </w:tcPr>
          <w:p w14:paraId="4EC27A6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520" w:type="dxa"/>
            <w:noWrap/>
            <w:hideMark/>
          </w:tcPr>
          <w:p w14:paraId="15DFAA3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-2.56</w:t>
            </w:r>
          </w:p>
        </w:tc>
      </w:tr>
      <w:tr w:rsidR="008D5E52" w:rsidRPr="00DD451A" w14:paraId="1A29FDE2" w14:textId="77777777" w:rsidTr="00324294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14:paraId="1D11E25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224B117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64AAB3D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03C336C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35.78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731A003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4786D1C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2.43</w:t>
            </w:r>
          </w:p>
        </w:tc>
      </w:tr>
      <w:tr w:rsidR="008D5E52" w:rsidRPr="00DD451A" w14:paraId="20D0A287" w14:textId="77777777" w:rsidTr="00324294">
        <w:trPr>
          <w:trHeight w:val="300"/>
        </w:trPr>
        <w:tc>
          <w:tcPr>
            <w:tcW w:w="1820" w:type="dxa"/>
            <w:tcBorders>
              <w:right w:val="nil"/>
            </w:tcBorders>
            <w:noWrap/>
            <w:hideMark/>
          </w:tcPr>
          <w:p w14:paraId="57FD8AFC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34C9D51E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noWrap/>
            <w:hideMark/>
          </w:tcPr>
          <w:p w14:paraId="3E01A522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  <w:noWrap/>
            <w:hideMark/>
          </w:tcPr>
          <w:p w14:paraId="6028DCE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1AAF2B57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</w:tcBorders>
            <w:noWrap/>
            <w:hideMark/>
          </w:tcPr>
          <w:p w14:paraId="4D1E5C88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5E52" w:rsidRPr="00DD451A" w14:paraId="161D4AF1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7EF7D5B4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Pop Density</w:t>
            </w:r>
          </w:p>
        </w:tc>
        <w:tc>
          <w:tcPr>
            <w:tcW w:w="1440" w:type="dxa"/>
            <w:noWrap/>
            <w:hideMark/>
          </w:tcPr>
          <w:p w14:paraId="04CE513B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955" w:type="dxa"/>
            <w:noWrap/>
            <w:hideMark/>
          </w:tcPr>
          <w:p w14:paraId="7A0EFB3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-5.57</w:t>
            </w:r>
          </w:p>
        </w:tc>
        <w:tc>
          <w:tcPr>
            <w:tcW w:w="1520" w:type="dxa"/>
            <w:noWrap/>
            <w:hideMark/>
          </w:tcPr>
          <w:p w14:paraId="2BC7F1A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-13.46</w:t>
            </w:r>
          </w:p>
        </w:tc>
        <w:tc>
          <w:tcPr>
            <w:tcW w:w="1440" w:type="dxa"/>
            <w:noWrap/>
            <w:hideMark/>
          </w:tcPr>
          <w:p w14:paraId="308D6B28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1520" w:type="dxa"/>
            <w:noWrap/>
            <w:hideMark/>
          </w:tcPr>
          <w:p w14:paraId="3C54A3D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0.34</w:t>
            </w:r>
          </w:p>
        </w:tc>
      </w:tr>
      <w:tr w:rsidR="008D5E52" w:rsidRPr="00DD451A" w14:paraId="4E481D82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7CD0B3FF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6D964388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1955" w:type="dxa"/>
            <w:noWrap/>
            <w:hideMark/>
          </w:tcPr>
          <w:p w14:paraId="38A9A906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-6.39</w:t>
            </w:r>
          </w:p>
        </w:tc>
        <w:tc>
          <w:tcPr>
            <w:tcW w:w="1520" w:type="dxa"/>
            <w:noWrap/>
            <w:hideMark/>
          </w:tcPr>
          <w:p w14:paraId="5FC6255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-16.36</w:t>
            </w:r>
          </w:p>
        </w:tc>
        <w:tc>
          <w:tcPr>
            <w:tcW w:w="1440" w:type="dxa"/>
            <w:noWrap/>
            <w:hideMark/>
          </w:tcPr>
          <w:p w14:paraId="4F9281F8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520" w:type="dxa"/>
            <w:noWrap/>
            <w:hideMark/>
          </w:tcPr>
          <w:p w14:paraId="4290F65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-0.12</w:t>
            </w:r>
          </w:p>
        </w:tc>
      </w:tr>
      <w:tr w:rsidR="008D5E52" w:rsidRPr="00DD451A" w14:paraId="64D19CE9" w14:textId="77777777" w:rsidTr="00324294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14:paraId="3FA0E842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AFAF24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282CB65A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-4.75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565C758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-10.56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3414DBC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1F3F920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0.79</w:t>
            </w:r>
          </w:p>
        </w:tc>
      </w:tr>
      <w:tr w:rsidR="008D5E52" w:rsidRPr="00DD451A" w14:paraId="2920A71C" w14:textId="77777777" w:rsidTr="00324294">
        <w:trPr>
          <w:trHeight w:val="300"/>
        </w:trPr>
        <w:tc>
          <w:tcPr>
            <w:tcW w:w="1820" w:type="dxa"/>
            <w:tcBorders>
              <w:right w:val="nil"/>
            </w:tcBorders>
            <w:noWrap/>
            <w:hideMark/>
          </w:tcPr>
          <w:p w14:paraId="587D8157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61D7D99E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noWrap/>
            <w:hideMark/>
          </w:tcPr>
          <w:p w14:paraId="30C47BA2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  <w:noWrap/>
            <w:hideMark/>
          </w:tcPr>
          <w:p w14:paraId="7CC7CBA4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17DC51F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</w:tcBorders>
            <w:noWrap/>
            <w:hideMark/>
          </w:tcPr>
          <w:p w14:paraId="7A40F5BF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5E52" w:rsidRPr="00DD451A" w14:paraId="4175879D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64B7A76D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Early SIP</w:t>
            </w:r>
          </w:p>
        </w:tc>
        <w:tc>
          <w:tcPr>
            <w:tcW w:w="1440" w:type="dxa"/>
            <w:noWrap/>
            <w:hideMark/>
          </w:tcPr>
          <w:p w14:paraId="749EDAA9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955" w:type="dxa"/>
            <w:noWrap/>
            <w:hideMark/>
          </w:tcPr>
          <w:p w14:paraId="0D376BFA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520" w:type="dxa"/>
            <w:noWrap/>
            <w:hideMark/>
          </w:tcPr>
          <w:p w14:paraId="2235FC8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-33.62</w:t>
            </w:r>
          </w:p>
        </w:tc>
        <w:tc>
          <w:tcPr>
            <w:tcW w:w="1440" w:type="dxa"/>
            <w:noWrap/>
            <w:hideMark/>
          </w:tcPr>
          <w:p w14:paraId="0C26D04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520" w:type="dxa"/>
            <w:noWrap/>
            <w:hideMark/>
          </w:tcPr>
          <w:p w14:paraId="4810A42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-7.54</w:t>
            </w:r>
          </w:p>
        </w:tc>
      </w:tr>
      <w:tr w:rsidR="008D5E52" w:rsidRPr="00DD451A" w14:paraId="00A723F8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54E07504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41F5F24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-7.01</w:t>
            </w:r>
          </w:p>
        </w:tc>
        <w:tc>
          <w:tcPr>
            <w:tcW w:w="1955" w:type="dxa"/>
            <w:noWrap/>
            <w:hideMark/>
          </w:tcPr>
          <w:p w14:paraId="135C166A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-9.77</w:t>
            </w:r>
          </w:p>
        </w:tc>
        <w:tc>
          <w:tcPr>
            <w:tcW w:w="1520" w:type="dxa"/>
            <w:noWrap/>
            <w:hideMark/>
          </w:tcPr>
          <w:p w14:paraId="4ED48FB6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-71.45</w:t>
            </w:r>
          </w:p>
        </w:tc>
        <w:tc>
          <w:tcPr>
            <w:tcW w:w="1440" w:type="dxa"/>
            <w:noWrap/>
            <w:hideMark/>
          </w:tcPr>
          <w:p w14:paraId="4B9A2397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-9.06</w:t>
            </w:r>
          </w:p>
        </w:tc>
        <w:tc>
          <w:tcPr>
            <w:tcW w:w="1520" w:type="dxa"/>
            <w:noWrap/>
            <w:hideMark/>
          </w:tcPr>
          <w:p w14:paraId="735435F6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-14.79</w:t>
            </w:r>
          </w:p>
        </w:tc>
      </w:tr>
      <w:tr w:rsidR="008D5E52" w:rsidRPr="00DD451A" w14:paraId="77A96B3D" w14:textId="77777777" w:rsidTr="00324294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14:paraId="271B8F7A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675BFF8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16.22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4F65E87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139320DA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0E6010F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16773E9B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-0.29</w:t>
            </w:r>
          </w:p>
        </w:tc>
      </w:tr>
      <w:tr w:rsidR="008D5E52" w:rsidRPr="00DD451A" w14:paraId="0C5D1C8E" w14:textId="77777777" w:rsidTr="00324294">
        <w:trPr>
          <w:trHeight w:val="300"/>
        </w:trPr>
        <w:tc>
          <w:tcPr>
            <w:tcW w:w="1820" w:type="dxa"/>
            <w:tcBorders>
              <w:right w:val="nil"/>
            </w:tcBorders>
            <w:noWrap/>
            <w:hideMark/>
          </w:tcPr>
          <w:p w14:paraId="3984066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18F7B328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noWrap/>
            <w:hideMark/>
          </w:tcPr>
          <w:p w14:paraId="71A0CF68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  <w:noWrap/>
            <w:hideMark/>
          </w:tcPr>
          <w:p w14:paraId="4141CCBB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1457F6D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</w:tcBorders>
            <w:noWrap/>
            <w:hideMark/>
          </w:tcPr>
          <w:p w14:paraId="0DA4F524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5E52" w:rsidRPr="00DD451A" w14:paraId="5E8CD437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6B1D291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Per Capita Income</w:t>
            </w:r>
          </w:p>
        </w:tc>
        <w:tc>
          <w:tcPr>
            <w:tcW w:w="1440" w:type="dxa"/>
            <w:noWrap/>
            <w:hideMark/>
          </w:tcPr>
          <w:p w14:paraId="58BDFEF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1955" w:type="dxa"/>
            <w:noWrap/>
            <w:hideMark/>
          </w:tcPr>
          <w:p w14:paraId="0BEC3390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-4.65</w:t>
            </w:r>
          </w:p>
        </w:tc>
        <w:tc>
          <w:tcPr>
            <w:tcW w:w="1520" w:type="dxa"/>
            <w:noWrap/>
            <w:hideMark/>
          </w:tcPr>
          <w:p w14:paraId="7F82D44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-17.37</w:t>
            </w:r>
          </w:p>
        </w:tc>
        <w:tc>
          <w:tcPr>
            <w:tcW w:w="1440" w:type="dxa"/>
            <w:noWrap/>
            <w:hideMark/>
          </w:tcPr>
          <w:p w14:paraId="5915C39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520" w:type="dxa"/>
            <w:noWrap/>
            <w:hideMark/>
          </w:tcPr>
          <w:p w14:paraId="32FE3D9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1.24</w:t>
            </w:r>
          </w:p>
        </w:tc>
      </w:tr>
      <w:tr w:rsidR="008D5E52" w:rsidRPr="00DD451A" w14:paraId="3917DB07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5BB63B70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7913226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-5.27</w:t>
            </w:r>
          </w:p>
        </w:tc>
        <w:tc>
          <w:tcPr>
            <w:tcW w:w="1955" w:type="dxa"/>
            <w:noWrap/>
            <w:hideMark/>
          </w:tcPr>
          <w:p w14:paraId="6E1AFC9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-8.78</w:t>
            </w:r>
          </w:p>
        </w:tc>
        <w:tc>
          <w:tcPr>
            <w:tcW w:w="1520" w:type="dxa"/>
            <w:noWrap/>
            <w:hideMark/>
          </w:tcPr>
          <w:p w14:paraId="1C5A0C59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-25.57</w:t>
            </w:r>
          </w:p>
        </w:tc>
        <w:tc>
          <w:tcPr>
            <w:tcW w:w="1440" w:type="dxa"/>
            <w:noWrap/>
            <w:hideMark/>
          </w:tcPr>
          <w:p w14:paraId="459868C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-5.78</w:t>
            </w:r>
          </w:p>
        </w:tc>
        <w:tc>
          <w:tcPr>
            <w:tcW w:w="1520" w:type="dxa"/>
            <w:noWrap/>
            <w:hideMark/>
          </w:tcPr>
          <w:p w14:paraId="02F982B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-1.33</w:t>
            </w:r>
          </w:p>
        </w:tc>
      </w:tr>
      <w:tr w:rsidR="008D5E52" w:rsidRPr="00DD451A" w14:paraId="651A220B" w14:textId="77777777" w:rsidTr="00324294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14:paraId="633A78C1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537737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4B55263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1CA72C1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-9.18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54529B8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0026A1C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3.80</w:t>
            </w:r>
          </w:p>
        </w:tc>
      </w:tr>
      <w:tr w:rsidR="008D5E52" w:rsidRPr="00DD451A" w14:paraId="41CE2BDB" w14:textId="77777777" w:rsidTr="00324294">
        <w:trPr>
          <w:trHeight w:val="300"/>
        </w:trPr>
        <w:tc>
          <w:tcPr>
            <w:tcW w:w="1820" w:type="dxa"/>
            <w:tcBorders>
              <w:right w:val="nil"/>
            </w:tcBorders>
            <w:noWrap/>
            <w:hideMark/>
          </w:tcPr>
          <w:p w14:paraId="3698E168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220C19BE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noWrap/>
            <w:hideMark/>
          </w:tcPr>
          <w:p w14:paraId="4544420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  <w:noWrap/>
            <w:hideMark/>
          </w:tcPr>
          <w:p w14:paraId="66A5BC44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7F345F9B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</w:tcBorders>
            <w:noWrap/>
            <w:hideMark/>
          </w:tcPr>
          <w:p w14:paraId="1744B48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5E52" w:rsidRPr="00DD451A" w14:paraId="2F3B70FF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1D754CB9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Poverty Rate</w:t>
            </w:r>
          </w:p>
        </w:tc>
        <w:tc>
          <w:tcPr>
            <w:tcW w:w="1440" w:type="dxa"/>
            <w:noWrap/>
            <w:hideMark/>
          </w:tcPr>
          <w:p w14:paraId="380D18B8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955" w:type="dxa"/>
            <w:noWrap/>
            <w:hideMark/>
          </w:tcPr>
          <w:p w14:paraId="697A179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520" w:type="dxa"/>
            <w:noWrap/>
            <w:hideMark/>
          </w:tcPr>
          <w:p w14:paraId="0BE715E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440" w:type="dxa"/>
            <w:noWrap/>
            <w:hideMark/>
          </w:tcPr>
          <w:p w14:paraId="3B3F2A69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520" w:type="dxa"/>
            <w:noWrap/>
            <w:hideMark/>
          </w:tcPr>
          <w:p w14:paraId="014AD78A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-1.51</w:t>
            </w:r>
          </w:p>
        </w:tc>
      </w:tr>
      <w:tr w:rsidR="008D5E52" w:rsidRPr="00DD451A" w14:paraId="1EF5C064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166AB265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164A7DC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955" w:type="dxa"/>
            <w:noWrap/>
            <w:hideMark/>
          </w:tcPr>
          <w:p w14:paraId="42C9375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520" w:type="dxa"/>
            <w:noWrap/>
            <w:hideMark/>
          </w:tcPr>
          <w:p w14:paraId="3C5DE61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-3.19</w:t>
            </w:r>
          </w:p>
        </w:tc>
        <w:tc>
          <w:tcPr>
            <w:tcW w:w="1440" w:type="dxa"/>
            <w:noWrap/>
            <w:hideMark/>
          </w:tcPr>
          <w:p w14:paraId="7950760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520" w:type="dxa"/>
            <w:noWrap/>
            <w:hideMark/>
          </w:tcPr>
          <w:p w14:paraId="1ECC4EB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-4.17</w:t>
            </w:r>
          </w:p>
        </w:tc>
      </w:tr>
      <w:tr w:rsidR="008D5E52" w:rsidRPr="00DD451A" w14:paraId="0633BE49" w14:textId="77777777" w:rsidTr="00324294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14:paraId="54E28F59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2A22D1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72A78F9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213C3FF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1F6FA64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194BA63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1.14</w:t>
            </w:r>
          </w:p>
        </w:tc>
      </w:tr>
      <w:tr w:rsidR="008D5E52" w:rsidRPr="00DD451A" w14:paraId="75BDF592" w14:textId="77777777" w:rsidTr="00324294">
        <w:trPr>
          <w:trHeight w:val="300"/>
        </w:trPr>
        <w:tc>
          <w:tcPr>
            <w:tcW w:w="1820" w:type="dxa"/>
            <w:tcBorders>
              <w:right w:val="nil"/>
            </w:tcBorders>
            <w:noWrap/>
            <w:hideMark/>
          </w:tcPr>
          <w:p w14:paraId="0A179C2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46CDA53C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noWrap/>
            <w:hideMark/>
          </w:tcPr>
          <w:p w14:paraId="5A48C351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  <w:noWrap/>
            <w:hideMark/>
          </w:tcPr>
          <w:p w14:paraId="3479D012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40300D9E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</w:tcBorders>
            <w:noWrap/>
            <w:hideMark/>
          </w:tcPr>
          <w:p w14:paraId="0E874064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5E52" w:rsidRPr="00DD451A" w14:paraId="60A2B15D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1382D98D" w14:textId="29D8EF3E" w:rsidR="008D5E52" w:rsidRPr="00DD451A" w:rsidRDefault="001B072F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% Black</w:t>
            </w:r>
          </w:p>
        </w:tc>
        <w:tc>
          <w:tcPr>
            <w:tcW w:w="1440" w:type="dxa"/>
            <w:noWrap/>
            <w:hideMark/>
          </w:tcPr>
          <w:p w14:paraId="1DE0C546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955" w:type="dxa"/>
            <w:noWrap/>
            <w:hideMark/>
          </w:tcPr>
          <w:p w14:paraId="52FCDA1B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20" w:type="dxa"/>
            <w:noWrap/>
            <w:hideMark/>
          </w:tcPr>
          <w:p w14:paraId="4948292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40" w:type="dxa"/>
            <w:noWrap/>
            <w:hideMark/>
          </w:tcPr>
          <w:p w14:paraId="7060AEB6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520" w:type="dxa"/>
            <w:noWrap/>
            <w:hideMark/>
          </w:tcPr>
          <w:p w14:paraId="481B76A0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-0.29</w:t>
            </w:r>
          </w:p>
        </w:tc>
      </w:tr>
      <w:tr w:rsidR="008D5E52" w:rsidRPr="00DD451A" w14:paraId="1C7D022D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5C7B236F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7B0B53A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1955" w:type="dxa"/>
            <w:noWrap/>
            <w:hideMark/>
          </w:tcPr>
          <w:p w14:paraId="7C962BC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-4.20</w:t>
            </w:r>
          </w:p>
        </w:tc>
        <w:tc>
          <w:tcPr>
            <w:tcW w:w="1520" w:type="dxa"/>
            <w:noWrap/>
            <w:hideMark/>
          </w:tcPr>
          <w:p w14:paraId="281B3F66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-9.84</w:t>
            </w:r>
          </w:p>
        </w:tc>
        <w:tc>
          <w:tcPr>
            <w:tcW w:w="1440" w:type="dxa"/>
            <w:noWrap/>
            <w:hideMark/>
          </w:tcPr>
          <w:p w14:paraId="385C037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1520" w:type="dxa"/>
            <w:noWrap/>
            <w:hideMark/>
          </w:tcPr>
          <w:p w14:paraId="3CFEF80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-3.11</w:t>
            </w:r>
          </w:p>
        </w:tc>
      </w:tr>
      <w:tr w:rsidR="008D5E52" w:rsidRPr="00DD451A" w14:paraId="7C7B1CBA" w14:textId="77777777" w:rsidTr="00324294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14:paraId="02C93A97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7CD955D8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38BF390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1AFABDB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204E0ED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6D9B5E3C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2.53</w:t>
            </w:r>
          </w:p>
        </w:tc>
      </w:tr>
      <w:tr w:rsidR="008D5E52" w:rsidRPr="00DD451A" w14:paraId="5DC55F14" w14:textId="77777777" w:rsidTr="00324294">
        <w:trPr>
          <w:trHeight w:val="300"/>
        </w:trPr>
        <w:tc>
          <w:tcPr>
            <w:tcW w:w="1820" w:type="dxa"/>
            <w:tcBorders>
              <w:right w:val="nil"/>
            </w:tcBorders>
            <w:noWrap/>
            <w:hideMark/>
          </w:tcPr>
          <w:p w14:paraId="1A0A125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0F6F714D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noWrap/>
            <w:hideMark/>
          </w:tcPr>
          <w:p w14:paraId="415A3F9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  <w:noWrap/>
            <w:hideMark/>
          </w:tcPr>
          <w:p w14:paraId="3E462234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239AEE0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</w:tcBorders>
            <w:noWrap/>
            <w:hideMark/>
          </w:tcPr>
          <w:p w14:paraId="09AA1A73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5E52" w:rsidRPr="00DD451A" w14:paraId="7CDD9FF7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77DD7008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Confirmed Cases</w:t>
            </w:r>
          </w:p>
        </w:tc>
        <w:tc>
          <w:tcPr>
            <w:tcW w:w="1440" w:type="dxa"/>
            <w:noWrap/>
            <w:hideMark/>
          </w:tcPr>
          <w:p w14:paraId="051FE71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955" w:type="dxa"/>
            <w:noWrap/>
            <w:hideMark/>
          </w:tcPr>
          <w:p w14:paraId="33F0D3F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520" w:type="dxa"/>
            <w:noWrap/>
            <w:hideMark/>
          </w:tcPr>
          <w:p w14:paraId="39017610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1440" w:type="dxa"/>
            <w:noWrap/>
            <w:hideMark/>
          </w:tcPr>
          <w:p w14:paraId="081B25E6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520" w:type="dxa"/>
            <w:noWrap/>
            <w:hideMark/>
          </w:tcPr>
          <w:p w14:paraId="1489931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4.15</w:t>
            </w:r>
          </w:p>
        </w:tc>
      </w:tr>
      <w:tr w:rsidR="008D5E52" w:rsidRPr="00DD451A" w14:paraId="56E8C337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5D4EBE2A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30E23FC7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-5.15</w:t>
            </w:r>
          </w:p>
        </w:tc>
        <w:tc>
          <w:tcPr>
            <w:tcW w:w="1955" w:type="dxa"/>
            <w:noWrap/>
            <w:hideMark/>
          </w:tcPr>
          <w:p w14:paraId="72B58C0F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-11.74</w:t>
            </w:r>
          </w:p>
        </w:tc>
        <w:tc>
          <w:tcPr>
            <w:tcW w:w="1520" w:type="dxa"/>
            <w:noWrap/>
            <w:hideMark/>
          </w:tcPr>
          <w:p w14:paraId="39CB025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-40.96</w:t>
            </w:r>
          </w:p>
        </w:tc>
        <w:tc>
          <w:tcPr>
            <w:tcW w:w="1440" w:type="dxa"/>
            <w:noWrap/>
            <w:hideMark/>
          </w:tcPr>
          <w:p w14:paraId="3C25132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-3.70</w:t>
            </w:r>
          </w:p>
        </w:tc>
        <w:tc>
          <w:tcPr>
            <w:tcW w:w="1520" w:type="dxa"/>
            <w:noWrap/>
            <w:hideMark/>
          </w:tcPr>
          <w:p w14:paraId="755B9ED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-2.56</w:t>
            </w:r>
          </w:p>
        </w:tc>
      </w:tr>
      <w:tr w:rsidR="008D5E52" w:rsidRPr="00DD451A" w14:paraId="057E2FE4" w14:textId="77777777" w:rsidTr="00324294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  <w:hideMark/>
          </w:tcPr>
          <w:p w14:paraId="3A960898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28D49379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hideMark/>
          </w:tcPr>
          <w:p w14:paraId="7E2A642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3B50BB7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23342D1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23B22D3D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10.85</w:t>
            </w:r>
          </w:p>
        </w:tc>
      </w:tr>
      <w:tr w:rsidR="008D5E52" w:rsidRPr="00DD451A" w14:paraId="42C856F4" w14:textId="77777777" w:rsidTr="00324294">
        <w:trPr>
          <w:trHeight w:val="300"/>
        </w:trPr>
        <w:tc>
          <w:tcPr>
            <w:tcW w:w="1820" w:type="dxa"/>
            <w:tcBorders>
              <w:right w:val="nil"/>
            </w:tcBorders>
            <w:noWrap/>
            <w:hideMark/>
          </w:tcPr>
          <w:p w14:paraId="54FFF02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79ADF0F2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  <w:noWrap/>
            <w:hideMark/>
          </w:tcPr>
          <w:p w14:paraId="210164C2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  <w:right w:val="nil"/>
            </w:tcBorders>
            <w:noWrap/>
            <w:hideMark/>
          </w:tcPr>
          <w:p w14:paraId="4D832F3B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hideMark/>
          </w:tcPr>
          <w:p w14:paraId="3CB7D29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nil"/>
            </w:tcBorders>
            <w:noWrap/>
            <w:hideMark/>
          </w:tcPr>
          <w:p w14:paraId="73168A6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5E52" w:rsidRPr="00DD451A" w14:paraId="6AE52987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1ABC97B3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Confirmed Deaths</w:t>
            </w:r>
          </w:p>
        </w:tc>
        <w:tc>
          <w:tcPr>
            <w:tcW w:w="1440" w:type="dxa"/>
            <w:noWrap/>
            <w:hideMark/>
          </w:tcPr>
          <w:p w14:paraId="50146553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955" w:type="dxa"/>
            <w:noWrap/>
            <w:hideMark/>
          </w:tcPr>
          <w:p w14:paraId="397FFCF1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520" w:type="dxa"/>
            <w:noWrap/>
            <w:hideMark/>
          </w:tcPr>
          <w:p w14:paraId="7E17709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1440" w:type="dxa"/>
            <w:noWrap/>
            <w:hideMark/>
          </w:tcPr>
          <w:p w14:paraId="6446E575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520" w:type="dxa"/>
            <w:noWrap/>
            <w:hideMark/>
          </w:tcPr>
          <w:p w14:paraId="0EDDB7E9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1.92</w:t>
            </w:r>
          </w:p>
        </w:tc>
      </w:tr>
      <w:tr w:rsidR="008D5E52" w:rsidRPr="00DD451A" w14:paraId="5D6BD662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74770F9C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Lower</w:t>
            </w:r>
          </w:p>
        </w:tc>
        <w:tc>
          <w:tcPr>
            <w:tcW w:w="1440" w:type="dxa"/>
            <w:noWrap/>
            <w:hideMark/>
          </w:tcPr>
          <w:p w14:paraId="169EBF59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-2.20</w:t>
            </w:r>
          </w:p>
        </w:tc>
        <w:tc>
          <w:tcPr>
            <w:tcW w:w="1955" w:type="dxa"/>
            <w:noWrap/>
            <w:hideMark/>
          </w:tcPr>
          <w:p w14:paraId="631F6D8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-3.36</w:t>
            </w:r>
          </w:p>
        </w:tc>
        <w:tc>
          <w:tcPr>
            <w:tcW w:w="1520" w:type="dxa"/>
            <w:noWrap/>
            <w:hideMark/>
          </w:tcPr>
          <w:p w14:paraId="47BAD194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-11.41</w:t>
            </w:r>
          </w:p>
        </w:tc>
        <w:tc>
          <w:tcPr>
            <w:tcW w:w="1440" w:type="dxa"/>
            <w:noWrap/>
            <w:hideMark/>
          </w:tcPr>
          <w:p w14:paraId="6506F14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1520" w:type="dxa"/>
            <w:noWrap/>
            <w:hideMark/>
          </w:tcPr>
          <w:p w14:paraId="566435AB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-2.10</w:t>
            </w:r>
          </w:p>
        </w:tc>
      </w:tr>
      <w:tr w:rsidR="008D5E52" w:rsidRPr="00DD451A" w14:paraId="73E1A771" w14:textId="77777777" w:rsidTr="00671DE4">
        <w:trPr>
          <w:trHeight w:val="300"/>
        </w:trPr>
        <w:tc>
          <w:tcPr>
            <w:tcW w:w="1820" w:type="dxa"/>
            <w:noWrap/>
            <w:hideMark/>
          </w:tcPr>
          <w:p w14:paraId="0D0C51B6" w14:textId="77777777" w:rsidR="008D5E52" w:rsidRPr="00DD451A" w:rsidRDefault="008D5E52" w:rsidP="00671DE4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90% CI Upper</w:t>
            </w:r>
          </w:p>
        </w:tc>
        <w:tc>
          <w:tcPr>
            <w:tcW w:w="1440" w:type="dxa"/>
            <w:noWrap/>
            <w:hideMark/>
          </w:tcPr>
          <w:p w14:paraId="2CA75A0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1955" w:type="dxa"/>
            <w:noWrap/>
            <w:hideMark/>
          </w:tcPr>
          <w:p w14:paraId="2B34BC9E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1520" w:type="dxa"/>
            <w:noWrap/>
            <w:hideMark/>
          </w:tcPr>
          <w:p w14:paraId="2134D497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31.51</w:t>
            </w:r>
          </w:p>
        </w:tc>
        <w:tc>
          <w:tcPr>
            <w:tcW w:w="1440" w:type="dxa"/>
            <w:noWrap/>
            <w:hideMark/>
          </w:tcPr>
          <w:p w14:paraId="02CC5A82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520" w:type="dxa"/>
            <w:noWrap/>
            <w:hideMark/>
          </w:tcPr>
          <w:p w14:paraId="74B8E2CC" w14:textId="77777777" w:rsidR="008D5E52" w:rsidRPr="00DD451A" w:rsidRDefault="008D5E52" w:rsidP="00671DE4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D451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5.93</w:t>
            </w:r>
          </w:p>
        </w:tc>
      </w:tr>
    </w:tbl>
    <w:p w14:paraId="34213191" w14:textId="7A34E9C9" w:rsidR="0044739A" w:rsidRPr="004527D4" w:rsidRDefault="008D5E52" w:rsidP="008D5E52">
      <w:pPr>
        <w:rPr>
          <w:rFonts w:ascii="Courier New" w:hAnsi="Courier New" w:cs="Courier New"/>
        </w:rPr>
      </w:pPr>
      <w:bookmarkStart w:id="1" w:name="_Hlk56592549"/>
      <w:bookmarkEnd w:id="0"/>
      <w:r>
        <w:rPr>
          <w:rFonts w:ascii="Courier New" w:hAnsi="Courier New" w:cs="Courier New"/>
        </w:rPr>
        <w:t xml:space="preserve">These are state-level, category-specific bivariable results regressing coefficients on the socioeconomic and epidemiological factors. </w:t>
      </w:r>
      <w:r w:rsidR="004C5D82" w:rsidRPr="004C5D82">
        <w:rPr>
          <w:rFonts w:ascii="Courier New" w:hAnsi="Courier New" w:cs="Courier New"/>
        </w:rPr>
        <w:t xml:space="preserve">Coefficient estimates for continuous variables represent the estimated effect of one standard deviation change in the predictor. A positive coefficient represents a smaller reduction in mobility. N=39. Robust </w:t>
      </w:r>
      <w:r w:rsidR="00FD24F0">
        <w:rPr>
          <w:rFonts w:ascii="Courier New" w:hAnsi="Courier New" w:cs="Courier New"/>
        </w:rPr>
        <w:t>s</w:t>
      </w:r>
      <w:r w:rsidR="004C5D82" w:rsidRPr="004C5D82">
        <w:rPr>
          <w:rFonts w:ascii="Courier New" w:hAnsi="Courier New" w:cs="Courier New"/>
        </w:rPr>
        <w:t xml:space="preserve">tandard errors are </w:t>
      </w:r>
      <w:r w:rsidR="00FD24F0">
        <w:rPr>
          <w:rFonts w:ascii="Courier New" w:hAnsi="Courier New" w:cs="Courier New"/>
        </w:rPr>
        <w:t>used</w:t>
      </w:r>
      <w:r w:rsidR="004C5D82" w:rsidRPr="004C5D82">
        <w:rPr>
          <w:rFonts w:ascii="Courier New" w:hAnsi="Courier New" w:cs="Courier New"/>
        </w:rPr>
        <w:t>.</w:t>
      </w:r>
      <w:bookmarkEnd w:id="1"/>
    </w:p>
    <w:sectPr w:rsidR="0044739A" w:rsidRPr="0045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D"/>
    <w:rsid w:val="00094930"/>
    <w:rsid w:val="001B072F"/>
    <w:rsid w:val="00324294"/>
    <w:rsid w:val="0044739A"/>
    <w:rsid w:val="004527D4"/>
    <w:rsid w:val="004855AD"/>
    <w:rsid w:val="004A6306"/>
    <w:rsid w:val="004C5D82"/>
    <w:rsid w:val="004E18E1"/>
    <w:rsid w:val="00782986"/>
    <w:rsid w:val="008D1D0E"/>
    <w:rsid w:val="008D5E52"/>
    <w:rsid w:val="008E3736"/>
    <w:rsid w:val="00AF78E4"/>
    <w:rsid w:val="00BB7EED"/>
    <w:rsid w:val="00C44994"/>
    <w:rsid w:val="00C76B50"/>
    <w:rsid w:val="00D72831"/>
    <w:rsid w:val="00D86B19"/>
    <w:rsid w:val="00E867F5"/>
    <w:rsid w:val="00F07EB3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878D"/>
  <w15:chartTrackingRefBased/>
  <w15:docId w15:val="{BAD8286B-1813-4C7F-AB6D-2A4AF20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9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Feyman</dc:creator>
  <cp:keywords/>
  <dc:description/>
  <cp:lastModifiedBy>chn off29</cp:lastModifiedBy>
  <cp:revision>8</cp:revision>
  <dcterms:created xsi:type="dcterms:W3CDTF">2020-11-01T22:10:00Z</dcterms:created>
  <dcterms:modified xsi:type="dcterms:W3CDTF">2020-12-25T01:51:00Z</dcterms:modified>
</cp:coreProperties>
</file>