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16" w:rsidRPr="00C53D22" w:rsidRDefault="00A67C16" w:rsidP="00A67C16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3D22">
        <w:rPr>
          <w:rFonts w:ascii="Times New Roman" w:hAnsi="Times New Roman" w:cs="Times New Roman"/>
          <w:b/>
          <w:bCs/>
          <w:lang w:val="en-US"/>
        </w:rPr>
        <w:t>Table 2S – Quantification of all metabolites acquired consistently with CRLB &lt; 20</w:t>
      </w:r>
      <w:proofErr w:type="gramStart"/>
      <w:r w:rsidRPr="00C53D22">
        <w:rPr>
          <w:rFonts w:ascii="Times New Roman" w:hAnsi="Times New Roman" w:cs="Times New Roman"/>
          <w:b/>
          <w:bCs/>
          <w:lang w:val="en-US"/>
        </w:rPr>
        <w:t>%</w:t>
      </w:r>
      <w:proofErr w:type="gramEnd"/>
      <w:r w:rsidRPr="00C53D22">
        <w:rPr>
          <w:rFonts w:ascii="Times New Roman" w:hAnsi="Times New Roman" w:cs="Times New Roman"/>
          <w:b/>
          <w:bCs/>
          <w:lang w:val="en-US"/>
        </w:rPr>
        <w:br/>
      </w:r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(CRLB = </w:t>
      </w:r>
      <w:proofErr w:type="spellStart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>Cramér</w:t>
      </w:r>
      <w:proofErr w:type="spellEnd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>–Rao lower bounds; CSF = cerebrospinal fluid; GABA = γ-amino butyric acid GLUT = glutamate; GLN = glutamine; GM = gray matter; GSH = glutathione; INS = inositol; NAA = N-</w:t>
      </w:r>
      <w:proofErr w:type="spellStart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>acetylaspartic</w:t>
      </w:r>
      <w:proofErr w:type="spellEnd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acid; </w:t>
      </w:r>
      <w:proofErr w:type="spellStart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>TCr</w:t>
      </w:r>
      <w:proofErr w:type="spellEnd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= total </w:t>
      </w:r>
      <w:proofErr w:type="spellStart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>creatine</w:t>
      </w:r>
      <w:proofErr w:type="spellEnd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(</w:t>
      </w:r>
      <w:proofErr w:type="spellStart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>creatine</w:t>
      </w:r>
      <w:proofErr w:type="spellEnd"/>
      <w:r w:rsidRPr="00C53D2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+ phosphocreatine); WM = white matter)</w:t>
      </w:r>
    </w:p>
    <w:p w:rsidR="00A67C16" w:rsidRPr="00C53D22" w:rsidRDefault="00A67C16" w:rsidP="00A67C16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7C16" w:rsidRPr="00C53D22" w:rsidRDefault="00A55D7A" w:rsidP="00A67C16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object w:dxaOrig="13996" w:dyaOrig="9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320.25pt" o:ole="">
            <v:imagedata r:id="rId5" o:title=""/>
          </v:shape>
          <o:OLEObject Type="Embed" ProgID="Excel.Sheet.12" ShapeID="_x0000_i1025" DrawAspect="Content" ObjectID="_1669795836" r:id="rId6"/>
        </w:object>
      </w:r>
      <w:bookmarkStart w:id="0" w:name="_GoBack"/>
      <w:bookmarkEnd w:id="0"/>
    </w:p>
    <w:p w:rsidR="00A67C16" w:rsidRPr="00C53D22" w:rsidRDefault="00A67C16" w:rsidP="00A67C16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F3D89" w:rsidRDefault="007F3D89"/>
    <w:sectPr w:rsidR="007F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08"/>
    <w:rsid w:val="006D49D8"/>
    <w:rsid w:val="007F3D89"/>
    <w:rsid w:val="00871F08"/>
    <w:rsid w:val="00A55D7A"/>
    <w:rsid w:val="00A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1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1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3</cp:revision>
  <dcterms:created xsi:type="dcterms:W3CDTF">2020-12-18T05:52:00Z</dcterms:created>
  <dcterms:modified xsi:type="dcterms:W3CDTF">2020-12-18T05:54:00Z</dcterms:modified>
</cp:coreProperties>
</file>