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E5D4C" w14:textId="32332999" w:rsidR="009255B5" w:rsidRPr="00EA1BF6" w:rsidRDefault="00EA1BF6" w:rsidP="001C3807">
      <w:pPr>
        <w:jc w:val="center"/>
        <w:rPr>
          <w:rFonts w:ascii="Times New Roman" w:hAnsi="Times New Roman" w:cs="Times New Roman"/>
          <w:b/>
          <w:bCs/>
          <w:sz w:val="24"/>
          <w:szCs w:val="24"/>
        </w:rPr>
      </w:pPr>
      <w:r w:rsidRPr="00EA1BF6">
        <w:rPr>
          <w:rFonts w:ascii="Times New Roman" w:hAnsi="Times New Roman" w:cs="Times New Roman"/>
          <w:b/>
          <w:bCs/>
          <w:sz w:val="24"/>
          <w:szCs w:val="24"/>
        </w:rPr>
        <w:t>SUPPLEMENTAL INFORMATION OF MYCOBIOME</w:t>
      </w:r>
    </w:p>
    <w:p w14:paraId="41FC5439" w14:textId="5E355564" w:rsidR="009255B5" w:rsidRPr="00777CE3" w:rsidRDefault="00610E48" w:rsidP="001C3807">
      <w:pPr>
        <w:jc w:val="center"/>
        <w:rPr>
          <w:rFonts w:ascii="Times New Roman" w:hAnsi="Times New Roman" w:cs="Times New Roman"/>
          <w:sz w:val="24"/>
          <w:szCs w:val="24"/>
        </w:rPr>
      </w:pPr>
      <w:r>
        <w:rPr>
          <w:rFonts w:ascii="Times New Roman" w:hAnsi="Times New Roman" w:cs="Times New Roman"/>
          <w:sz w:val="24"/>
          <w:szCs w:val="24"/>
          <w:u w:val="single"/>
        </w:rPr>
        <w:t>PONE-D-20-38095</w:t>
      </w:r>
      <w:r w:rsidR="00642C0A">
        <w:rPr>
          <w:rFonts w:ascii="Times New Roman" w:hAnsi="Times New Roman" w:cs="Times New Roman"/>
          <w:sz w:val="24"/>
          <w:szCs w:val="24"/>
          <w:u w:val="single"/>
        </w:rPr>
        <w:t>-R1</w:t>
      </w:r>
    </w:p>
    <w:p w14:paraId="0837EE2B" w14:textId="77777777" w:rsidR="009255B5" w:rsidRPr="00DD0FE9" w:rsidRDefault="009255B5" w:rsidP="0089257D">
      <w:pPr>
        <w:jc w:val="center"/>
        <w:rPr>
          <w:rFonts w:ascii="Times New Roman" w:hAnsi="Times New Roman" w:cs="Times New Roman"/>
          <w:iCs/>
          <w:sz w:val="24"/>
          <w:szCs w:val="24"/>
        </w:rPr>
      </w:pPr>
      <w:r w:rsidRPr="00706B8C">
        <w:rPr>
          <w:rFonts w:ascii="Times New Roman" w:hAnsi="Times New Roman" w:cs="Times New Roman"/>
          <w:b/>
          <w:bCs/>
          <w:iCs/>
          <w:sz w:val="24"/>
          <w:szCs w:val="24"/>
        </w:rPr>
        <w:t>Exposure to Traffic-Related Air Pollution is Associated with Greater Bacterial Diversity in the Lower Respiratory Tract of Children</w:t>
      </w:r>
    </w:p>
    <w:p w14:paraId="64B8AAD4" w14:textId="77777777" w:rsidR="009255B5" w:rsidRPr="00DD0FE9" w:rsidRDefault="009255B5" w:rsidP="00777CE3">
      <w:pPr>
        <w:rPr>
          <w:rFonts w:ascii="Times New Roman" w:hAnsi="Times New Roman" w:cs="Times New Roman"/>
          <w:iCs/>
          <w:sz w:val="24"/>
          <w:szCs w:val="24"/>
          <w:vertAlign w:val="superscript"/>
        </w:rPr>
      </w:pPr>
      <w:r w:rsidRPr="00DD0FE9">
        <w:rPr>
          <w:rFonts w:ascii="Times New Roman" w:hAnsi="Times New Roman" w:cs="Times New Roman"/>
          <w:iCs/>
          <w:sz w:val="24"/>
          <w:szCs w:val="24"/>
        </w:rPr>
        <w:t>Christine Uebel-Niemeier</w:t>
      </w:r>
      <w:r w:rsidRPr="00DD0FE9">
        <w:rPr>
          <w:rFonts w:ascii="Times New Roman" w:hAnsi="Times New Roman" w:cs="Times New Roman"/>
          <w:iCs/>
          <w:sz w:val="24"/>
          <w:szCs w:val="24"/>
          <w:vertAlign w:val="superscript"/>
        </w:rPr>
        <w:t>1</w:t>
      </w:r>
      <w:r w:rsidRPr="00DD0FE9">
        <w:rPr>
          <w:rFonts w:ascii="Times New Roman" w:hAnsi="Times New Roman" w:cs="Times New Roman"/>
          <w:iCs/>
          <w:sz w:val="24"/>
          <w:szCs w:val="24"/>
        </w:rPr>
        <w:t>, Patrick H Ryan</w:t>
      </w:r>
      <w:r w:rsidRPr="00DD0FE9">
        <w:rPr>
          <w:rFonts w:ascii="Times New Roman" w:hAnsi="Times New Roman" w:cs="Times New Roman"/>
          <w:iCs/>
          <w:sz w:val="24"/>
          <w:szCs w:val="24"/>
          <w:vertAlign w:val="superscript"/>
        </w:rPr>
        <w:t>1,2,3</w:t>
      </w:r>
      <w:r w:rsidRPr="00DD0FE9">
        <w:rPr>
          <w:rFonts w:ascii="Times New Roman" w:hAnsi="Times New Roman" w:cs="Times New Roman"/>
          <w:iCs/>
          <w:sz w:val="24"/>
          <w:szCs w:val="24"/>
        </w:rPr>
        <w:t>, Jar</w:t>
      </w:r>
      <w:r>
        <w:rPr>
          <w:rFonts w:ascii="Times New Roman" w:hAnsi="Times New Roman" w:cs="Times New Roman"/>
          <w:iCs/>
          <w:sz w:val="24"/>
          <w:szCs w:val="24"/>
        </w:rPr>
        <w:t>oslaw</w:t>
      </w:r>
      <w:r w:rsidRPr="00DD0FE9">
        <w:rPr>
          <w:rFonts w:ascii="Times New Roman" w:hAnsi="Times New Roman" w:cs="Times New Roman"/>
          <w:iCs/>
          <w:sz w:val="24"/>
          <w:szCs w:val="24"/>
        </w:rPr>
        <w:t xml:space="preserve"> Meller</w:t>
      </w:r>
      <w:r w:rsidRPr="00DD0FE9">
        <w:rPr>
          <w:rFonts w:ascii="Times New Roman" w:hAnsi="Times New Roman" w:cs="Times New Roman"/>
          <w:iCs/>
          <w:sz w:val="24"/>
          <w:szCs w:val="24"/>
          <w:vertAlign w:val="superscript"/>
        </w:rPr>
        <w:t>1,2</w:t>
      </w:r>
      <w:r w:rsidRPr="00DD0FE9">
        <w:rPr>
          <w:rFonts w:ascii="Times New Roman" w:hAnsi="Times New Roman" w:cs="Times New Roman"/>
          <w:iCs/>
          <w:sz w:val="24"/>
          <w:szCs w:val="24"/>
        </w:rPr>
        <w:t>, Nicholas J. Ollberding</w:t>
      </w:r>
      <w:r w:rsidRPr="00DD0FE9">
        <w:rPr>
          <w:rFonts w:ascii="Times New Roman" w:hAnsi="Times New Roman" w:cs="Times New Roman"/>
          <w:iCs/>
          <w:sz w:val="24"/>
          <w:szCs w:val="24"/>
          <w:vertAlign w:val="superscript"/>
        </w:rPr>
        <w:t>2,3</w:t>
      </w:r>
      <w:r w:rsidRPr="00DD0FE9">
        <w:rPr>
          <w:rFonts w:ascii="Times New Roman" w:hAnsi="Times New Roman" w:cs="Times New Roman"/>
          <w:iCs/>
          <w:sz w:val="24"/>
          <w:szCs w:val="24"/>
        </w:rPr>
        <w:t>, Atin Adhikari</w:t>
      </w:r>
      <w:r w:rsidRPr="00DD0FE9">
        <w:rPr>
          <w:rFonts w:ascii="Times New Roman" w:hAnsi="Times New Roman" w:cs="Times New Roman"/>
          <w:iCs/>
          <w:sz w:val="24"/>
          <w:szCs w:val="24"/>
          <w:vertAlign w:val="superscript"/>
        </w:rPr>
        <w:t>4</w:t>
      </w:r>
      <w:r w:rsidRPr="00DD0FE9">
        <w:rPr>
          <w:rFonts w:ascii="Times New Roman" w:hAnsi="Times New Roman" w:cs="Times New Roman"/>
          <w:iCs/>
          <w:sz w:val="24"/>
          <w:szCs w:val="24"/>
        </w:rPr>
        <w:t>, and Tiina Reponen</w:t>
      </w:r>
      <w:r w:rsidRPr="00DD0FE9">
        <w:rPr>
          <w:rFonts w:ascii="Times New Roman" w:hAnsi="Times New Roman" w:cs="Times New Roman"/>
          <w:iCs/>
          <w:sz w:val="24"/>
          <w:szCs w:val="24"/>
          <w:vertAlign w:val="superscript"/>
        </w:rPr>
        <w:t>1</w:t>
      </w:r>
    </w:p>
    <w:p w14:paraId="1B7E8499" w14:textId="77777777" w:rsidR="009255B5" w:rsidRPr="00DD0FE9" w:rsidRDefault="009255B5" w:rsidP="00777CE3">
      <w:pPr>
        <w:rPr>
          <w:rFonts w:ascii="Times New Roman" w:hAnsi="Times New Roman" w:cs="Times New Roman"/>
          <w:iCs/>
          <w:sz w:val="24"/>
          <w:szCs w:val="24"/>
          <w:vertAlign w:val="superscript"/>
        </w:rPr>
      </w:pPr>
    </w:p>
    <w:p w14:paraId="5FB1A58A" w14:textId="77777777" w:rsidR="009255B5" w:rsidRPr="00DD0FE9" w:rsidRDefault="009255B5" w:rsidP="0089257D">
      <w:pPr>
        <w:rPr>
          <w:rFonts w:ascii="Times New Roman" w:hAnsi="Times New Roman" w:cs="Times New Roman"/>
          <w:iCs/>
          <w:sz w:val="24"/>
          <w:szCs w:val="24"/>
        </w:rPr>
      </w:pPr>
      <w:r w:rsidRPr="00DD0FE9">
        <w:rPr>
          <w:rFonts w:ascii="Times New Roman" w:hAnsi="Times New Roman" w:cs="Times New Roman"/>
          <w:iCs/>
          <w:sz w:val="24"/>
          <w:szCs w:val="24"/>
          <w:vertAlign w:val="superscript"/>
        </w:rPr>
        <w:t>1</w:t>
      </w:r>
      <w:r w:rsidRPr="00DD0FE9">
        <w:rPr>
          <w:rFonts w:ascii="Times New Roman" w:hAnsi="Times New Roman" w:cs="Times New Roman"/>
          <w:iCs/>
          <w:sz w:val="24"/>
          <w:szCs w:val="24"/>
        </w:rPr>
        <w:t>Department of Environmental Health, University of Cincinnati, Cincinnati, OH, USA</w:t>
      </w:r>
    </w:p>
    <w:p w14:paraId="3D2895AB" w14:textId="77777777" w:rsidR="009255B5" w:rsidRPr="00DD0FE9" w:rsidRDefault="009255B5" w:rsidP="0089257D">
      <w:pPr>
        <w:rPr>
          <w:rFonts w:ascii="Times New Roman" w:hAnsi="Times New Roman" w:cs="Times New Roman"/>
          <w:iCs/>
          <w:sz w:val="24"/>
          <w:szCs w:val="24"/>
        </w:rPr>
      </w:pPr>
      <w:r w:rsidRPr="00DD0FE9">
        <w:rPr>
          <w:rFonts w:ascii="Times New Roman" w:hAnsi="Times New Roman" w:cs="Times New Roman"/>
          <w:iCs/>
          <w:sz w:val="24"/>
          <w:szCs w:val="24"/>
          <w:vertAlign w:val="superscript"/>
        </w:rPr>
        <w:t>2</w:t>
      </w:r>
      <w:r w:rsidRPr="00DD0FE9">
        <w:rPr>
          <w:rFonts w:ascii="Times New Roman" w:hAnsi="Times New Roman" w:cs="Times New Roman"/>
          <w:iCs/>
          <w:sz w:val="24"/>
          <w:szCs w:val="24"/>
        </w:rPr>
        <w:t>Department of Pediatrics, University of Cincinnati, Cincinnati, OH, USA</w:t>
      </w:r>
      <w:bookmarkStart w:id="0" w:name="_GoBack"/>
      <w:bookmarkEnd w:id="0"/>
    </w:p>
    <w:p w14:paraId="5902A899" w14:textId="77777777" w:rsidR="009255B5" w:rsidRPr="00DD0FE9" w:rsidRDefault="009255B5" w:rsidP="0089257D">
      <w:pPr>
        <w:rPr>
          <w:rFonts w:ascii="Times New Roman" w:hAnsi="Times New Roman" w:cs="Times New Roman"/>
          <w:iCs/>
          <w:sz w:val="24"/>
          <w:szCs w:val="24"/>
        </w:rPr>
      </w:pPr>
      <w:r w:rsidRPr="00DD0FE9">
        <w:rPr>
          <w:rFonts w:ascii="Times New Roman" w:hAnsi="Times New Roman" w:cs="Times New Roman"/>
          <w:iCs/>
          <w:sz w:val="24"/>
          <w:szCs w:val="24"/>
          <w:vertAlign w:val="superscript"/>
        </w:rPr>
        <w:t xml:space="preserve">3 </w:t>
      </w:r>
      <w:r w:rsidRPr="00DD0FE9">
        <w:rPr>
          <w:rFonts w:ascii="Times New Roman" w:hAnsi="Times New Roman" w:cs="Times New Roman"/>
          <w:iCs/>
          <w:sz w:val="24"/>
          <w:szCs w:val="24"/>
        </w:rPr>
        <w:t>Division of Biostatistics and Epidemiology, Cincinnati Children’s Hospital Medical Center, Cincinnati, OH, USA</w:t>
      </w:r>
    </w:p>
    <w:p w14:paraId="19712480" w14:textId="5B949112" w:rsidR="009255B5" w:rsidRPr="00610E48" w:rsidRDefault="009255B5">
      <w:pPr>
        <w:rPr>
          <w:rFonts w:ascii="Times New Roman" w:hAnsi="Times New Roman" w:cs="Times New Roman"/>
          <w:iCs/>
          <w:sz w:val="24"/>
          <w:szCs w:val="24"/>
        </w:rPr>
      </w:pPr>
      <w:r w:rsidRPr="00DD0FE9">
        <w:rPr>
          <w:rFonts w:ascii="Times New Roman" w:hAnsi="Times New Roman" w:cs="Times New Roman"/>
          <w:iCs/>
          <w:sz w:val="24"/>
          <w:szCs w:val="24"/>
          <w:vertAlign w:val="superscript"/>
        </w:rPr>
        <w:t>4</w:t>
      </w:r>
      <w:r w:rsidRPr="00DD0FE9">
        <w:rPr>
          <w:rFonts w:ascii="Times New Roman" w:hAnsi="Times New Roman" w:cs="Times New Roman"/>
          <w:iCs/>
          <w:sz w:val="24"/>
          <w:szCs w:val="24"/>
        </w:rPr>
        <w:t>Jiann-Ping Hsu College of Public Health, Georgia Southern University, Statesboro, Georgia, USA</w:t>
      </w:r>
      <w:r w:rsidRPr="00777CE3">
        <w:rPr>
          <w:rFonts w:ascii="Times New Roman" w:hAnsi="Times New Roman" w:cs="Times New Roman"/>
          <w:sz w:val="24"/>
          <w:szCs w:val="24"/>
        </w:rPr>
        <w:br w:type="page"/>
      </w:r>
    </w:p>
    <w:p w14:paraId="5D794E80" w14:textId="73739F81" w:rsidR="009255B5" w:rsidRDefault="009255B5">
      <w:pPr>
        <w:rPr>
          <w:rFonts w:ascii="Times New Roman" w:hAnsi="Times New Roman" w:cs="Times New Roman"/>
          <w:sz w:val="24"/>
          <w:szCs w:val="24"/>
        </w:rPr>
      </w:pPr>
    </w:p>
    <w:p w14:paraId="6086AA50" w14:textId="77777777" w:rsidR="009255B5" w:rsidRDefault="009255B5" w:rsidP="00E5475D">
      <w:pPr>
        <w:spacing w:line="480" w:lineRule="auto"/>
        <w:contextualSpacing/>
        <w:jc w:val="both"/>
        <w:rPr>
          <w:rFonts w:ascii="Times New Roman" w:hAnsi="Times New Roman" w:cs="Times New Roman"/>
          <w:b/>
          <w:bCs/>
          <w:iCs/>
          <w:sz w:val="28"/>
          <w:szCs w:val="28"/>
        </w:rPr>
      </w:pPr>
      <w:r>
        <w:rPr>
          <w:rFonts w:ascii="Times New Roman" w:hAnsi="Times New Roman" w:cs="Times New Roman"/>
          <w:b/>
          <w:bCs/>
          <w:iCs/>
          <w:sz w:val="28"/>
          <w:szCs w:val="28"/>
        </w:rPr>
        <w:t>Methods</w:t>
      </w:r>
    </w:p>
    <w:p w14:paraId="2940A5B7" w14:textId="77777777" w:rsidR="009255B5" w:rsidRDefault="009255B5" w:rsidP="007D2770">
      <w:pPr>
        <w:spacing w:line="480" w:lineRule="auto"/>
        <w:ind w:firstLine="720"/>
        <w:contextualSpacing/>
        <w:jc w:val="both"/>
        <w:rPr>
          <w:rFonts w:ascii="Times New Roman" w:hAnsi="Times New Roman" w:cs="Times New Roman"/>
          <w:sz w:val="24"/>
          <w:szCs w:val="24"/>
        </w:rPr>
      </w:pPr>
      <w:r w:rsidRPr="00922A89">
        <w:rPr>
          <w:rFonts w:ascii="Times New Roman" w:hAnsi="Times New Roman" w:cs="Times New Roman"/>
          <w:sz w:val="24"/>
          <w:szCs w:val="24"/>
        </w:rPr>
        <w:t>For fung</w:t>
      </w:r>
      <w:r>
        <w:rPr>
          <w:rFonts w:ascii="Times New Roman" w:hAnsi="Times New Roman" w:cs="Times New Roman"/>
          <w:sz w:val="24"/>
          <w:szCs w:val="24"/>
        </w:rPr>
        <w:t>al qPCR</w:t>
      </w:r>
      <w:r w:rsidRPr="00922A89">
        <w:rPr>
          <w:rFonts w:ascii="Times New Roman" w:hAnsi="Times New Roman" w:cs="Times New Roman"/>
          <w:sz w:val="24"/>
          <w:szCs w:val="24"/>
        </w:rPr>
        <w:t xml:space="preserve">, the universal fungal primers 5.8Fl and 5.8Rl, and probe, 5.8Pl, for the amplification of the internal transcribed spacer (ITS) regions of fungal rDNA were used </w:t>
      </w:r>
      <w:r>
        <w:rPr>
          <w:rFonts w:ascii="Times New Roman" w:hAnsi="Times New Roman" w:cs="Times New Roman"/>
          <w:noProof/>
          <w:sz w:val="24"/>
          <w:szCs w:val="24"/>
        </w:rPr>
        <w:t>(1)</w:t>
      </w:r>
      <w:r w:rsidRPr="00922A89">
        <w:rPr>
          <w:rFonts w:ascii="Times New Roman" w:hAnsi="Times New Roman" w:cs="Times New Roman"/>
          <w:sz w:val="24"/>
          <w:szCs w:val="24"/>
        </w:rPr>
        <w:t xml:space="preserve">. Extracted DNA from a solution of </w:t>
      </w:r>
      <w:r w:rsidRPr="00922A89">
        <w:rPr>
          <w:rFonts w:ascii="Times New Roman" w:hAnsi="Times New Roman" w:cs="Times New Roman"/>
          <w:i/>
          <w:sz w:val="24"/>
          <w:szCs w:val="24"/>
        </w:rPr>
        <w:t>Aspergillus versicolor</w:t>
      </w:r>
      <w:r w:rsidRPr="00922A89">
        <w:rPr>
          <w:rFonts w:ascii="Times New Roman" w:hAnsi="Times New Roman" w:cs="Times New Roman"/>
          <w:sz w:val="24"/>
          <w:szCs w:val="24"/>
        </w:rPr>
        <w:t xml:space="preserve"> with a known concentration of spores was used as the standard.</w:t>
      </w:r>
    </w:p>
    <w:p w14:paraId="3022317A" w14:textId="77777777" w:rsidR="009255B5" w:rsidRPr="00922A89" w:rsidRDefault="009255B5" w:rsidP="00121AEB">
      <w:pPr>
        <w:spacing w:line="480" w:lineRule="auto"/>
        <w:ind w:firstLine="720"/>
        <w:contextualSpacing/>
        <w:jc w:val="both"/>
        <w:rPr>
          <w:rFonts w:ascii="Times New Roman" w:hAnsi="Times New Roman" w:cs="Times New Roman"/>
          <w:sz w:val="24"/>
          <w:szCs w:val="24"/>
        </w:rPr>
      </w:pPr>
      <w:r w:rsidRPr="00922A89">
        <w:rPr>
          <w:rFonts w:ascii="Times New Roman" w:hAnsi="Times New Roman" w:cs="Times New Roman"/>
          <w:sz w:val="24"/>
          <w:szCs w:val="24"/>
        </w:rPr>
        <w:t xml:space="preserve">For fungal sequencing, we used the ITS1F-ITS2aR primers for the amplification of the ITS1 region. The ITS fungal rDNA region was selected over the 18s rDNA region because it has been found to be more precise in fungal community analysis </w:t>
      </w:r>
      <w:r>
        <w:rPr>
          <w:rFonts w:ascii="Times New Roman" w:hAnsi="Times New Roman" w:cs="Times New Roman"/>
          <w:noProof/>
          <w:sz w:val="24"/>
          <w:szCs w:val="24"/>
        </w:rPr>
        <w:t>(2)</w:t>
      </w:r>
      <w:r w:rsidRPr="00922A89">
        <w:rPr>
          <w:rFonts w:ascii="Times New Roman" w:hAnsi="Times New Roman" w:cs="Times New Roman"/>
          <w:sz w:val="24"/>
          <w:szCs w:val="24"/>
        </w:rPr>
        <w:t xml:space="preserve">. The ITS1 region was selected over the ITS2 region because the pair of primers for the amplification of ITS1 have been found to be more selective, producing fewer non-fungal sequences, in addition to producing a higher number of sequences, than the primer pair for the amplification of the ITS2 region </w:t>
      </w:r>
      <w:r>
        <w:rPr>
          <w:rFonts w:ascii="Times New Roman" w:hAnsi="Times New Roman" w:cs="Times New Roman"/>
          <w:noProof/>
          <w:sz w:val="24"/>
          <w:szCs w:val="24"/>
        </w:rPr>
        <w:t>(3)</w:t>
      </w:r>
      <w:r w:rsidRPr="00922A89">
        <w:rPr>
          <w:rFonts w:ascii="Times New Roman" w:hAnsi="Times New Roman" w:cs="Times New Roman"/>
          <w:sz w:val="24"/>
          <w:szCs w:val="24"/>
        </w:rPr>
        <w:t xml:space="preserve">. Fungal PCR and sequencing </w:t>
      </w:r>
      <w:r>
        <w:rPr>
          <w:rFonts w:ascii="Times New Roman" w:hAnsi="Times New Roman" w:cs="Times New Roman"/>
          <w:sz w:val="24"/>
          <w:szCs w:val="24"/>
        </w:rPr>
        <w:t>were</w:t>
      </w:r>
      <w:r w:rsidRPr="00922A89">
        <w:rPr>
          <w:rFonts w:ascii="Times New Roman" w:hAnsi="Times New Roman" w:cs="Times New Roman"/>
          <w:sz w:val="24"/>
          <w:szCs w:val="24"/>
        </w:rPr>
        <w:t xml:space="preserve"> performed by RTL Genomics, a division of Research and Testing Laboratories. </w:t>
      </w:r>
    </w:p>
    <w:p w14:paraId="2AD0E08D" w14:textId="77777777" w:rsidR="009255B5" w:rsidRDefault="009255B5" w:rsidP="007D2770">
      <w:pPr>
        <w:spacing w:line="480" w:lineRule="auto"/>
        <w:contextualSpacing/>
        <w:jc w:val="both"/>
        <w:rPr>
          <w:rFonts w:ascii="Times New Roman" w:hAnsi="Times New Roman" w:cs="Times New Roman"/>
          <w:sz w:val="24"/>
          <w:szCs w:val="24"/>
        </w:rPr>
      </w:pPr>
      <w:r>
        <w:rPr>
          <w:rFonts w:ascii="Times New Roman" w:hAnsi="Times New Roman" w:cs="Times New Roman"/>
          <w:b/>
          <w:bCs/>
          <w:iCs/>
          <w:sz w:val="28"/>
          <w:szCs w:val="28"/>
        </w:rPr>
        <w:tab/>
      </w:r>
      <w:r w:rsidRPr="00922A89">
        <w:rPr>
          <w:rFonts w:ascii="Times New Roman" w:hAnsi="Times New Roman" w:cs="Times New Roman"/>
          <w:sz w:val="24"/>
          <w:szCs w:val="24"/>
        </w:rPr>
        <w:t xml:space="preserve">Primer sequences were removed using </w:t>
      </w:r>
      <w:r>
        <w:rPr>
          <w:rFonts w:ascii="Times New Roman" w:eastAsia="Courier" w:hAnsi="Times New Roman" w:cs="Times New Roman"/>
          <w:sz w:val="24"/>
          <w:szCs w:val="24"/>
        </w:rPr>
        <w:t>the methods described in the article.</w:t>
      </w:r>
      <w:r w:rsidRPr="00922A89">
        <w:rPr>
          <w:rFonts w:ascii="Times New Roman" w:hAnsi="Times New Roman" w:cs="Times New Roman"/>
          <w:sz w:val="24"/>
          <w:szCs w:val="24"/>
        </w:rPr>
        <w:t xml:space="preserve"> For fungi, reads with less than 50 base pairs were removed to get rid of suspicious low-length reads. Reads with a quality score less than or equal to two, with a maximum expected error rate for the forward or reverse read greater than two, or with a forward or reverse read that contained an ambiguous base were removed. </w:t>
      </w:r>
      <w:r>
        <w:rPr>
          <w:rFonts w:ascii="Times New Roman" w:hAnsi="Times New Roman" w:cs="Times New Roman"/>
          <w:sz w:val="24"/>
          <w:szCs w:val="24"/>
        </w:rPr>
        <w:t>The</w:t>
      </w:r>
      <w:r w:rsidRPr="00922A89">
        <w:rPr>
          <w:rFonts w:ascii="Times New Roman" w:hAnsi="Times New Roman" w:cs="Times New Roman"/>
          <w:sz w:val="24"/>
          <w:szCs w:val="24"/>
        </w:rPr>
        <w:t xml:space="preserve"> UNITE ITS database was used as the reference database </w:t>
      </w:r>
      <w:r>
        <w:rPr>
          <w:rFonts w:ascii="Times New Roman" w:hAnsi="Times New Roman" w:cs="Times New Roman"/>
          <w:noProof/>
          <w:sz w:val="24"/>
          <w:szCs w:val="24"/>
        </w:rPr>
        <w:t>(4)</w:t>
      </w:r>
      <w:r w:rsidRPr="00922A89">
        <w:rPr>
          <w:rFonts w:ascii="Times New Roman" w:hAnsi="Times New Roman" w:cs="Times New Roman"/>
          <w:sz w:val="24"/>
          <w:szCs w:val="24"/>
        </w:rPr>
        <w:t xml:space="preserve">. Sequences were aligned using the </w:t>
      </w:r>
      <w:proofErr w:type="spellStart"/>
      <w:r w:rsidRPr="00922A89">
        <w:rPr>
          <w:rFonts w:ascii="Times New Roman" w:eastAsia="Courier" w:hAnsi="Times New Roman" w:cs="Times New Roman"/>
          <w:sz w:val="24"/>
          <w:szCs w:val="24"/>
        </w:rPr>
        <w:t>AlignSeqs</w:t>
      </w:r>
      <w:proofErr w:type="spellEnd"/>
      <w:r w:rsidRPr="00922A89">
        <w:rPr>
          <w:rFonts w:ascii="Times New Roman" w:hAnsi="Times New Roman" w:cs="Times New Roman"/>
          <w:sz w:val="24"/>
          <w:szCs w:val="24"/>
        </w:rPr>
        <w:t xml:space="preserve"> function in the DECIPHER package v2.12.0 </w:t>
      </w:r>
      <w:r>
        <w:rPr>
          <w:rFonts w:ascii="Times New Roman" w:hAnsi="Times New Roman" w:cs="Times New Roman"/>
          <w:noProof/>
          <w:sz w:val="24"/>
          <w:szCs w:val="24"/>
        </w:rPr>
        <w:t>(5)</w:t>
      </w:r>
      <w:r w:rsidRPr="00922A89">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922A89">
        <w:rPr>
          <w:rFonts w:ascii="Times New Roman" w:hAnsi="Times New Roman" w:cs="Times New Roman"/>
          <w:sz w:val="24"/>
          <w:szCs w:val="24"/>
        </w:rPr>
        <w:t xml:space="preserve">de novo tree was created </w:t>
      </w:r>
      <w:r>
        <w:rPr>
          <w:rFonts w:ascii="Times New Roman" w:hAnsi="Times New Roman" w:cs="Times New Roman"/>
          <w:sz w:val="24"/>
          <w:szCs w:val="24"/>
        </w:rPr>
        <w:t xml:space="preserve">for fungi </w:t>
      </w:r>
      <w:r w:rsidRPr="00922A89">
        <w:rPr>
          <w:rFonts w:ascii="Times New Roman" w:hAnsi="Times New Roman" w:cs="Times New Roman"/>
          <w:sz w:val="24"/>
          <w:szCs w:val="24"/>
        </w:rPr>
        <w:t xml:space="preserve">using agglomerative clustering of the sequence distance matrix using USEARCH </w:t>
      </w:r>
      <w:r>
        <w:rPr>
          <w:rFonts w:ascii="Times New Roman" w:hAnsi="Times New Roman" w:cs="Times New Roman"/>
          <w:noProof/>
          <w:sz w:val="24"/>
          <w:szCs w:val="24"/>
        </w:rPr>
        <w:t>(6)</w:t>
      </w:r>
      <w:r w:rsidRPr="00922A89">
        <w:rPr>
          <w:rFonts w:ascii="Times New Roman" w:hAnsi="Times New Roman" w:cs="Times New Roman"/>
          <w:sz w:val="24"/>
          <w:szCs w:val="24"/>
        </w:rPr>
        <w:t>.</w:t>
      </w:r>
      <w:r>
        <w:rPr>
          <w:rFonts w:ascii="Times New Roman" w:hAnsi="Times New Roman" w:cs="Times New Roman"/>
          <w:sz w:val="24"/>
          <w:szCs w:val="24"/>
        </w:rPr>
        <w:t xml:space="preserve"> </w:t>
      </w:r>
    </w:p>
    <w:p w14:paraId="2A4342C9" w14:textId="77777777" w:rsidR="009255B5" w:rsidRPr="007D2770" w:rsidRDefault="009255B5" w:rsidP="007D2770">
      <w:pPr>
        <w:spacing w:line="480" w:lineRule="auto"/>
        <w:ind w:firstLine="720"/>
        <w:contextualSpacing/>
        <w:jc w:val="both"/>
        <w:rPr>
          <w:rFonts w:ascii="Times New Roman" w:hAnsi="Times New Roman" w:cs="Times New Roman"/>
          <w:sz w:val="24"/>
          <w:szCs w:val="24"/>
        </w:rPr>
      </w:pPr>
      <w:r w:rsidRPr="00922A89">
        <w:rPr>
          <w:rFonts w:ascii="Times New Roman" w:hAnsi="Times New Roman" w:cs="Times New Roman"/>
          <w:sz w:val="24"/>
          <w:szCs w:val="24"/>
        </w:rPr>
        <w:lastRenderedPageBreak/>
        <w:t xml:space="preserve">For fungi, saliva samples were not included if they did not amplify or had &lt;5000 reads after sequencing. Due to low fungal abundance in sputum, sputum samples were included if they amplified and had &gt;400 reads. </w:t>
      </w:r>
      <w:r>
        <w:rPr>
          <w:rFonts w:ascii="Times New Roman" w:hAnsi="Times New Roman" w:cs="Times New Roman"/>
          <w:sz w:val="24"/>
          <w:szCs w:val="24"/>
        </w:rPr>
        <w:t>These samples were treated as pilot samples. Statistical methods are discussed in detail in the full article.</w:t>
      </w:r>
    </w:p>
    <w:p w14:paraId="7165F062" w14:textId="77777777" w:rsidR="009255B5" w:rsidRPr="00A12D44" w:rsidRDefault="009255B5" w:rsidP="00E5475D">
      <w:pPr>
        <w:spacing w:line="480" w:lineRule="auto"/>
        <w:contextualSpacing/>
        <w:jc w:val="both"/>
        <w:rPr>
          <w:rFonts w:ascii="Times New Roman" w:hAnsi="Times New Roman" w:cs="Times New Roman"/>
          <w:b/>
          <w:bCs/>
          <w:iCs/>
          <w:sz w:val="28"/>
          <w:szCs w:val="28"/>
        </w:rPr>
      </w:pPr>
      <w:r>
        <w:rPr>
          <w:rFonts w:ascii="Times New Roman" w:hAnsi="Times New Roman" w:cs="Times New Roman"/>
          <w:b/>
          <w:bCs/>
          <w:iCs/>
          <w:sz w:val="28"/>
          <w:szCs w:val="28"/>
        </w:rPr>
        <w:t>Results</w:t>
      </w:r>
    </w:p>
    <w:p w14:paraId="6EC3D7DC" w14:textId="77777777" w:rsidR="009255B5" w:rsidRDefault="009255B5" w:rsidP="00E5475D">
      <w:pPr>
        <w:spacing w:line="480" w:lineRule="auto"/>
        <w:ind w:firstLine="720"/>
        <w:contextualSpacing/>
        <w:jc w:val="both"/>
        <w:rPr>
          <w:rFonts w:ascii="Times New Roman" w:hAnsi="Times New Roman" w:cs="Times New Roman"/>
          <w:b/>
          <w:i/>
          <w:sz w:val="24"/>
          <w:szCs w:val="24"/>
        </w:rPr>
      </w:pPr>
      <w:r w:rsidRPr="00922A89">
        <w:rPr>
          <w:rFonts w:ascii="Times New Roman" w:hAnsi="Times New Roman" w:cs="Times New Roman"/>
          <w:sz w:val="24"/>
          <w:szCs w:val="24"/>
        </w:rPr>
        <w:t xml:space="preserve">Sputum samples from 10 of the participants were included in the fungal analyses. For sputum, 5 participants were in each TRAP exposure group. Of the 10 samples, 60% of participants were female, 50% were asthmatic, and 90% had mothers with education beyond high school. Saliva samples from 8 of the participants were included in the fungal results. For saliva, 4 participants were in each TRAP exposure group. Of the 8 saliva samples, 50% of the participants were female, 37.5% were asthmatic, and 100% had mothers with education beyond high school.  </w:t>
      </w:r>
    </w:p>
    <w:p w14:paraId="6A3D014A" w14:textId="77777777" w:rsidR="009255B5" w:rsidRPr="007D2770" w:rsidRDefault="009255B5" w:rsidP="007D2770">
      <w:pPr>
        <w:spacing w:line="480" w:lineRule="auto"/>
        <w:ind w:firstLine="360"/>
        <w:jc w:val="both"/>
        <w:rPr>
          <w:rFonts w:ascii="Times New Roman" w:hAnsi="Times New Roman" w:cs="Times New Roman"/>
          <w:color w:val="000000" w:themeColor="text1"/>
          <w:sz w:val="24"/>
          <w:szCs w:val="24"/>
        </w:rPr>
      </w:pPr>
      <w:r w:rsidRPr="00922A89">
        <w:rPr>
          <w:rFonts w:ascii="Times New Roman" w:hAnsi="Times New Roman" w:cs="Times New Roman"/>
          <w:color w:val="000000" w:themeColor="text1"/>
          <w:sz w:val="24"/>
          <w:szCs w:val="24"/>
        </w:rPr>
        <w:t xml:space="preserve">We compared the sputum </w:t>
      </w:r>
      <w:proofErr w:type="spellStart"/>
      <w:r w:rsidRPr="00922A89">
        <w:rPr>
          <w:rFonts w:ascii="Times New Roman" w:hAnsi="Times New Roman" w:cs="Times New Roman"/>
          <w:color w:val="000000" w:themeColor="text1"/>
          <w:sz w:val="24"/>
          <w:szCs w:val="24"/>
        </w:rPr>
        <w:t>mycobiome</w:t>
      </w:r>
      <w:proofErr w:type="spellEnd"/>
      <w:r w:rsidRPr="00922A89">
        <w:rPr>
          <w:rFonts w:ascii="Times New Roman" w:hAnsi="Times New Roman" w:cs="Times New Roman"/>
          <w:color w:val="000000" w:themeColor="text1"/>
          <w:sz w:val="24"/>
          <w:szCs w:val="24"/>
        </w:rPr>
        <w:t xml:space="preserve"> of high and low TRAP-exposed participants, as well as by gender and asthma status. The median ECAT for </w:t>
      </w:r>
      <w:r>
        <w:rPr>
          <w:rFonts w:ascii="Times New Roman" w:hAnsi="Times New Roman" w:cs="Times New Roman"/>
          <w:color w:val="000000" w:themeColor="text1"/>
          <w:sz w:val="24"/>
          <w:szCs w:val="24"/>
        </w:rPr>
        <w:t xml:space="preserve">the </w:t>
      </w:r>
      <w:r w:rsidRPr="00922A89">
        <w:rPr>
          <w:rFonts w:ascii="Times New Roman" w:hAnsi="Times New Roman" w:cs="Times New Roman"/>
          <w:color w:val="000000" w:themeColor="text1"/>
          <w:sz w:val="24"/>
          <w:szCs w:val="24"/>
        </w:rPr>
        <w:t>high exposure group was 0.40 mg/m</w:t>
      </w:r>
      <w:r w:rsidRPr="00922A89">
        <w:rPr>
          <w:rFonts w:ascii="Times New Roman" w:hAnsi="Times New Roman" w:cs="Times New Roman"/>
          <w:color w:val="000000" w:themeColor="text1"/>
          <w:sz w:val="24"/>
          <w:szCs w:val="24"/>
          <w:vertAlign w:val="superscript"/>
        </w:rPr>
        <w:t>3</w:t>
      </w:r>
      <w:r w:rsidRPr="00922A89">
        <w:rPr>
          <w:rFonts w:ascii="Times New Roman" w:hAnsi="Times New Roman" w:cs="Times New Roman"/>
          <w:color w:val="000000" w:themeColor="text1"/>
          <w:sz w:val="24"/>
          <w:szCs w:val="24"/>
        </w:rPr>
        <w:t xml:space="preserve"> and the median for the low exposure group was 0.29 mg/m</w:t>
      </w:r>
      <w:r w:rsidRPr="00922A89">
        <w:rPr>
          <w:rFonts w:ascii="Times New Roman" w:hAnsi="Times New Roman" w:cs="Times New Roman"/>
          <w:color w:val="000000" w:themeColor="text1"/>
          <w:sz w:val="24"/>
          <w:szCs w:val="24"/>
          <w:vertAlign w:val="superscript"/>
        </w:rPr>
        <w:t>3</w:t>
      </w:r>
      <w:r w:rsidRPr="00922A89">
        <w:rPr>
          <w:rFonts w:ascii="Times New Roman" w:hAnsi="Times New Roman" w:cs="Times New Roman"/>
          <w:color w:val="000000" w:themeColor="text1"/>
          <w:sz w:val="24"/>
          <w:szCs w:val="24"/>
        </w:rPr>
        <w:t xml:space="preserve">. There was </w:t>
      </w:r>
      <w:r>
        <w:rPr>
          <w:rFonts w:ascii="Times New Roman" w:hAnsi="Times New Roman" w:cs="Times New Roman"/>
          <w:color w:val="000000" w:themeColor="text1"/>
          <w:sz w:val="24"/>
          <w:szCs w:val="24"/>
        </w:rPr>
        <w:t xml:space="preserve">an </w:t>
      </w:r>
      <w:r w:rsidRPr="00922A89">
        <w:rPr>
          <w:rFonts w:ascii="Times New Roman" w:hAnsi="Times New Roman" w:cs="Times New Roman"/>
          <w:color w:val="000000" w:themeColor="text1"/>
          <w:sz w:val="24"/>
          <w:szCs w:val="24"/>
        </w:rPr>
        <w:t xml:space="preserve">overlap between confidence intervals for all three alpha diversity measures when comparing TRAP exposure groups, genders, and asthma status groups (Suppl. Table 1).  There also were no significant differences in beta diversity (Bray-Curtis) between asthma status groups (p=0.35), between TRAP exposure groups (p=0.94), nor between genders (p=0.23), using the Adonis test. The </w:t>
      </w:r>
      <w:proofErr w:type="spellStart"/>
      <w:proofErr w:type="gramStart"/>
      <w:r w:rsidRPr="00922A89">
        <w:rPr>
          <w:rFonts w:ascii="Times New Roman" w:hAnsi="Times New Roman" w:cs="Times New Roman"/>
          <w:color w:val="000000" w:themeColor="text1"/>
          <w:sz w:val="24"/>
          <w:szCs w:val="24"/>
        </w:rPr>
        <w:t>xdc.sevsample</w:t>
      </w:r>
      <w:proofErr w:type="spellEnd"/>
      <w:proofErr w:type="gramEnd"/>
      <w:r w:rsidRPr="00922A89">
        <w:rPr>
          <w:rFonts w:ascii="Times New Roman" w:hAnsi="Times New Roman" w:cs="Times New Roman"/>
          <w:color w:val="000000" w:themeColor="text1"/>
          <w:sz w:val="24"/>
          <w:szCs w:val="24"/>
        </w:rPr>
        <w:t xml:space="preserve"> test showed a difference in the distribution of major fungal classes between asthma status groups (p=0.009), and between gender (p&lt;0.001), but not between TRAP exposure groups (p=1.0). It should be noted, however, that due to overall low fungal abundance in sputum, we had a very small sample size.</w:t>
      </w:r>
    </w:p>
    <w:p w14:paraId="410374DC" w14:textId="77777777" w:rsidR="009255B5" w:rsidRPr="004D7B2A" w:rsidRDefault="009255B5" w:rsidP="004D7B2A">
      <w:pPr>
        <w:spacing w:line="480" w:lineRule="auto"/>
        <w:contextualSpacing/>
        <w:jc w:val="both"/>
        <w:rPr>
          <w:rFonts w:ascii="Times New Roman" w:hAnsi="Times New Roman" w:cs="Times New Roman"/>
          <w:b/>
          <w:bCs/>
          <w:iCs/>
          <w:sz w:val="28"/>
          <w:szCs w:val="28"/>
        </w:rPr>
      </w:pPr>
      <w:bookmarkStart w:id="1" w:name="_Hlk34860796"/>
      <w:r w:rsidRPr="004D7B2A">
        <w:rPr>
          <w:rFonts w:ascii="Times New Roman" w:hAnsi="Times New Roman" w:cs="Times New Roman"/>
          <w:b/>
          <w:bCs/>
          <w:iCs/>
          <w:sz w:val="28"/>
          <w:szCs w:val="28"/>
        </w:rPr>
        <w:t>References</w:t>
      </w:r>
      <w:bookmarkEnd w:id="1"/>
    </w:p>
    <w:p w14:paraId="3CA6E235" w14:textId="77777777" w:rsidR="009255B5" w:rsidRPr="004D7B2A" w:rsidRDefault="009255B5" w:rsidP="004D7B2A">
      <w:pPr>
        <w:pStyle w:val="EndNoteBibliography"/>
        <w:spacing w:after="0"/>
      </w:pPr>
      <w:r w:rsidRPr="004D7B2A">
        <w:lastRenderedPageBreak/>
        <w:t>1.</w:t>
      </w:r>
      <w:r w:rsidRPr="004D7B2A">
        <w:tab/>
        <w:t>Haugland R, Vesper S, inventorsMethod of identifying and quantifying specific fungi and bacteria. US Patent US6387652B12002.</w:t>
      </w:r>
    </w:p>
    <w:p w14:paraId="6940CD43" w14:textId="77777777" w:rsidR="009255B5" w:rsidRPr="004D7B2A" w:rsidRDefault="009255B5" w:rsidP="004D7B2A">
      <w:pPr>
        <w:pStyle w:val="EndNoteBibliography"/>
        <w:spacing w:after="0"/>
      </w:pPr>
      <w:r w:rsidRPr="004D7B2A">
        <w:t>2.</w:t>
      </w:r>
      <w:r w:rsidRPr="004D7B2A">
        <w:tab/>
        <w:t>Liu J, Yu Y, Cai Z, Bartlam M, Wang Y. Comparison of ITS and 18S rDNA for estimating fungal diversity using PCR–DGGE. World Journal of Microbiology and Biotechnology. 2015;31(9):1387-95.</w:t>
      </w:r>
    </w:p>
    <w:p w14:paraId="760F8483" w14:textId="77777777" w:rsidR="009255B5" w:rsidRPr="004D7B2A" w:rsidRDefault="009255B5" w:rsidP="004D7B2A">
      <w:pPr>
        <w:pStyle w:val="EndNoteBibliography"/>
        <w:spacing w:after="0"/>
      </w:pPr>
      <w:r w:rsidRPr="004D7B2A">
        <w:t>3.</w:t>
      </w:r>
      <w:r w:rsidRPr="004D7B2A">
        <w:tab/>
        <w:t>Mello A, Napoli C, Murat C, Morin E, Marceddu G, Bonfante P. ITS-1 versus ITS-2 pyrosequencing: a comparison of fungal populations in truffle grounds. Mycologia. 2011;103(6):1184-93.</w:t>
      </w:r>
    </w:p>
    <w:p w14:paraId="4C5B9B7C" w14:textId="77777777" w:rsidR="009255B5" w:rsidRPr="004D7B2A" w:rsidRDefault="009255B5" w:rsidP="004D7B2A">
      <w:pPr>
        <w:pStyle w:val="EndNoteBibliography"/>
        <w:spacing w:after="0"/>
      </w:pPr>
      <w:r w:rsidRPr="004D7B2A">
        <w:t>4.</w:t>
      </w:r>
      <w:r w:rsidRPr="004D7B2A">
        <w:tab/>
        <w:t>Nilsson RH, Larsson K-H, Taylor AFS, Bengtsson-Palme J, Jeppesen TS, Schigel D, et al. The UNITE database for molecular identification of fungi: handling dark taxa and parallel taxonomic classifications. Nucleic acids research. 2018;47(D1):D259-D64.</w:t>
      </w:r>
    </w:p>
    <w:p w14:paraId="7168D4A9" w14:textId="77777777" w:rsidR="009255B5" w:rsidRPr="004D7B2A" w:rsidRDefault="009255B5" w:rsidP="004D7B2A">
      <w:pPr>
        <w:pStyle w:val="EndNoteBibliography"/>
        <w:spacing w:after="0"/>
      </w:pPr>
      <w:r w:rsidRPr="004D7B2A">
        <w:t>5.</w:t>
      </w:r>
      <w:r w:rsidRPr="004D7B2A">
        <w:tab/>
        <w:t>Wright ES. Using DECIPHER v2. 0 to analyze big biological sequence data in R. R Journal. 2016;8(1):1-8.</w:t>
      </w:r>
    </w:p>
    <w:p w14:paraId="5DB357D2" w14:textId="77777777" w:rsidR="009255B5" w:rsidRPr="004D7B2A" w:rsidRDefault="009255B5" w:rsidP="004D7B2A">
      <w:pPr>
        <w:pStyle w:val="EndNoteBibliography"/>
      </w:pPr>
      <w:r w:rsidRPr="004D7B2A">
        <w:t>6.</w:t>
      </w:r>
      <w:r w:rsidRPr="004D7B2A">
        <w:tab/>
        <w:t>Edgar RC. Search and clustering orders of magnitude faster than BLAST. Bioinformatics. 2010;26(19):2460-1.</w:t>
      </w:r>
    </w:p>
    <w:p w14:paraId="443CFA04" w14:textId="77777777" w:rsidR="009255B5" w:rsidRPr="00777CE3" w:rsidRDefault="009255B5" w:rsidP="00563F10">
      <w:pPr>
        <w:jc w:val="both"/>
        <w:rPr>
          <w:rFonts w:ascii="Times New Roman" w:hAnsi="Times New Roman" w:cs="Times New Roman"/>
          <w:sz w:val="24"/>
          <w:szCs w:val="24"/>
        </w:rPr>
      </w:pPr>
    </w:p>
    <w:p w14:paraId="7250466A" w14:textId="77777777" w:rsidR="00BD590C" w:rsidRDefault="00BD590C"/>
    <w:sectPr w:rsidR="00BD5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23A"/>
    <w:multiLevelType w:val="hybridMultilevel"/>
    <w:tmpl w:val="0908FBB6"/>
    <w:lvl w:ilvl="0" w:tplc="581219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A52EE1"/>
    <w:multiLevelType w:val="hybridMultilevel"/>
    <w:tmpl w:val="F55C7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6C794A"/>
    <w:multiLevelType w:val="hybridMultilevel"/>
    <w:tmpl w:val="D5C6B008"/>
    <w:lvl w:ilvl="0" w:tplc="9F5E87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E13A1B"/>
    <w:multiLevelType w:val="multilevel"/>
    <w:tmpl w:val="A0D8129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zMbSwNDMwM7U0NjJR0lEKTi0uzszPAykwrgUAR1au4CwAAAA="/>
    <w:docVar w:name="EN.InstantFormat" w:val="&lt;ENInstantFormat&gt;&lt;Enabled&gt;1&lt;/Enabled&gt;&lt;ScanUnformatted&gt;1&lt;/ScanUnformatted&gt;&lt;ScanChanges&gt;1&lt;/ScanChanges&gt;&lt;Suspended&gt;1&lt;/Suspended&gt;&lt;/ENInstantFormat&gt;"/>
  </w:docVars>
  <w:rsids>
    <w:rsidRoot w:val="009255B5"/>
    <w:rsid w:val="00254C15"/>
    <w:rsid w:val="002D2F18"/>
    <w:rsid w:val="00610E48"/>
    <w:rsid w:val="0062232B"/>
    <w:rsid w:val="00642C0A"/>
    <w:rsid w:val="008E03BC"/>
    <w:rsid w:val="009255B5"/>
    <w:rsid w:val="00A70A92"/>
    <w:rsid w:val="00BD590C"/>
    <w:rsid w:val="00EA1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6BE9"/>
  <w15:chartTrackingRefBased/>
  <w15:docId w15:val="{A69D78A8-B5F5-4E46-8ECB-3CFEB995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5B5"/>
    <w:pPr>
      <w:ind w:left="720"/>
      <w:contextualSpacing/>
    </w:pPr>
  </w:style>
  <w:style w:type="paragraph" w:styleId="BalloonText">
    <w:name w:val="Balloon Text"/>
    <w:basedOn w:val="Normal"/>
    <w:link w:val="BalloonTextChar"/>
    <w:uiPriority w:val="99"/>
    <w:semiHidden/>
    <w:unhideWhenUsed/>
    <w:rsid w:val="00925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5B5"/>
    <w:rPr>
      <w:rFonts w:ascii="Segoe UI" w:hAnsi="Segoe UI" w:cs="Segoe UI"/>
      <w:sz w:val="18"/>
      <w:szCs w:val="18"/>
    </w:rPr>
  </w:style>
  <w:style w:type="character" w:styleId="CommentReference">
    <w:name w:val="annotation reference"/>
    <w:basedOn w:val="DefaultParagraphFont"/>
    <w:uiPriority w:val="99"/>
    <w:semiHidden/>
    <w:unhideWhenUsed/>
    <w:rsid w:val="009255B5"/>
    <w:rPr>
      <w:sz w:val="16"/>
      <w:szCs w:val="16"/>
    </w:rPr>
  </w:style>
  <w:style w:type="paragraph" w:styleId="CommentText">
    <w:name w:val="annotation text"/>
    <w:basedOn w:val="Normal"/>
    <w:link w:val="CommentTextChar"/>
    <w:uiPriority w:val="99"/>
    <w:semiHidden/>
    <w:unhideWhenUsed/>
    <w:rsid w:val="009255B5"/>
    <w:pPr>
      <w:spacing w:line="240" w:lineRule="auto"/>
    </w:pPr>
    <w:rPr>
      <w:sz w:val="20"/>
      <w:szCs w:val="20"/>
    </w:rPr>
  </w:style>
  <w:style w:type="character" w:customStyle="1" w:styleId="CommentTextChar">
    <w:name w:val="Comment Text Char"/>
    <w:basedOn w:val="DefaultParagraphFont"/>
    <w:link w:val="CommentText"/>
    <w:uiPriority w:val="99"/>
    <w:semiHidden/>
    <w:rsid w:val="009255B5"/>
    <w:rPr>
      <w:sz w:val="20"/>
      <w:szCs w:val="20"/>
    </w:rPr>
  </w:style>
  <w:style w:type="paragraph" w:styleId="CommentSubject">
    <w:name w:val="annotation subject"/>
    <w:basedOn w:val="CommentText"/>
    <w:next w:val="CommentText"/>
    <w:link w:val="CommentSubjectChar"/>
    <w:uiPriority w:val="99"/>
    <w:semiHidden/>
    <w:unhideWhenUsed/>
    <w:rsid w:val="009255B5"/>
    <w:rPr>
      <w:b/>
      <w:bCs/>
    </w:rPr>
  </w:style>
  <w:style w:type="character" w:customStyle="1" w:styleId="CommentSubjectChar">
    <w:name w:val="Comment Subject Char"/>
    <w:basedOn w:val="CommentTextChar"/>
    <w:link w:val="CommentSubject"/>
    <w:uiPriority w:val="99"/>
    <w:semiHidden/>
    <w:rsid w:val="009255B5"/>
    <w:rPr>
      <w:b/>
      <w:bCs/>
      <w:sz w:val="20"/>
      <w:szCs w:val="20"/>
    </w:rPr>
  </w:style>
  <w:style w:type="table" w:styleId="TableGrid">
    <w:name w:val="Table Grid"/>
    <w:basedOn w:val="TableNormal"/>
    <w:uiPriority w:val="39"/>
    <w:rsid w:val="00925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9255B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255B5"/>
    <w:rPr>
      <w:rFonts w:ascii="Calibri" w:hAnsi="Calibri" w:cs="Calibri"/>
      <w:noProof/>
    </w:rPr>
  </w:style>
  <w:style w:type="paragraph" w:customStyle="1" w:styleId="EndNoteBibliography">
    <w:name w:val="EndNote Bibliography"/>
    <w:basedOn w:val="Normal"/>
    <w:link w:val="EndNoteBibliographyChar"/>
    <w:rsid w:val="009255B5"/>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9255B5"/>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Uebel-Niemeier, Christine (uebelcm)</dc:creator>
  <cp:keywords/>
  <dc:description/>
  <cp:lastModifiedBy>Reponen, Tiina (reponeta)</cp:lastModifiedBy>
  <cp:revision>3</cp:revision>
  <dcterms:created xsi:type="dcterms:W3CDTF">2021-05-21T18:28:00Z</dcterms:created>
  <dcterms:modified xsi:type="dcterms:W3CDTF">2021-05-21T18:29:00Z</dcterms:modified>
</cp:coreProperties>
</file>