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6" w:rsidRPr="000E0B0B" w:rsidRDefault="00B05FF6" w:rsidP="00B05FF6">
      <w:pPr>
        <w:spacing w:beforeLines="50" w:before="12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0E0B0B">
        <w:rPr>
          <w:rFonts w:ascii="Times New Roman" w:eastAsia="SimSun" w:hAnsi="Times New Roman" w:cs="Times New Roman"/>
          <w:b/>
          <w:sz w:val="24"/>
          <w:szCs w:val="24"/>
        </w:rPr>
        <w:t>Table S</w:t>
      </w:r>
      <w:r w:rsidRPr="000E0B0B">
        <w:rPr>
          <w:rFonts w:ascii="Times New Roman" w:eastAsia="SimSun" w:hAnsi="Times New Roman" w:cs="Times New Roman"/>
          <w:b/>
          <w:sz w:val="24"/>
          <w:szCs w:val="24"/>
        </w:rPr>
        <w:fldChar w:fldCharType="begin"/>
      </w:r>
      <w:r w:rsidRPr="000E0B0B">
        <w:rPr>
          <w:rFonts w:ascii="Times New Roman" w:eastAsia="SimSun" w:hAnsi="Times New Roman" w:cs="Times New Roman"/>
          <w:b/>
          <w:sz w:val="24"/>
          <w:szCs w:val="24"/>
        </w:rPr>
        <w:instrText xml:space="preserve"> SEQ Table_S \* ARABIC </w:instrText>
      </w:r>
      <w:r w:rsidRPr="000E0B0B">
        <w:rPr>
          <w:rFonts w:ascii="Times New Roman" w:eastAsia="SimSun" w:hAnsi="Times New Roman" w:cs="Times New Roman"/>
          <w:b/>
          <w:sz w:val="24"/>
          <w:szCs w:val="24"/>
        </w:rPr>
        <w:fldChar w:fldCharType="separate"/>
      </w:r>
      <w:r w:rsidRPr="000E0B0B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Pr="000E0B0B">
        <w:rPr>
          <w:rFonts w:ascii="Times New Roman" w:eastAsia="SimSun" w:hAnsi="Times New Roman" w:cs="Times New Roman"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4623E1">
        <w:rPr>
          <w:rFonts w:ascii="Times New Roman" w:eastAsia="SimSun" w:hAnsi="Times New Roman" w:cs="Times New Roman"/>
          <w:b/>
          <w:sz w:val="24"/>
          <w:szCs w:val="24"/>
        </w:rPr>
        <w:t>Phylotype</w:t>
      </w:r>
      <w:proofErr w:type="spellEnd"/>
      <w:r w:rsidRPr="004623E1">
        <w:rPr>
          <w:rFonts w:ascii="Times New Roman" w:eastAsia="SimSun" w:hAnsi="Times New Roman" w:cs="Times New Roman"/>
          <w:b/>
          <w:sz w:val="24"/>
          <w:szCs w:val="24"/>
        </w:rPr>
        <w:t xml:space="preserve"> coverage and diversity estimation based on the fungal ITS </w:t>
      </w:r>
      <w:proofErr w:type="spellStart"/>
      <w:r w:rsidRPr="004623E1">
        <w:rPr>
          <w:rFonts w:ascii="Times New Roman" w:eastAsia="SimSun" w:hAnsi="Times New Roman" w:cs="Times New Roman"/>
          <w:b/>
          <w:sz w:val="24"/>
          <w:szCs w:val="24"/>
        </w:rPr>
        <w:t>rRNA</w:t>
      </w:r>
      <w:proofErr w:type="spellEnd"/>
      <w:r w:rsidRPr="004623E1">
        <w:rPr>
          <w:rFonts w:ascii="Times New Roman" w:eastAsia="SimSun" w:hAnsi="Times New Roman" w:cs="Times New Roman"/>
          <w:b/>
          <w:sz w:val="24"/>
          <w:szCs w:val="24"/>
        </w:rPr>
        <w:t xml:space="preserve"> gene libraries for the samples from the </w:t>
      </w:r>
      <w:proofErr w:type="spellStart"/>
      <w:r w:rsidRPr="004623E1">
        <w:rPr>
          <w:rFonts w:ascii="Times New Roman" w:eastAsia="SimSun" w:hAnsi="Times New Roman" w:cs="Times New Roman"/>
          <w:b/>
          <w:sz w:val="24"/>
          <w:szCs w:val="24"/>
        </w:rPr>
        <w:t>MiSeq</w:t>
      </w:r>
      <w:proofErr w:type="spellEnd"/>
      <w:r w:rsidRPr="004623E1">
        <w:rPr>
          <w:rFonts w:ascii="Times New Roman" w:eastAsia="SimSun" w:hAnsi="Times New Roman" w:cs="Times New Roman"/>
          <w:b/>
          <w:sz w:val="24"/>
          <w:szCs w:val="24"/>
        </w:rPr>
        <w:t xml:space="preserve"> sequencing analysis. Sample names include the site (G, sandy grassland; S, semi-fixed sandy land) and </w:t>
      </w:r>
      <w:r w:rsidRPr="004623E1">
        <w:rPr>
          <w:rFonts w:ascii="Times New Roman" w:hAnsi="Times New Roman" w:cs="Times New Roman"/>
          <w:b/>
          <w:bCs/>
          <w:kern w:val="0"/>
          <w:sz w:val="22"/>
        </w:rPr>
        <w:t xml:space="preserve">nitrogen addition treatment: control (CK), no N addition; N5, </w:t>
      </w:r>
      <w:r w:rsidRPr="004623E1">
        <w:rPr>
          <w:rFonts w:ascii="Times New Roman" w:hAnsi="Times New Roman" w:cs="Times New Roman"/>
          <w:b/>
          <w:kern w:val="0"/>
          <w:sz w:val="22"/>
        </w:rPr>
        <w:t xml:space="preserve">5 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g N m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  <w:vertAlign w:val="superscript"/>
        </w:rPr>
        <w:t>−2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yr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  <w:vertAlign w:val="superscript"/>
        </w:rPr>
        <w:t>−1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;</w:t>
      </w:r>
      <w:r w:rsidRPr="004623E1">
        <w:rPr>
          <w:rFonts w:ascii="Times New Roman" w:hAnsi="Times New Roman" w:cs="Times New Roman"/>
          <w:b/>
          <w:kern w:val="0"/>
          <w:sz w:val="22"/>
        </w:rPr>
        <w:t xml:space="preserve"> N10, 10 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g N m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  <w:vertAlign w:val="superscript"/>
        </w:rPr>
        <w:t>−2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yr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  <w:vertAlign w:val="superscript"/>
        </w:rPr>
        <w:t>−1</w:t>
      </w:r>
      <w:r w:rsidRPr="004623E1">
        <w:rPr>
          <w:rFonts w:ascii="Times New Roman" w:hAnsi="Times New Roman" w:cs="Times New Roman"/>
          <w:b/>
          <w:kern w:val="0"/>
          <w:sz w:val="22"/>
        </w:rPr>
        <w:t xml:space="preserve">; N15, 15 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g N m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  <w:vertAlign w:val="superscript"/>
        </w:rPr>
        <w:t>−2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yr</w:t>
      </w:r>
      <w:r w:rsidRPr="004623E1">
        <w:rPr>
          <w:rFonts w:ascii="Times New Roman" w:hAnsi="Times New Roman" w:cs="Times New Roman"/>
          <w:b/>
          <w:color w:val="000000" w:themeColor="text1"/>
          <w:kern w:val="0"/>
          <w:sz w:val="22"/>
          <w:vertAlign w:val="superscript"/>
        </w:rPr>
        <w:t>−1</w:t>
      </w:r>
      <w:r w:rsidRPr="004623E1">
        <w:rPr>
          <w:rFonts w:ascii="Times New Roman" w:hAnsi="Times New Roman" w:cs="Times New Roman"/>
          <w:b/>
          <w:bCs/>
          <w:kern w:val="0"/>
          <w:sz w:val="22"/>
        </w:rPr>
        <w:t>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30"/>
        <w:gridCol w:w="1245"/>
        <w:gridCol w:w="1317"/>
        <w:gridCol w:w="808"/>
        <w:gridCol w:w="986"/>
        <w:gridCol w:w="986"/>
        <w:gridCol w:w="1030"/>
        <w:gridCol w:w="1030"/>
        <w:gridCol w:w="1144"/>
      </w:tblGrid>
      <w:tr w:rsidR="00B05FF6" w:rsidRPr="004623E1" w:rsidTr="00C9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Samples</w:t>
            </w:r>
          </w:p>
        </w:tc>
        <w:tc>
          <w:tcPr>
            <w:tcW w:w="1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Valid sequences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Average length (</w:t>
            </w:r>
            <w:proofErr w:type="spellStart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bp</w:t>
            </w:r>
            <w:proofErr w:type="spellEnd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OTUs</w:t>
            </w: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ACE</w:t>
            </w: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Chao</w:t>
            </w: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Shannon</w:t>
            </w: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Simpson</w:t>
            </w: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Coverage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G1CK</w:t>
            </w:r>
          </w:p>
        </w:tc>
        <w:tc>
          <w:tcPr>
            <w:tcW w:w="18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61950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250.127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3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278.237</w:t>
            </w:r>
          </w:p>
        </w:tc>
        <w:tc>
          <w:tcPr>
            <w:tcW w:w="13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295.143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3.773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0.048</w:t>
            </w:r>
          </w:p>
        </w:tc>
        <w:tc>
          <w:tcPr>
            <w:tcW w:w="15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0.99972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G3CK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69669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247.635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258.275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256.214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3.530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0.074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0.99974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G5CK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67161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240.780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289.095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294.071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0.99967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G1N5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68303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247.160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210.425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214.143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0.99982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G3N5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67904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239.774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252.984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252.333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3.684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0.057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0.99976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G5N5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68954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245.224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253.304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252.250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3.275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0.096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0.99966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G1N10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62859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244.185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273.895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273.130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2.934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0.119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0.99970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G3N10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57367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239.727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292.088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298.769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3.522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0.99969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G5N10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68327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242.764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318.141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318.500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4.037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0.046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0.99986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G1N15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67792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240.302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300.548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301.000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3.547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0.99976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G3N15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68431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249.070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247.397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2.669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0.249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0.99983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G5N15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59879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240.757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251.083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258.111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3.518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0.99972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S1CK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56652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246.955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345.389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346.000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1.386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0.581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0.99871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S3CK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68076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244.892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373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384.353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384.040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4.081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0.039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0.99966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S5CK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73089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244.797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381.185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388.619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3.589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0.99957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S1N5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70478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246.198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323.009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325.750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3.691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0.088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0.99979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S3N5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72117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230.261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395.885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397.459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2.535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0.247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0.99931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S5N5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68935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246.985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322.729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319.913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3.658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0.99976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S1N10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60039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242.285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244.467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0.060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0.99978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S3N10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66654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238.641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228.237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229.857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3.562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0.073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0.99985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S5N10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72555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247.284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215.009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214.273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0.283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0.99988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S1N15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70873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230.935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186.157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184.111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0.182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0.99985</w:t>
            </w:r>
          </w:p>
        </w:tc>
      </w:tr>
      <w:tr w:rsidR="00B05FF6" w:rsidRPr="004623E1" w:rsidTr="00C9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S3N15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69637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248.059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173.659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172.143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0.226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0.99982</w:t>
            </w:r>
          </w:p>
        </w:tc>
      </w:tr>
      <w:tr w:rsidR="00B05FF6" w:rsidRPr="004623E1" w:rsidTr="00C919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S5N15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67072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236.890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184.951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185.000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2.975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0.132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05FF6" w:rsidRPr="004623E1" w:rsidRDefault="00B05FF6" w:rsidP="00C9191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4623E1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0.99989</w:t>
            </w:r>
          </w:p>
        </w:tc>
      </w:tr>
    </w:tbl>
    <w:p w:rsidR="0027485E" w:rsidRDefault="00B05FF6">
      <w:proofErr w:type="spellStart"/>
      <w:proofErr w:type="gramStart"/>
      <w:r w:rsidRPr="000E0B0B">
        <w:rPr>
          <w:rFonts w:ascii="Times New Roman" w:eastAsia="SimSu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0E0B0B">
        <w:rPr>
          <w:rFonts w:ascii="Times New Roman" w:eastAsia="SimSun" w:hAnsi="Times New Roman" w:cs="Times New Roman"/>
          <w:sz w:val="24"/>
          <w:szCs w:val="24"/>
        </w:rPr>
        <w:t xml:space="preserve"> The operational taxonomic units (OTUs) were defined using a 97% similarity threshold. Abbreviations: ACE and Chao, richness estimators; Shannon </w:t>
      </w:r>
      <w:r>
        <w:rPr>
          <w:rFonts w:ascii="Times New Roman" w:eastAsia="SimSun" w:hAnsi="Times New Roman" w:cs="Times New Roman"/>
          <w:sz w:val="24"/>
          <w:szCs w:val="24"/>
        </w:rPr>
        <w:t>and Simpson, diversity indices.</w:t>
      </w:r>
      <w:bookmarkStart w:id="0" w:name="_GoBack"/>
      <w:bookmarkEnd w:id="0"/>
    </w:p>
    <w:sectPr w:rsidR="0027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78"/>
    <w:rsid w:val="0027485E"/>
    <w:rsid w:val="00A37AE3"/>
    <w:rsid w:val="00B05FF6"/>
    <w:rsid w:val="00F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F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浅色底纹21"/>
    <w:basedOn w:val="TableNormal"/>
    <w:next w:val="LightShading"/>
    <w:uiPriority w:val="60"/>
    <w:rsid w:val="00B05FF6"/>
    <w:pPr>
      <w:spacing w:after="0" w:line="240" w:lineRule="auto"/>
    </w:pPr>
    <w:rPr>
      <w:rFonts w:eastAsiaTheme="minorEastAsia"/>
      <w:color w:val="000000"/>
      <w:kern w:val="2"/>
      <w:sz w:val="21"/>
      <w:szCs w:val="21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B05F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F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浅色底纹21"/>
    <w:basedOn w:val="TableNormal"/>
    <w:next w:val="LightShading"/>
    <w:uiPriority w:val="60"/>
    <w:rsid w:val="00B05FF6"/>
    <w:pPr>
      <w:spacing w:after="0" w:line="240" w:lineRule="auto"/>
    </w:pPr>
    <w:rPr>
      <w:rFonts w:eastAsiaTheme="minorEastAsia"/>
      <w:color w:val="000000"/>
      <w:kern w:val="2"/>
      <w:sz w:val="21"/>
      <w:szCs w:val="21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B05F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2021-05-12T01:16:00Z</dcterms:created>
  <dcterms:modified xsi:type="dcterms:W3CDTF">2021-05-12T01:16:00Z</dcterms:modified>
</cp:coreProperties>
</file>