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5810" w14:textId="215D5A68" w:rsidR="009B676B" w:rsidRPr="00E3760B" w:rsidRDefault="007E1FF5" w:rsidP="009B6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S6 </w:t>
      </w:r>
      <w:r w:rsidR="009B676B" w:rsidRPr="00E3760B">
        <w:rPr>
          <w:rFonts w:ascii="Arial" w:hAnsi="Arial" w:cs="Arial"/>
          <w:sz w:val="24"/>
          <w:szCs w:val="24"/>
        </w:rPr>
        <w:t xml:space="preserve">Table: </w:t>
      </w:r>
      <w:r w:rsidR="009B676B">
        <w:rPr>
          <w:rFonts w:ascii="Arial" w:hAnsi="Arial" w:cs="Arial"/>
          <w:sz w:val="24"/>
          <w:szCs w:val="24"/>
        </w:rPr>
        <w:t>Presence or absence of discriminative genera of the present study in other ocular studies.</w:t>
      </w:r>
    </w:p>
    <w:tbl>
      <w:tblPr>
        <w:tblStyle w:val="TableGrid"/>
        <w:tblW w:w="9843" w:type="dxa"/>
        <w:jc w:val="center"/>
        <w:tblLook w:val="04A0" w:firstRow="1" w:lastRow="0" w:firstColumn="1" w:lastColumn="0" w:noHBand="0" w:noVBand="1"/>
      </w:tblPr>
      <w:tblGrid>
        <w:gridCol w:w="3495"/>
        <w:gridCol w:w="2299"/>
        <w:gridCol w:w="2126"/>
        <w:gridCol w:w="1924"/>
      </w:tblGrid>
      <w:tr w:rsidR="009B676B" w:rsidRPr="00E17BB2" w14:paraId="61EFBA70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2DE93C00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 w:rsidRPr="00E17BB2">
              <w:rPr>
                <w:rFonts w:ascii="Arial" w:hAnsi="Arial" w:cs="Arial"/>
                <w:sz w:val="24"/>
                <w:szCs w:val="24"/>
              </w:rPr>
              <w:t>Genera</w:t>
            </w:r>
          </w:p>
        </w:tc>
        <w:tc>
          <w:tcPr>
            <w:tcW w:w="2299" w:type="dxa"/>
            <w:noWrap/>
            <w:hideMark/>
          </w:tcPr>
          <w:p w14:paraId="67AF8BD6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Ocular surface (Shivaji et al., 2019)</w:t>
            </w:r>
          </w:p>
        </w:tc>
        <w:tc>
          <w:tcPr>
            <w:tcW w:w="2126" w:type="dxa"/>
            <w:noWrap/>
            <w:hideMark/>
          </w:tcPr>
          <w:p w14:paraId="549487A7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Keratitis (Prashanthi et al., 2019)</w:t>
            </w:r>
          </w:p>
        </w:tc>
        <w:tc>
          <w:tcPr>
            <w:tcW w:w="1923" w:type="dxa"/>
            <w:noWrap/>
            <w:hideMark/>
          </w:tcPr>
          <w:p w14:paraId="6124F59F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Endophthalmitis (Gandhi et al., 2019)</w:t>
            </w:r>
          </w:p>
        </w:tc>
      </w:tr>
      <w:tr w:rsidR="009B676B" w:rsidRPr="00E17BB2" w14:paraId="0242FCCC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44D0472F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Setosphaeria</w:t>
            </w:r>
          </w:p>
        </w:tc>
        <w:tc>
          <w:tcPr>
            <w:tcW w:w="2299" w:type="dxa"/>
            <w:noWrap/>
            <w:hideMark/>
          </w:tcPr>
          <w:p w14:paraId="0547B084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126" w:type="dxa"/>
            <w:noWrap/>
            <w:hideMark/>
          </w:tcPr>
          <w:p w14:paraId="2A4B74A6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923" w:type="dxa"/>
            <w:noWrap/>
            <w:hideMark/>
          </w:tcPr>
          <w:p w14:paraId="2BC6BCBA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B676B" w:rsidRPr="00E17BB2" w14:paraId="3C400168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5EE8CDB0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Arthroderma</w:t>
            </w:r>
          </w:p>
        </w:tc>
        <w:tc>
          <w:tcPr>
            <w:tcW w:w="2299" w:type="dxa"/>
            <w:noWrap/>
            <w:hideMark/>
          </w:tcPr>
          <w:p w14:paraId="2427BFE5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23F96E56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3" w:type="dxa"/>
            <w:noWrap/>
            <w:hideMark/>
          </w:tcPr>
          <w:p w14:paraId="330AB149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15597177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7E82BBFC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Isaria</w:t>
            </w:r>
          </w:p>
        </w:tc>
        <w:tc>
          <w:tcPr>
            <w:tcW w:w="2299" w:type="dxa"/>
            <w:noWrap/>
            <w:hideMark/>
          </w:tcPr>
          <w:p w14:paraId="78729E24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6029C4FC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3" w:type="dxa"/>
            <w:noWrap/>
            <w:hideMark/>
          </w:tcPr>
          <w:p w14:paraId="3D76E5C4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290914ED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23628CDE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Paracoccidioides</w:t>
            </w:r>
          </w:p>
        </w:tc>
        <w:tc>
          <w:tcPr>
            <w:tcW w:w="2299" w:type="dxa"/>
            <w:noWrap/>
            <w:hideMark/>
          </w:tcPr>
          <w:p w14:paraId="16C2E1B0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4D58E9E3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3" w:type="dxa"/>
            <w:noWrap/>
            <w:hideMark/>
          </w:tcPr>
          <w:p w14:paraId="67119835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7A5BB191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5C74A29C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Sordaria</w:t>
            </w:r>
          </w:p>
        </w:tc>
        <w:tc>
          <w:tcPr>
            <w:tcW w:w="2299" w:type="dxa"/>
            <w:noWrap/>
            <w:hideMark/>
          </w:tcPr>
          <w:p w14:paraId="018F24B3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6B7F9B53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3" w:type="dxa"/>
            <w:noWrap/>
            <w:hideMark/>
          </w:tcPr>
          <w:p w14:paraId="1976B71E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0BCAF9DE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2AB8064E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Nectria</w:t>
            </w:r>
          </w:p>
        </w:tc>
        <w:tc>
          <w:tcPr>
            <w:tcW w:w="2299" w:type="dxa"/>
            <w:noWrap/>
            <w:hideMark/>
          </w:tcPr>
          <w:p w14:paraId="70D6B746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126" w:type="dxa"/>
            <w:noWrap/>
            <w:hideMark/>
          </w:tcPr>
          <w:p w14:paraId="7841E991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923" w:type="dxa"/>
            <w:noWrap/>
            <w:hideMark/>
          </w:tcPr>
          <w:p w14:paraId="13AA6AAC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25548E72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04E061AA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Saccharomyces</w:t>
            </w:r>
          </w:p>
        </w:tc>
        <w:tc>
          <w:tcPr>
            <w:tcW w:w="2299" w:type="dxa"/>
            <w:noWrap/>
            <w:hideMark/>
          </w:tcPr>
          <w:p w14:paraId="2F0F6A16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126" w:type="dxa"/>
            <w:noWrap/>
            <w:hideMark/>
          </w:tcPr>
          <w:p w14:paraId="7D6591B9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923" w:type="dxa"/>
            <w:noWrap/>
            <w:hideMark/>
          </w:tcPr>
          <w:p w14:paraId="3C946E34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52E7AB78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37E95ED1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Exserohilum</w:t>
            </w:r>
          </w:p>
        </w:tc>
        <w:tc>
          <w:tcPr>
            <w:tcW w:w="2299" w:type="dxa"/>
            <w:noWrap/>
            <w:hideMark/>
          </w:tcPr>
          <w:p w14:paraId="0EE742A2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58F3F7FF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3" w:type="dxa"/>
            <w:noWrap/>
            <w:hideMark/>
          </w:tcPr>
          <w:p w14:paraId="227DE5DA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B676B" w:rsidRPr="00E17BB2" w14:paraId="6A593D87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1CA9FB2E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Conisporium</w:t>
            </w:r>
          </w:p>
        </w:tc>
        <w:tc>
          <w:tcPr>
            <w:tcW w:w="2299" w:type="dxa"/>
            <w:noWrap/>
            <w:hideMark/>
          </w:tcPr>
          <w:p w14:paraId="4015CC5B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1F4DA530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3" w:type="dxa"/>
            <w:noWrap/>
            <w:hideMark/>
          </w:tcPr>
          <w:p w14:paraId="00C6EC05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352368B0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7C9A4958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Nematocida</w:t>
            </w:r>
          </w:p>
        </w:tc>
        <w:tc>
          <w:tcPr>
            <w:tcW w:w="2299" w:type="dxa"/>
            <w:noWrap/>
            <w:hideMark/>
          </w:tcPr>
          <w:p w14:paraId="45FCB073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0A0A12CF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3" w:type="dxa"/>
            <w:noWrap/>
            <w:hideMark/>
          </w:tcPr>
          <w:p w14:paraId="3F80394F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7C4547D4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2A73EB60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Enterocytozoon</w:t>
            </w:r>
          </w:p>
        </w:tc>
        <w:tc>
          <w:tcPr>
            <w:tcW w:w="2299" w:type="dxa"/>
            <w:noWrap/>
            <w:hideMark/>
          </w:tcPr>
          <w:p w14:paraId="3C1987A2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3A752FD0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3" w:type="dxa"/>
            <w:noWrap/>
            <w:hideMark/>
          </w:tcPr>
          <w:p w14:paraId="3CB80FDC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2332D8E7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08E19937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Microsporum</w:t>
            </w:r>
          </w:p>
        </w:tc>
        <w:tc>
          <w:tcPr>
            <w:tcW w:w="2299" w:type="dxa"/>
            <w:noWrap/>
            <w:hideMark/>
          </w:tcPr>
          <w:p w14:paraId="51BF7692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3934A398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3" w:type="dxa"/>
            <w:noWrap/>
            <w:hideMark/>
          </w:tcPr>
          <w:p w14:paraId="3374CEEB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0A3C92CD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70B7CCFD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Lachancea</w:t>
            </w:r>
          </w:p>
        </w:tc>
        <w:tc>
          <w:tcPr>
            <w:tcW w:w="2299" w:type="dxa"/>
            <w:noWrap/>
            <w:hideMark/>
          </w:tcPr>
          <w:p w14:paraId="563FF328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6E601913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3" w:type="dxa"/>
            <w:noWrap/>
            <w:hideMark/>
          </w:tcPr>
          <w:p w14:paraId="77AEDC0B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6E49B0D6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50D87F3D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Paraphaeosphaeria</w:t>
            </w:r>
          </w:p>
        </w:tc>
        <w:tc>
          <w:tcPr>
            <w:tcW w:w="2299" w:type="dxa"/>
            <w:noWrap/>
            <w:hideMark/>
          </w:tcPr>
          <w:p w14:paraId="1C962CEA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4845DA1C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3" w:type="dxa"/>
            <w:noWrap/>
            <w:hideMark/>
          </w:tcPr>
          <w:p w14:paraId="3ACD3A7D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359E9F6D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1C12035F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Trichoderma</w:t>
            </w:r>
          </w:p>
        </w:tc>
        <w:tc>
          <w:tcPr>
            <w:tcW w:w="2299" w:type="dxa"/>
            <w:noWrap/>
            <w:hideMark/>
          </w:tcPr>
          <w:p w14:paraId="7A181046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126" w:type="dxa"/>
            <w:noWrap/>
            <w:hideMark/>
          </w:tcPr>
          <w:p w14:paraId="0835598D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923" w:type="dxa"/>
            <w:noWrap/>
            <w:hideMark/>
          </w:tcPr>
          <w:p w14:paraId="01B91D1D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B676B" w:rsidRPr="00E17BB2" w14:paraId="45AE9F07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2156F3CA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Pseudogymnoascus</w:t>
            </w:r>
          </w:p>
        </w:tc>
        <w:tc>
          <w:tcPr>
            <w:tcW w:w="2299" w:type="dxa"/>
            <w:noWrap/>
            <w:hideMark/>
          </w:tcPr>
          <w:p w14:paraId="1FD35909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0A0B8125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3" w:type="dxa"/>
            <w:noWrap/>
            <w:hideMark/>
          </w:tcPr>
          <w:p w14:paraId="766617DE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76B" w:rsidRPr="00E17BB2" w14:paraId="013129DC" w14:textId="77777777" w:rsidTr="00124B2B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5717A14A" w14:textId="77777777" w:rsidR="009B676B" w:rsidRPr="00E17BB2" w:rsidRDefault="009B676B" w:rsidP="00124B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7BB2">
              <w:rPr>
                <w:rFonts w:ascii="Arial" w:hAnsi="Arial" w:cs="Arial"/>
                <w:i/>
                <w:sz w:val="24"/>
                <w:szCs w:val="24"/>
              </w:rPr>
              <w:t>Kluyveromyces</w:t>
            </w:r>
          </w:p>
        </w:tc>
        <w:tc>
          <w:tcPr>
            <w:tcW w:w="2299" w:type="dxa"/>
            <w:noWrap/>
            <w:hideMark/>
          </w:tcPr>
          <w:p w14:paraId="4093743E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126" w:type="dxa"/>
            <w:noWrap/>
            <w:hideMark/>
          </w:tcPr>
          <w:p w14:paraId="73DF38A0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923" w:type="dxa"/>
            <w:noWrap/>
            <w:hideMark/>
          </w:tcPr>
          <w:p w14:paraId="558C449D" w14:textId="77777777" w:rsidR="009B676B" w:rsidRPr="00E17BB2" w:rsidRDefault="009B676B" w:rsidP="0012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561F82D6" w14:textId="77777777" w:rsidR="009B676B" w:rsidRDefault="009B676B" w:rsidP="009B676B"/>
    <w:p w14:paraId="11EB2224" w14:textId="77777777" w:rsidR="005F546B" w:rsidRDefault="005F546B"/>
    <w:sectPr w:rsidR="005F546B" w:rsidSect="000F32BC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6B"/>
    <w:rsid w:val="004E5EB2"/>
    <w:rsid w:val="005F546B"/>
    <w:rsid w:val="007E1FF5"/>
    <w:rsid w:val="009B676B"/>
    <w:rsid w:val="00C64107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D51B"/>
  <w15:chartTrackingRefBased/>
  <w15:docId w15:val="{DF94CC80-78CE-4D82-9D43-13D917AF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off33</cp:lastModifiedBy>
  <cp:revision>2</cp:revision>
  <dcterms:created xsi:type="dcterms:W3CDTF">2020-11-10T03:14:00Z</dcterms:created>
  <dcterms:modified xsi:type="dcterms:W3CDTF">2020-11-11T11:22:00Z</dcterms:modified>
</cp:coreProperties>
</file>