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48124" w14:textId="538C07F6" w:rsidR="006B5D90" w:rsidRPr="00910DE0" w:rsidRDefault="006F24B3" w:rsidP="006F24B3">
      <w:pPr>
        <w:rPr>
          <w:b/>
          <w:bCs/>
          <w:iCs/>
        </w:rPr>
      </w:pPr>
      <w:r>
        <w:rPr>
          <w:b/>
          <w:bCs/>
          <w:iCs/>
        </w:rPr>
        <w:t xml:space="preserve">S1 </w:t>
      </w:r>
      <w:r w:rsidR="00DB7B1A">
        <w:rPr>
          <w:b/>
          <w:bCs/>
          <w:iCs/>
        </w:rPr>
        <w:t>File</w:t>
      </w:r>
      <w:r>
        <w:rPr>
          <w:b/>
          <w:bCs/>
          <w:iCs/>
        </w:rPr>
        <w:t xml:space="preserve">. </w:t>
      </w:r>
      <w:r w:rsidR="006B5D90" w:rsidRPr="00910DE0">
        <w:rPr>
          <w:b/>
          <w:bCs/>
          <w:iCs/>
        </w:rPr>
        <w:t>Additional detail on measures</w:t>
      </w:r>
      <w:r w:rsidR="006B5D90">
        <w:rPr>
          <w:b/>
          <w:bCs/>
          <w:iCs/>
        </w:rPr>
        <w:t xml:space="preserve"> used</w:t>
      </w:r>
      <w:r>
        <w:rPr>
          <w:b/>
          <w:bCs/>
          <w:iCs/>
        </w:rPr>
        <w:t>.</w:t>
      </w:r>
    </w:p>
    <w:p w14:paraId="750B0C41" w14:textId="77777777" w:rsidR="006B5D90" w:rsidRDefault="006B5D90" w:rsidP="00910DE0">
      <w:pPr>
        <w:spacing w:line="480" w:lineRule="auto"/>
        <w:rPr>
          <w:i/>
        </w:rPr>
      </w:pPr>
    </w:p>
    <w:p w14:paraId="43E21312" w14:textId="77777777" w:rsidR="006B5D90" w:rsidRPr="004A3474" w:rsidRDefault="006B5D90" w:rsidP="00910DE0">
      <w:pPr>
        <w:spacing w:line="480" w:lineRule="auto"/>
        <w:rPr>
          <w:i/>
        </w:rPr>
      </w:pPr>
      <w:r w:rsidRPr="004A3474">
        <w:rPr>
          <w:i/>
        </w:rPr>
        <w:t>Demographic variables</w:t>
      </w:r>
    </w:p>
    <w:p w14:paraId="53028450" w14:textId="77777777" w:rsidR="006B5D90" w:rsidRPr="004A3474" w:rsidRDefault="006B5D90" w:rsidP="00910DE0">
      <w:pPr>
        <w:spacing w:line="480" w:lineRule="auto"/>
      </w:pPr>
      <w:r w:rsidRPr="004A3474">
        <w:t>Demographic data included age, sex assigned at birth, gender identity, sexual orientation, race/ethnicity, education level (no schooling to professional degree), place of birth (U.S. or elsewhere), annual household income, financial difficulties, employment status, relationship status, health care coverage, and participation in U.S. Armed Services.</w:t>
      </w:r>
      <w:r w:rsidRPr="00910DE0">
        <w:rPr>
          <w:noProof/>
          <w:vertAlign w:val="superscript"/>
        </w:rPr>
        <w:t>1,2</w:t>
      </w:r>
      <w:r w:rsidRPr="004A3474">
        <w:t xml:space="preserve"> </w:t>
      </w:r>
    </w:p>
    <w:p w14:paraId="229AC4AF" w14:textId="77777777" w:rsidR="006B5D90" w:rsidRDefault="006B5D90" w:rsidP="00910DE0">
      <w:pPr>
        <w:spacing w:line="480" w:lineRule="auto"/>
        <w:rPr>
          <w:i/>
          <w:iCs/>
        </w:rPr>
      </w:pPr>
    </w:p>
    <w:p w14:paraId="26783C53" w14:textId="77777777" w:rsidR="006B5D90" w:rsidRPr="004A3474" w:rsidRDefault="006B5D90" w:rsidP="00910DE0">
      <w:pPr>
        <w:spacing w:line="480" w:lineRule="auto"/>
        <w:rPr>
          <w:i/>
          <w:iCs/>
        </w:rPr>
      </w:pPr>
      <w:r w:rsidRPr="004A3474">
        <w:rPr>
          <w:i/>
          <w:iCs/>
        </w:rPr>
        <w:t>Intersex-related health diagnoses</w:t>
      </w:r>
    </w:p>
    <w:p w14:paraId="6DAF1251" w14:textId="77777777" w:rsidR="006B5D90" w:rsidRPr="004A3474" w:rsidRDefault="006B5D90" w:rsidP="00910DE0">
      <w:pPr>
        <w:spacing w:line="480" w:lineRule="auto"/>
      </w:pPr>
      <w:r w:rsidRPr="004A3474">
        <w:t>Questions on diagnoses of intersex variations were based on previous research</w:t>
      </w:r>
      <w:r w:rsidRPr="00910DE0">
        <w:rPr>
          <w:noProof/>
          <w:vertAlign w:val="superscript"/>
        </w:rPr>
        <w:t>3,4</w:t>
      </w:r>
      <w:r w:rsidRPr="004A3474">
        <w:t xml:space="preserve"> and expertise of our community partners and research team.</w:t>
      </w:r>
      <w:bookmarkStart w:id="0" w:name="_GoBack"/>
      <w:bookmarkEnd w:id="0"/>
    </w:p>
    <w:p w14:paraId="705EA948" w14:textId="77777777" w:rsidR="006B5D90" w:rsidRDefault="006B5D90" w:rsidP="00910DE0">
      <w:pPr>
        <w:spacing w:line="480" w:lineRule="auto"/>
        <w:rPr>
          <w:i/>
        </w:rPr>
      </w:pPr>
    </w:p>
    <w:p w14:paraId="7A9112BC" w14:textId="77777777" w:rsidR="006B5D90" w:rsidRPr="004A3474" w:rsidRDefault="006B5D90" w:rsidP="00910DE0">
      <w:pPr>
        <w:spacing w:line="480" w:lineRule="auto"/>
        <w:rPr>
          <w:i/>
        </w:rPr>
      </w:pPr>
      <w:r w:rsidRPr="004A3474">
        <w:rPr>
          <w:i/>
        </w:rPr>
        <w:t>Physical, psychological, and functional health</w:t>
      </w:r>
    </w:p>
    <w:p w14:paraId="2A889F93" w14:textId="77777777" w:rsidR="006B5D90" w:rsidRPr="00D44315" w:rsidRDefault="006B5D90" w:rsidP="00910DE0">
      <w:pPr>
        <w:spacing w:line="480" w:lineRule="auto"/>
      </w:pPr>
      <w:r w:rsidRPr="004A3474">
        <w:t>Questions included self-rated physical, functional, and mental health, as well as self-reported health conditions. Health conditions included ever being diagnosed with heart disease, cancers, stroke, osteoporosis, arthritis, and kidney disease. We also asked participants about sensory problems and daily functioning. For mental health, questions included previous diagnosis of depression, anxiety, and post-traumatic stress disorder (PTSD), as well as the 4-item Center for Epidemiological Studies Depression Scale (CES-D), with scores ranging from 0-12 and a cutoff score of ≥4 indicating possible clinical depression.</w:t>
      </w:r>
      <w:r w:rsidRPr="00910DE0">
        <w:rPr>
          <w:noProof/>
          <w:vertAlign w:val="superscript"/>
        </w:rPr>
        <w:t>5,6</w:t>
      </w:r>
    </w:p>
    <w:p w14:paraId="565E85D2" w14:textId="77777777" w:rsidR="006B5D90" w:rsidRDefault="006B5D90"/>
    <w:p w14:paraId="61FB57F1" w14:textId="150CF437" w:rsidR="006B5D90" w:rsidRDefault="006B5D90">
      <w:pPr>
        <w:rPr>
          <w:b/>
          <w:bCs/>
        </w:rPr>
      </w:pPr>
      <w:r>
        <w:rPr>
          <w:b/>
          <w:bCs/>
        </w:rPr>
        <w:br w:type="page"/>
      </w:r>
    </w:p>
    <w:p w14:paraId="0269AE7F" w14:textId="77777777" w:rsidR="006B5D90" w:rsidRPr="00910DE0" w:rsidRDefault="006B5D90">
      <w:pPr>
        <w:rPr>
          <w:b/>
          <w:bCs/>
        </w:rPr>
      </w:pPr>
      <w:r w:rsidRPr="00910DE0">
        <w:rPr>
          <w:b/>
          <w:bCs/>
        </w:rPr>
        <w:lastRenderedPageBreak/>
        <w:t>References</w:t>
      </w:r>
    </w:p>
    <w:p w14:paraId="2B57DE82" w14:textId="77777777" w:rsidR="006B5D90" w:rsidRDefault="006B5D90"/>
    <w:p w14:paraId="64FFE6AF" w14:textId="77777777" w:rsidR="006B5D90" w:rsidRPr="00910DE0" w:rsidRDefault="006B5D90" w:rsidP="00910DE0">
      <w:pPr>
        <w:pStyle w:val="EndNoteBibliography"/>
        <w:rPr>
          <w:noProof/>
        </w:rPr>
      </w:pPr>
      <w:r w:rsidRPr="00910DE0">
        <w:rPr>
          <w:noProof/>
        </w:rPr>
        <w:t>1.</w:t>
      </w:r>
      <w:r w:rsidRPr="00910DE0">
        <w:rPr>
          <w:noProof/>
        </w:rPr>
        <w:tab/>
        <w:t>Wallace RB, Herzog AR. Overview of the health measures in the Health and Retirement Study. Journal of Human Resources 1995:S84-S107.</w:t>
      </w:r>
    </w:p>
    <w:p w14:paraId="4841C707" w14:textId="77777777" w:rsidR="006B5D90" w:rsidRPr="00910DE0" w:rsidRDefault="006B5D90" w:rsidP="00910DE0">
      <w:pPr>
        <w:pStyle w:val="EndNoteBibliography"/>
        <w:rPr>
          <w:noProof/>
        </w:rPr>
      </w:pPr>
      <w:r w:rsidRPr="00910DE0">
        <w:rPr>
          <w:noProof/>
        </w:rPr>
        <w:t>2.</w:t>
      </w:r>
      <w:r w:rsidRPr="00910DE0">
        <w:rPr>
          <w:noProof/>
        </w:rPr>
        <w:tab/>
      </w:r>
      <w:r w:rsidR="00CB16AF">
        <w:rPr>
          <w:noProof/>
        </w:rPr>
        <w:t>Centers for Disease Control and</w:t>
      </w:r>
      <w:r w:rsidRPr="00910DE0">
        <w:rPr>
          <w:noProof/>
        </w:rPr>
        <w:t xml:space="preserve"> Prevention. Centers for Disease Control and Prevention Behavioral Risk Factor Surveillance System. 2010.</w:t>
      </w:r>
    </w:p>
    <w:p w14:paraId="1E7D3043" w14:textId="77777777" w:rsidR="006B5D90" w:rsidRPr="00910DE0" w:rsidRDefault="006B5D90" w:rsidP="00910DE0">
      <w:pPr>
        <w:pStyle w:val="EndNoteBibliography"/>
        <w:rPr>
          <w:noProof/>
        </w:rPr>
      </w:pPr>
      <w:r w:rsidRPr="00910DE0">
        <w:rPr>
          <w:noProof/>
        </w:rPr>
        <w:t>3.</w:t>
      </w:r>
      <w:r w:rsidRPr="00910DE0">
        <w:rPr>
          <w:noProof/>
        </w:rPr>
        <w:tab/>
        <w:t xml:space="preserve">Röhle R, Gehrmann K, Szarras-Czapnik M, et al. Participation of adults with disorders/differences of sex development (DSD) in the clinical study dsd-LIFE: design, methodology, recruitment, data quality and study population. BMC </w:t>
      </w:r>
      <w:r w:rsidR="00CB16AF">
        <w:rPr>
          <w:noProof/>
        </w:rPr>
        <w:t>E</w:t>
      </w:r>
      <w:r w:rsidRPr="00910DE0">
        <w:rPr>
          <w:noProof/>
        </w:rPr>
        <w:t xml:space="preserve">ndocrine </w:t>
      </w:r>
      <w:r w:rsidR="00CB16AF">
        <w:rPr>
          <w:noProof/>
        </w:rPr>
        <w:t>D</w:t>
      </w:r>
      <w:r w:rsidRPr="00910DE0">
        <w:rPr>
          <w:noProof/>
        </w:rPr>
        <w:t>isorders 2017;17:52.</w:t>
      </w:r>
    </w:p>
    <w:p w14:paraId="43B13037" w14:textId="77777777" w:rsidR="006B5D90" w:rsidRPr="00910DE0" w:rsidRDefault="006B5D90" w:rsidP="00910DE0">
      <w:pPr>
        <w:pStyle w:val="EndNoteBibliography"/>
        <w:rPr>
          <w:noProof/>
        </w:rPr>
      </w:pPr>
      <w:r w:rsidRPr="00910DE0">
        <w:rPr>
          <w:noProof/>
        </w:rPr>
        <w:t>4.</w:t>
      </w:r>
      <w:r w:rsidRPr="00910DE0">
        <w:rPr>
          <w:noProof/>
        </w:rPr>
        <w:tab/>
        <w:t xml:space="preserve">Tamar-Mattis S, Gamarel KE, Kantor A, Baratz A, Tamar-Mattis A, Operario D. Identifying and Counting Individuals with Differences of Sex Development Conditions in Population Health Research. LGBT </w:t>
      </w:r>
      <w:r w:rsidR="00CB16AF">
        <w:rPr>
          <w:noProof/>
        </w:rPr>
        <w:t>H</w:t>
      </w:r>
      <w:r w:rsidRPr="00910DE0">
        <w:rPr>
          <w:noProof/>
        </w:rPr>
        <w:t>ealth 2018;5:320-4.</w:t>
      </w:r>
    </w:p>
    <w:p w14:paraId="7F937875" w14:textId="77777777" w:rsidR="006B5D90" w:rsidRPr="00910DE0" w:rsidRDefault="006B5D90" w:rsidP="00910DE0">
      <w:pPr>
        <w:pStyle w:val="EndNoteBibliography"/>
        <w:rPr>
          <w:noProof/>
        </w:rPr>
      </w:pPr>
      <w:r w:rsidRPr="00910DE0">
        <w:rPr>
          <w:noProof/>
        </w:rPr>
        <w:t>5.</w:t>
      </w:r>
      <w:r w:rsidRPr="00910DE0">
        <w:rPr>
          <w:noProof/>
        </w:rPr>
        <w:tab/>
        <w:t xml:space="preserve">Kohout FJ, Berkman LF, Evans DA, Cornoni-Huntley J. Two shorter forms of the CES-D depression symptoms index. Journal of </w:t>
      </w:r>
      <w:r w:rsidR="00CB16AF">
        <w:rPr>
          <w:noProof/>
        </w:rPr>
        <w:t>A</w:t>
      </w:r>
      <w:r w:rsidRPr="00910DE0">
        <w:rPr>
          <w:noProof/>
        </w:rPr>
        <w:t xml:space="preserve">ging and </w:t>
      </w:r>
      <w:r w:rsidR="00CB16AF">
        <w:rPr>
          <w:noProof/>
        </w:rPr>
        <w:t>H</w:t>
      </w:r>
      <w:r w:rsidRPr="00910DE0">
        <w:rPr>
          <w:noProof/>
        </w:rPr>
        <w:t>ealth 1993;5:179-93.</w:t>
      </w:r>
    </w:p>
    <w:p w14:paraId="57810F79" w14:textId="77777777" w:rsidR="006B5D90" w:rsidRPr="00910DE0" w:rsidRDefault="006B5D90" w:rsidP="00910DE0">
      <w:pPr>
        <w:pStyle w:val="EndNoteBibliography"/>
        <w:rPr>
          <w:noProof/>
        </w:rPr>
      </w:pPr>
      <w:r w:rsidRPr="00910DE0">
        <w:rPr>
          <w:noProof/>
        </w:rPr>
        <w:t>6.</w:t>
      </w:r>
      <w:r w:rsidRPr="00910DE0">
        <w:rPr>
          <w:noProof/>
        </w:rPr>
        <w:tab/>
        <w:t>Melchior LA, Huba G, Brown VB, Reback CJ. A short depression index for women. Educational and Psychological Measurement 1993;53:1117-25.</w:t>
      </w:r>
    </w:p>
    <w:p w14:paraId="0D3B6F40" w14:textId="77777777" w:rsidR="006B5D90" w:rsidRDefault="006B5D90"/>
    <w:p w14:paraId="3C279901" w14:textId="77777777" w:rsidR="00D36F22" w:rsidRDefault="0013083D"/>
    <w:sectPr w:rsidR="00D36F22" w:rsidSect="00135DC3">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CF504" w14:textId="77777777" w:rsidR="0013083D" w:rsidRDefault="0013083D">
      <w:r>
        <w:separator/>
      </w:r>
    </w:p>
  </w:endnote>
  <w:endnote w:type="continuationSeparator" w:id="0">
    <w:p w14:paraId="68395F98" w14:textId="77777777" w:rsidR="0013083D" w:rsidRDefault="00130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1912165"/>
      <w:docPartObj>
        <w:docPartGallery w:val="Page Numbers (Bottom of Page)"/>
        <w:docPartUnique/>
      </w:docPartObj>
    </w:sdtPr>
    <w:sdtEndPr>
      <w:rPr>
        <w:rStyle w:val="PageNumber"/>
      </w:rPr>
    </w:sdtEndPr>
    <w:sdtContent>
      <w:p w14:paraId="24629F11" w14:textId="77777777" w:rsidR="00910DE0" w:rsidRDefault="003C15FB" w:rsidP="008A48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7D0EB6" w14:textId="77777777" w:rsidR="00910DE0" w:rsidRDefault="0013083D" w:rsidP="00910D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4828582"/>
      <w:docPartObj>
        <w:docPartGallery w:val="Page Numbers (Bottom of Page)"/>
        <w:docPartUnique/>
      </w:docPartObj>
    </w:sdtPr>
    <w:sdtEndPr>
      <w:rPr>
        <w:rStyle w:val="PageNumber"/>
      </w:rPr>
    </w:sdtEndPr>
    <w:sdtContent>
      <w:p w14:paraId="40D28578" w14:textId="77777777" w:rsidR="00910DE0" w:rsidRDefault="003C15FB" w:rsidP="008A48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571160" w14:textId="77777777" w:rsidR="00910DE0" w:rsidRDefault="0013083D" w:rsidP="00910D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42221" w14:textId="77777777" w:rsidR="0013083D" w:rsidRDefault="0013083D">
      <w:r>
        <w:separator/>
      </w:r>
    </w:p>
  </w:footnote>
  <w:footnote w:type="continuationSeparator" w:id="0">
    <w:p w14:paraId="0A5DF2E3" w14:textId="77777777" w:rsidR="0013083D" w:rsidRDefault="001308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6B5D90"/>
    <w:rsid w:val="00044951"/>
    <w:rsid w:val="00085F98"/>
    <w:rsid w:val="000E3AD6"/>
    <w:rsid w:val="000F4AF9"/>
    <w:rsid w:val="0013083D"/>
    <w:rsid w:val="00135DC3"/>
    <w:rsid w:val="001614CD"/>
    <w:rsid w:val="00166943"/>
    <w:rsid w:val="00184B0E"/>
    <w:rsid w:val="001966E2"/>
    <w:rsid w:val="001A0EDF"/>
    <w:rsid w:val="001D3888"/>
    <w:rsid w:val="001E44C4"/>
    <w:rsid w:val="00212BBD"/>
    <w:rsid w:val="002421FE"/>
    <w:rsid w:val="0025292A"/>
    <w:rsid w:val="00261840"/>
    <w:rsid w:val="002A38B5"/>
    <w:rsid w:val="002B391B"/>
    <w:rsid w:val="002F1E82"/>
    <w:rsid w:val="00335E67"/>
    <w:rsid w:val="00363C51"/>
    <w:rsid w:val="003A0584"/>
    <w:rsid w:val="003C15FB"/>
    <w:rsid w:val="003C2B9C"/>
    <w:rsid w:val="003E6AB3"/>
    <w:rsid w:val="003F1297"/>
    <w:rsid w:val="00400607"/>
    <w:rsid w:val="00415CCA"/>
    <w:rsid w:val="004347C4"/>
    <w:rsid w:val="0043726F"/>
    <w:rsid w:val="004459A5"/>
    <w:rsid w:val="00455AFE"/>
    <w:rsid w:val="004A0D30"/>
    <w:rsid w:val="004D2297"/>
    <w:rsid w:val="00530A43"/>
    <w:rsid w:val="00537321"/>
    <w:rsid w:val="00544449"/>
    <w:rsid w:val="00594698"/>
    <w:rsid w:val="005A591D"/>
    <w:rsid w:val="005C4910"/>
    <w:rsid w:val="005D5061"/>
    <w:rsid w:val="00637509"/>
    <w:rsid w:val="00663CC3"/>
    <w:rsid w:val="00676200"/>
    <w:rsid w:val="006843AA"/>
    <w:rsid w:val="0068709E"/>
    <w:rsid w:val="006B5D90"/>
    <w:rsid w:val="006D0EE2"/>
    <w:rsid w:val="006F10F8"/>
    <w:rsid w:val="006F24B3"/>
    <w:rsid w:val="00727F4C"/>
    <w:rsid w:val="00792415"/>
    <w:rsid w:val="007D1A83"/>
    <w:rsid w:val="00860B10"/>
    <w:rsid w:val="008672D9"/>
    <w:rsid w:val="008D5DBA"/>
    <w:rsid w:val="0091416E"/>
    <w:rsid w:val="00941D93"/>
    <w:rsid w:val="009A1EB6"/>
    <w:rsid w:val="009A2FA8"/>
    <w:rsid w:val="009F3300"/>
    <w:rsid w:val="00A05C9C"/>
    <w:rsid w:val="00A51DDE"/>
    <w:rsid w:val="00A55083"/>
    <w:rsid w:val="00AD0D4C"/>
    <w:rsid w:val="00B049C6"/>
    <w:rsid w:val="00B15C85"/>
    <w:rsid w:val="00B52F00"/>
    <w:rsid w:val="00B84D74"/>
    <w:rsid w:val="00BF14E3"/>
    <w:rsid w:val="00BF6303"/>
    <w:rsid w:val="00BF7995"/>
    <w:rsid w:val="00C34387"/>
    <w:rsid w:val="00C44C04"/>
    <w:rsid w:val="00C934E1"/>
    <w:rsid w:val="00CB16AF"/>
    <w:rsid w:val="00CB5952"/>
    <w:rsid w:val="00CE1DAA"/>
    <w:rsid w:val="00CF2405"/>
    <w:rsid w:val="00D0196D"/>
    <w:rsid w:val="00D61171"/>
    <w:rsid w:val="00D654E2"/>
    <w:rsid w:val="00D8737D"/>
    <w:rsid w:val="00DB7B1A"/>
    <w:rsid w:val="00DD7278"/>
    <w:rsid w:val="00E01479"/>
    <w:rsid w:val="00E241C8"/>
    <w:rsid w:val="00E5157E"/>
    <w:rsid w:val="00EA0263"/>
    <w:rsid w:val="00EF5660"/>
    <w:rsid w:val="00F11C08"/>
    <w:rsid w:val="00F15D8C"/>
    <w:rsid w:val="00F25F93"/>
    <w:rsid w:val="00F6421B"/>
    <w:rsid w:val="00F71B37"/>
    <w:rsid w:val="00F81061"/>
    <w:rsid w:val="00FD3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E7AF5"/>
  <w14:defaultImageDpi w14:val="32767"/>
  <w15:chartTrackingRefBased/>
  <w15:docId w15:val="{344774C2-97D3-F440-AE13-4B026C72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B5D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B5D90"/>
    <w:rPr>
      <w:sz w:val="16"/>
      <w:szCs w:val="16"/>
    </w:rPr>
  </w:style>
  <w:style w:type="paragraph" w:styleId="CommentText">
    <w:name w:val="annotation text"/>
    <w:basedOn w:val="Normal"/>
    <w:link w:val="CommentTextChar"/>
    <w:uiPriority w:val="99"/>
    <w:unhideWhenUsed/>
    <w:rsid w:val="006B5D90"/>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B5D90"/>
    <w:rPr>
      <w:sz w:val="20"/>
      <w:szCs w:val="20"/>
    </w:rPr>
  </w:style>
  <w:style w:type="paragraph" w:styleId="BalloonText">
    <w:name w:val="Balloon Text"/>
    <w:basedOn w:val="Normal"/>
    <w:link w:val="BalloonTextChar"/>
    <w:uiPriority w:val="99"/>
    <w:semiHidden/>
    <w:unhideWhenUsed/>
    <w:rsid w:val="006B5D90"/>
    <w:rPr>
      <w:sz w:val="18"/>
      <w:szCs w:val="18"/>
    </w:rPr>
  </w:style>
  <w:style w:type="character" w:customStyle="1" w:styleId="BalloonTextChar">
    <w:name w:val="Balloon Text Char"/>
    <w:basedOn w:val="DefaultParagraphFont"/>
    <w:link w:val="BalloonText"/>
    <w:uiPriority w:val="99"/>
    <w:semiHidden/>
    <w:rsid w:val="006B5D90"/>
    <w:rPr>
      <w:rFonts w:ascii="Times New Roman" w:eastAsia="Times New Roman" w:hAnsi="Times New Roman" w:cs="Times New Roman"/>
      <w:sz w:val="18"/>
      <w:szCs w:val="18"/>
    </w:rPr>
  </w:style>
  <w:style w:type="paragraph" w:customStyle="1" w:styleId="EndNoteBibliographyTitle">
    <w:name w:val="EndNote Bibliography Title"/>
    <w:basedOn w:val="Normal"/>
    <w:link w:val="EndNoteBibliographyTitleChar"/>
    <w:rsid w:val="006B5D90"/>
    <w:pPr>
      <w:jc w:val="center"/>
    </w:pPr>
  </w:style>
  <w:style w:type="character" w:customStyle="1" w:styleId="EndNoteBibliographyTitleChar">
    <w:name w:val="EndNote Bibliography Title Char"/>
    <w:basedOn w:val="DefaultParagraphFont"/>
    <w:link w:val="EndNoteBibliographyTitle"/>
    <w:rsid w:val="006B5D90"/>
    <w:rPr>
      <w:rFonts w:ascii="Times New Roman" w:eastAsia="Times New Roman" w:hAnsi="Times New Roman" w:cs="Times New Roman"/>
    </w:rPr>
  </w:style>
  <w:style w:type="paragraph" w:customStyle="1" w:styleId="EndNoteBibliography">
    <w:name w:val="EndNote Bibliography"/>
    <w:basedOn w:val="Normal"/>
    <w:link w:val="EndNoteBibliographyChar"/>
    <w:rsid w:val="006B5D90"/>
    <w:pPr>
      <w:spacing w:line="480" w:lineRule="auto"/>
    </w:pPr>
  </w:style>
  <w:style w:type="character" w:customStyle="1" w:styleId="EndNoteBibliographyChar">
    <w:name w:val="EndNote Bibliography Char"/>
    <w:basedOn w:val="DefaultParagraphFont"/>
    <w:link w:val="EndNoteBibliography"/>
    <w:rsid w:val="006B5D90"/>
    <w:rPr>
      <w:rFonts w:ascii="Times New Roman" w:eastAsia="Times New Roman" w:hAnsi="Times New Roman" w:cs="Times New Roman"/>
    </w:rPr>
  </w:style>
  <w:style w:type="paragraph" w:styleId="Footer">
    <w:name w:val="footer"/>
    <w:basedOn w:val="Normal"/>
    <w:link w:val="FooterChar"/>
    <w:uiPriority w:val="99"/>
    <w:unhideWhenUsed/>
    <w:rsid w:val="006B5D90"/>
    <w:pPr>
      <w:tabs>
        <w:tab w:val="center" w:pos="4680"/>
        <w:tab w:val="right" w:pos="9360"/>
      </w:tabs>
    </w:pPr>
  </w:style>
  <w:style w:type="character" w:customStyle="1" w:styleId="FooterChar">
    <w:name w:val="Footer Char"/>
    <w:basedOn w:val="DefaultParagraphFont"/>
    <w:link w:val="Footer"/>
    <w:uiPriority w:val="99"/>
    <w:rsid w:val="006B5D90"/>
    <w:rPr>
      <w:rFonts w:ascii="Times New Roman" w:eastAsia="Times New Roman" w:hAnsi="Times New Roman" w:cs="Times New Roman"/>
    </w:rPr>
  </w:style>
  <w:style w:type="character" w:styleId="PageNumber">
    <w:name w:val="page number"/>
    <w:basedOn w:val="DefaultParagraphFont"/>
    <w:uiPriority w:val="99"/>
    <w:semiHidden/>
    <w:unhideWhenUsed/>
    <w:rsid w:val="006B5D90"/>
  </w:style>
  <w:style w:type="character" w:styleId="Hyperlink">
    <w:name w:val="Hyperlink"/>
    <w:basedOn w:val="DefaultParagraphFont"/>
    <w:uiPriority w:val="99"/>
    <w:unhideWhenUsed/>
    <w:rsid w:val="006B5D90"/>
    <w:rPr>
      <w:color w:val="0563C1" w:themeColor="hyperlink"/>
      <w:u w:val="single"/>
    </w:rPr>
  </w:style>
  <w:style w:type="table" w:styleId="TableGrid">
    <w:name w:val="Table Grid"/>
    <w:basedOn w:val="TableNormal"/>
    <w:uiPriority w:val="39"/>
    <w:rsid w:val="006B5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B5D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Rosenwohl-Mack, Amy</dc:creator>
  <cp:keywords/>
  <dc:description/>
  <cp:lastModifiedBy>Rosenwohl-Mack, Amy</cp:lastModifiedBy>
  <cp:revision>2</cp:revision>
  <dcterms:created xsi:type="dcterms:W3CDTF">2020-02-23T19:02:00Z</dcterms:created>
  <dcterms:modified xsi:type="dcterms:W3CDTF">2020-02-23T19:02:00Z</dcterms:modified>
</cp:coreProperties>
</file>