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A5C025" w14:textId="05EC5016" w:rsidR="00FA3D23" w:rsidRPr="00FA3DED" w:rsidRDefault="00FA3D23">
      <w:pPr>
        <w:rPr>
          <w:rFonts w:ascii="Cambria" w:hAnsi="Cambria"/>
          <w:b/>
        </w:rPr>
      </w:pPr>
      <w:bookmarkStart w:id="0" w:name="_GoBack"/>
      <w:bookmarkEnd w:id="0"/>
      <w:r w:rsidRPr="00FA3DED">
        <w:rPr>
          <w:rFonts w:ascii="Cambria" w:hAnsi="Cambria"/>
          <w:b/>
          <w:color w:val="000000" w:themeColor="text1"/>
        </w:rPr>
        <w:t>Supplementary Information</w:t>
      </w:r>
    </w:p>
    <w:p w14:paraId="1B4C9853" w14:textId="77777777" w:rsidR="00FA3D23" w:rsidRPr="00FA3DED" w:rsidRDefault="00FA3D23" w:rsidP="00FA3D23">
      <w:pPr>
        <w:spacing w:line="360" w:lineRule="auto"/>
        <w:outlineLvl w:val="0"/>
        <w:rPr>
          <w:rFonts w:ascii="Cambria" w:hAnsi="Cambria"/>
          <w:b/>
          <w:color w:val="000000" w:themeColor="text1"/>
        </w:rPr>
      </w:pPr>
    </w:p>
    <w:p w14:paraId="04240D5C" w14:textId="55C90188" w:rsidR="00FA3D23" w:rsidRPr="00FA3DED" w:rsidRDefault="00FA3D23" w:rsidP="00FA3D23">
      <w:pPr>
        <w:spacing w:line="360" w:lineRule="auto"/>
        <w:outlineLvl w:val="0"/>
        <w:rPr>
          <w:rFonts w:ascii="Cambria" w:hAnsi="Cambria"/>
          <w:b/>
        </w:rPr>
      </w:pPr>
      <w:r w:rsidRPr="00FA3DED">
        <w:rPr>
          <w:rFonts w:ascii="Cambria" w:hAnsi="Cambria"/>
          <w:b/>
          <w:color w:val="000000" w:themeColor="text1"/>
        </w:rPr>
        <w:t xml:space="preserve">Modeling cannabinoids from a large-scale sample of </w:t>
      </w:r>
      <w:r w:rsidRPr="00FA3DED">
        <w:rPr>
          <w:rFonts w:ascii="Cambria" w:hAnsi="Cambria"/>
          <w:b/>
          <w:i/>
          <w:color w:val="000000" w:themeColor="text1"/>
        </w:rPr>
        <w:t>Cannabis sativa</w:t>
      </w:r>
      <w:r w:rsidRPr="00FA3DED">
        <w:rPr>
          <w:rFonts w:ascii="Cambria" w:hAnsi="Cambria"/>
          <w:b/>
          <w:color w:val="000000" w:themeColor="text1"/>
        </w:rPr>
        <w:t xml:space="preserve"> chemotypes </w:t>
      </w:r>
    </w:p>
    <w:p w14:paraId="76214208" w14:textId="77777777" w:rsidR="00FA3D23" w:rsidRPr="00FA3DED" w:rsidRDefault="00FA3D23" w:rsidP="00FA3D23">
      <w:pPr>
        <w:spacing w:line="360" w:lineRule="auto"/>
        <w:outlineLvl w:val="0"/>
        <w:rPr>
          <w:rFonts w:ascii="Cambria" w:hAnsi="Cambria"/>
          <w:b/>
        </w:rPr>
      </w:pPr>
    </w:p>
    <w:p w14:paraId="6F651370" w14:textId="1F455310" w:rsidR="000001C8" w:rsidRPr="00FA3DED" w:rsidRDefault="000001C8" w:rsidP="000001C8">
      <w:pPr>
        <w:widowControl w:val="0"/>
        <w:tabs>
          <w:tab w:val="left" w:pos="220"/>
          <w:tab w:val="left" w:pos="720"/>
        </w:tabs>
        <w:spacing w:after="240"/>
        <w:rPr>
          <w:rFonts w:ascii="Cambria" w:hAnsi="Cambria"/>
        </w:rPr>
      </w:pPr>
      <w:r w:rsidRPr="00FA3DED">
        <w:rPr>
          <w:rFonts w:ascii="Cambria" w:hAnsi="Cambria"/>
        </w:rPr>
        <w:t>Daniela Vergara</w:t>
      </w:r>
      <w:r w:rsidRPr="00FA3DED">
        <w:rPr>
          <w:rFonts w:ascii="Cambria" w:hAnsi="Cambria"/>
          <w:vertAlign w:val="superscript"/>
        </w:rPr>
        <w:t>1*</w:t>
      </w:r>
      <w:r w:rsidRPr="00FA3DED">
        <w:rPr>
          <w:rFonts w:ascii="Cambria" w:hAnsi="Cambria"/>
        </w:rPr>
        <w:t>, Reggie Gaudino</w:t>
      </w:r>
      <w:r w:rsidRPr="00FA3DED">
        <w:rPr>
          <w:rFonts w:ascii="Cambria" w:hAnsi="Cambria"/>
          <w:vertAlign w:val="superscript"/>
        </w:rPr>
        <w:t>2</w:t>
      </w:r>
      <w:r w:rsidRPr="00FA3DED">
        <w:rPr>
          <w:rFonts w:ascii="Cambria" w:hAnsi="Cambria"/>
        </w:rPr>
        <w:t xml:space="preserve">, </w:t>
      </w:r>
      <w:r w:rsidR="00527F58">
        <w:rPr>
          <w:rFonts w:ascii="Cambria" w:hAnsi="Cambria"/>
        </w:rPr>
        <w:t>Thomas Blank</w:t>
      </w:r>
      <w:r w:rsidRPr="00FA3DED">
        <w:rPr>
          <w:rFonts w:ascii="Cambria" w:hAnsi="Cambria"/>
          <w:vertAlign w:val="superscript"/>
        </w:rPr>
        <w:t>2</w:t>
      </w:r>
      <w:r w:rsidRPr="00FA3DED">
        <w:rPr>
          <w:rFonts w:ascii="Cambria" w:hAnsi="Cambria"/>
        </w:rPr>
        <w:t>, and Brian Keegan</w:t>
      </w:r>
      <w:r w:rsidRPr="00FA3DED">
        <w:rPr>
          <w:rFonts w:ascii="Cambria" w:hAnsi="Cambria"/>
          <w:vertAlign w:val="superscript"/>
        </w:rPr>
        <w:t>3*</w:t>
      </w:r>
    </w:p>
    <w:p w14:paraId="17DBAEC0" w14:textId="04D5DCDE" w:rsidR="00FA3D23" w:rsidRPr="00FA3DED" w:rsidRDefault="00FA3D23" w:rsidP="00FA3D23">
      <w:pPr>
        <w:widowControl w:val="0"/>
        <w:tabs>
          <w:tab w:val="left" w:pos="220"/>
          <w:tab w:val="left" w:pos="720"/>
        </w:tabs>
        <w:spacing w:after="240"/>
        <w:rPr>
          <w:rFonts w:ascii="Cambria" w:hAnsi="Cambria"/>
        </w:rPr>
      </w:pPr>
    </w:p>
    <w:p w14:paraId="67174E4F" w14:textId="62FD1F18" w:rsidR="00FA3D23" w:rsidRPr="00887149" w:rsidRDefault="00FA3DED">
      <w:pPr>
        <w:rPr>
          <w:rFonts w:ascii="Cambria" w:hAnsi="Cambria"/>
          <w:b/>
          <w:sz w:val="36"/>
          <w:szCs w:val="36"/>
        </w:rPr>
      </w:pPr>
      <w:r w:rsidRPr="00887149">
        <w:rPr>
          <w:rFonts w:ascii="Cambria" w:hAnsi="Cambria"/>
          <w:b/>
          <w:sz w:val="36"/>
          <w:szCs w:val="36"/>
        </w:rPr>
        <w:t>Methods</w:t>
      </w:r>
    </w:p>
    <w:p w14:paraId="52065455" w14:textId="77777777" w:rsidR="00FA3DED" w:rsidRPr="00887149" w:rsidRDefault="00FA3DED" w:rsidP="00FA3DED">
      <w:pPr>
        <w:spacing w:line="360" w:lineRule="auto"/>
        <w:rPr>
          <w:rFonts w:ascii="Cambria" w:hAnsi="Cambria"/>
          <w:b/>
          <w:sz w:val="32"/>
          <w:szCs w:val="32"/>
        </w:rPr>
      </w:pPr>
      <w:r w:rsidRPr="00887149">
        <w:rPr>
          <w:rFonts w:ascii="Cambria" w:hAnsi="Cambria"/>
          <w:b/>
          <w:sz w:val="32"/>
          <w:szCs w:val="32"/>
        </w:rPr>
        <w:t>Missing data and imputation</w:t>
      </w:r>
    </w:p>
    <w:p w14:paraId="1C3D07A9" w14:textId="17E11D85" w:rsidR="00D66DCA" w:rsidRPr="00FA3DED" w:rsidRDefault="00CB7D93">
      <w:pPr>
        <w:rPr>
          <w:rFonts w:ascii="Cambria" w:hAnsi="Cambria"/>
        </w:rPr>
      </w:pPr>
      <w:r>
        <w:rPr>
          <w:rFonts w:ascii="Cambria" w:hAnsi="Cambria"/>
          <w:noProof/>
        </w:rPr>
        <w:drawing>
          <wp:inline distT="0" distB="0" distL="0" distR="0" wp14:anchorId="3C2882F9" wp14:editId="56520369">
            <wp:extent cx="5943600" cy="44716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S1_missing_observations_24092019.pdf"/>
                    <pic:cNvPicPr/>
                  </pic:nvPicPr>
                  <pic:blipFill>
                    <a:blip r:embed="rId6">
                      <a:extLst>
                        <a:ext uri="{28A0092B-C50C-407E-A947-70E740481C1C}">
                          <a14:useLocalDpi xmlns:a14="http://schemas.microsoft.com/office/drawing/2010/main" val="0"/>
                        </a:ext>
                      </a:extLst>
                    </a:blip>
                    <a:stretch>
                      <a:fillRect/>
                    </a:stretch>
                  </pic:blipFill>
                  <pic:spPr>
                    <a:xfrm>
                      <a:off x="0" y="0"/>
                      <a:ext cx="5943600" cy="4471670"/>
                    </a:xfrm>
                    <a:prstGeom prst="rect">
                      <a:avLst/>
                    </a:prstGeom>
                  </pic:spPr>
                </pic:pic>
              </a:graphicData>
            </a:graphic>
          </wp:inline>
        </w:drawing>
      </w:r>
    </w:p>
    <w:p w14:paraId="3ED25C22" w14:textId="222284FF" w:rsidR="00D47688" w:rsidRPr="00FA3DED" w:rsidRDefault="00D47688" w:rsidP="00D47688">
      <w:pPr>
        <w:rPr>
          <w:rFonts w:ascii="Cambria" w:hAnsi="Cambria"/>
          <w:b/>
          <w:sz w:val="20"/>
          <w:szCs w:val="20"/>
        </w:rPr>
      </w:pPr>
      <w:r w:rsidRPr="00FA3DED">
        <w:rPr>
          <w:rFonts w:ascii="Cambria" w:hAnsi="Cambria"/>
          <w:b/>
          <w:sz w:val="20"/>
          <w:szCs w:val="20"/>
        </w:rPr>
        <w:t>S1</w:t>
      </w:r>
      <w:r w:rsidR="007976E3">
        <w:rPr>
          <w:rFonts w:ascii="Cambria" w:hAnsi="Cambria"/>
          <w:b/>
          <w:sz w:val="20"/>
          <w:szCs w:val="20"/>
        </w:rPr>
        <w:t xml:space="preserve"> </w:t>
      </w:r>
      <w:r w:rsidR="007976E3" w:rsidRPr="00FA3DED">
        <w:rPr>
          <w:rFonts w:ascii="Cambria" w:hAnsi="Cambria"/>
          <w:b/>
          <w:sz w:val="20"/>
          <w:szCs w:val="20"/>
        </w:rPr>
        <w:t>Fig</w:t>
      </w:r>
      <w:r w:rsidRPr="00FA3DED">
        <w:rPr>
          <w:rFonts w:ascii="Cambria" w:hAnsi="Cambria"/>
          <w:b/>
          <w:sz w:val="20"/>
          <w:szCs w:val="20"/>
        </w:rPr>
        <w:t>.</w:t>
      </w:r>
      <w:r w:rsidRPr="00FA3DED">
        <w:rPr>
          <w:rFonts w:ascii="Cambria" w:hAnsi="Cambria"/>
          <w:sz w:val="20"/>
          <w:szCs w:val="20"/>
        </w:rPr>
        <w:t xml:space="preserve"> </w:t>
      </w:r>
      <w:r w:rsidRPr="00FA3DED">
        <w:rPr>
          <w:rFonts w:ascii="Cambria" w:hAnsi="Cambria"/>
          <w:b/>
          <w:sz w:val="20"/>
          <w:szCs w:val="20"/>
        </w:rPr>
        <w:t>Distribution of cases based on number of missing cannabinoid observations</w:t>
      </w:r>
      <w:r w:rsidR="006A6C36" w:rsidRPr="00FA3DED">
        <w:rPr>
          <w:rFonts w:ascii="Cambria" w:hAnsi="Cambria"/>
          <w:sz w:val="20"/>
          <w:szCs w:val="20"/>
        </w:rPr>
        <w:t>.</w:t>
      </w:r>
      <w:r w:rsidR="001350D2" w:rsidRPr="00FA3DED">
        <w:rPr>
          <w:rFonts w:ascii="Cambria" w:hAnsi="Cambria"/>
          <w:sz w:val="20"/>
          <w:szCs w:val="20"/>
        </w:rPr>
        <w:t xml:space="preserve"> </w:t>
      </w:r>
      <w:r w:rsidR="006A6C36" w:rsidRPr="00FA3DED">
        <w:rPr>
          <w:rFonts w:ascii="Cambria" w:hAnsi="Cambria"/>
          <w:sz w:val="20"/>
          <w:szCs w:val="20"/>
        </w:rPr>
        <w:t>O</w:t>
      </w:r>
      <w:r w:rsidR="001350D2" w:rsidRPr="00FA3DED">
        <w:rPr>
          <w:rFonts w:ascii="Cambria" w:hAnsi="Cambria"/>
          <w:sz w:val="20"/>
          <w:szCs w:val="20"/>
        </w:rPr>
        <w:t xml:space="preserve">nly </w:t>
      </w:r>
      <w:r w:rsidR="00A105DA">
        <w:rPr>
          <w:rFonts w:ascii="Cambria" w:hAnsi="Cambria"/>
          <w:sz w:val="20"/>
          <w:szCs w:val="20"/>
        </w:rPr>
        <w:t>153</w:t>
      </w:r>
      <w:r w:rsidR="00A105DA" w:rsidRPr="00FA3DED">
        <w:rPr>
          <w:rFonts w:ascii="Cambria" w:hAnsi="Cambria"/>
          <w:sz w:val="20"/>
          <w:szCs w:val="20"/>
        </w:rPr>
        <w:t xml:space="preserve"> </w:t>
      </w:r>
      <w:r w:rsidR="001350D2" w:rsidRPr="00FA3DED">
        <w:rPr>
          <w:rFonts w:ascii="Cambria" w:hAnsi="Cambria"/>
          <w:sz w:val="20"/>
          <w:szCs w:val="20"/>
        </w:rPr>
        <w:t>cultivars contain all cannabinoid information, while 1,</w:t>
      </w:r>
      <w:r w:rsidR="00A105DA">
        <w:rPr>
          <w:rFonts w:ascii="Cambria" w:hAnsi="Cambria"/>
          <w:sz w:val="20"/>
          <w:szCs w:val="20"/>
        </w:rPr>
        <w:t>386</w:t>
      </w:r>
      <w:r w:rsidR="00A105DA" w:rsidRPr="00FA3DED">
        <w:rPr>
          <w:rFonts w:ascii="Cambria" w:hAnsi="Cambria"/>
          <w:sz w:val="20"/>
          <w:szCs w:val="20"/>
        </w:rPr>
        <w:t xml:space="preserve"> </w:t>
      </w:r>
      <w:r w:rsidR="001350D2" w:rsidRPr="00FA3DED">
        <w:rPr>
          <w:rFonts w:ascii="Cambria" w:hAnsi="Cambria"/>
          <w:sz w:val="20"/>
          <w:szCs w:val="20"/>
        </w:rPr>
        <w:t xml:space="preserve">samples miss the information of one of the cannabinoids, </w:t>
      </w:r>
      <w:r w:rsidR="00A105DA">
        <w:rPr>
          <w:rFonts w:ascii="Cambria" w:hAnsi="Cambria"/>
          <w:sz w:val="20"/>
          <w:szCs w:val="20"/>
        </w:rPr>
        <w:t>3,977</w:t>
      </w:r>
      <w:r w:rsidR="001350D2" w:rsidRPr="00FA3DED">
        <w:rPr>
          <w:rFonts w:ascii="Cambria" w:hAnsi="Cambria"/>
          <w:sz w:val="20"/>
          <w:szCs w:val="20"/>
        </w:rPr>
        <w:t xml:space="preserve"> of two cannabinoids and so on for a total of </w:t>
      </w:r>
      <w:r w:rsidR="00947BA0">
        <w:rPr>
          <w:rFonts w:ascii="Cambria" w:hAnsi="Cambria"/>
          <w:sz w:val="20"/>
          <w:szCs w:val="20"/>
        </w:rPr>
        <w:t>17,</w:t>
      </w:r>
      <w:r w:rsidR="00A105DA">
        <w:rPr>
          <w:rFonts w:ascii="Cambria" w:hAnsi="Cambria"/>
          <w:sz w:val="20"/>
          <w:szCs w:val="20"/>
        </w:rPr>
        <w:t>600</w:t>
      </w:r>
      <w:r w:rsidR="00A105DA" w:rsidRPr="00FA3DED">
        <w:rPr>
          <w:rFonts w:ascii="Cambria" w:hAnsi="Cambria"/>
          <w:sz w:val="20"/>
          <w:szCs w:val="20"/>
        </w:rPr>
        <w:t xml:space="preserve"> </w:t>
      </w:r>
      <w:r w:rsidR="001350D2" w:rsidRPr="00FA3DED">
        <w:rPr>
          <w:rFonts w:ascii="Cambria" w:hAnsi="Cambria"/>
          <w:sz w:val="20"/>
          <w:szCs w:val="20"/>
        </w:rPr>
        <w:t>data points analyzed</w:t>
      </w:r>
      <w:r w:rsidR="00947BA0">
        <w:rPr>
          <w:rFonts w:ascii="Cambria" w:hAnsi="Cambria"/>
          <w:sz w:val="20"/>
          <w:szCs w:val="20"/>
        </w:rPr>
        <w:t>.</w:t>
      </w:r>
    </w:p>
    <w:p w14:paraId="0F8D6B46" w14:textId="4C126062" w:rsidR="00D47688" w:rsidRDefault="00D47688">
      <w:pPr>
        <w:rPr>
          <w:rFonts w:ascii="Cambria" w:hAnsi="Cambria"/>
        </w:rPr>
      </w:pPr>
    </w:p>
    <w:p w14:paraId="78087653" w14:textId="488E12D6" w:rsidR="00784F7F" w:rsidRDefault="00784F7F">
      <w:pPr>
        <w:rPr>
          <w:rFonts w:ascii="Cambria" w:hAnsi="Cambria"/>
        </w:rPr>
      </w:pPr>
    </w:p>
    <w:p w14:paraId="70F7B26F" w14:textId="3C8E08E3" w:rsidR="005804B4" w:rsidRDefault="005804B4" w:rsidP="009313E3">
      <w:pPr>
        <w:spacing w:line="360" w:lineRule="auto"/>
        <w:rPr>
          <w:rFonts w:ascii="Cambria" w:hAnsi="Cambria"/>
          <w:i/>
        </w:rPr>
      </w:pPr>
      <w:r w:rsidRPr="00526E22">
        <w:rPr>
          <w:rFonts w:ascii="Cambria" w:hAnsi="Cambria"/>
        </w:rPr>
        <w:lastRenderedPageBreak/>
        <w:t xml:space="preserve">The density-based spatial clustering of applications with noise (DBSCAN) algorithm </w:t>
      </w:r>
      <w:r w:rsidRPr="00526E22">
        <w:rPr>
          <w:rFonts w:ascii="Cambria" w:hAnsi="Cambria"/>
        </w:rPr>
        <w:fldChar w:fldCharType="begin"/>
      </w:r>
      <w:r w:rsidR="001B1317">
        <w:rPr>
          <w:rFonts w:ascii="Cambria" w:hAnsi="Cambria"/>
        </w:rPr>
        <w:instrText xml:space="preserve"> ADDIN EN.CITE &lt;EndNote&gt;&lt;Cite&gt;&lt;Author&gt;Ester&lt;/Author&gt;&lt;Year&gt;1996&lt;/Year&gt;&lt;RecNum&gt;1167&lt;/RecNum&gt;&lt;DisplayText&gt;(1)&lt;/DisplayText&gt;&lt;record&gt;&lt;rec-number&gt;1167&lt;/rec-number&gt;&lt;foreign-keys&gt;&lt;key app="EN" db-id="t2svff0p7frxtxepwrw5rxxnresw5vpxwwv9" timestamp="1548275631"&gt;1167&lt;/key&gt;&lt;/foreign-keys&gt;&lt;ref-type name="Conference Proceedings"&gt;10&lt;/ref-type&gt;&lt;contributors&gt;&lt;authors&gt;&lt;author&gt;Ester, Martin&lt;/author&gt;&lt;author&gt;Kriegel, Hans-Peter&lt;/author&gt;&lt;author&gt;Sander, Jörg&lt;/author&gt;&lt;author&gt;Xu, Xiaowei&lt;/author&gt;&lt;/authors&gt;&lt;/contributors&gt;&lt;titles&gt;&lt;title&gt;A density-based algorithm for discovering clusters in large spatial databases with noise&lt;/title&gt;&lt;secondary-title&gt;Kdd&lt;/secondary-title&gt;&lt;/titles&gt;&lt;pages&gt;226-231&lt;/pages&gt;&lt;volume&gt;96&lt;/volume&gt;&lt;number&gt;34&lt;/number&gt;&lt;dates&gt;&lt;year&gt;1996&lt;/year&gt;&lt;/dates&gt;&lt;urls&gt;&lt;/urls&gt;&lt;/record&gt;&lt;/Cite&gt;&lt;/EndNote&gt;</w:instrText>
      </w:r>
      <w:r w:rsidRPr="00526E22">
        <w:rPr>
          <w:rFonts w:ascii="Cambria" w:hAnsi="Cambria"/>
        </w:rPr>
        <w:fldChar w:fldCharType="separate"/>
      </w:r>
      <w:r w:rsidR="001B1317">
        <w:rPr>
          <w:rFonts w:ascii="Cambria" w:hAnsi="Cambria"/>
          <w:noProof/>
        </w:rPr>
        <w:t>(1)</w:t>
      </w:r>
      <w:r w:rsidRPr="00526E22">
        <w:rPr>
          <w:rFonts w:ascii="Cambria" w:hAnsi="Cambria"/>
        </w:rPr>
        <w:fldChar w:fldCharType="end"/>
      </w:r>
      <w:r w:rsidRPr="00526E22">
        <w:rPr>
          <w:rFonts w:ascii="Cambria" w:hAnsi="Cambria"/>
        </w:rPr>
        <w:t xml:space="preserve"> was used to classify points to four clusters using a Euclidian distance metric, a minimum of 75 samples per cluster, and an EPS step size of 0.5.</w:t>
      </w:r>
    </w:p>
    <w:p w14:paraId="25877760" w14:textId="77777777" w:rsidR="005804B4" w:rsidRDefault="005804B4" w:rsidP="009313E3">
      <w:pPr>
        <w:spacing w:line="360" w:lineRule="auto"/>
        <w:rPr>
          <w:rFonts w:ascii="Cambria" w:hAnsi="Cambria"/>
          <w:i/>
        </w:rPr>
      </w:pPr>
    </w:p>
    <w:p w14:paraId="61F9D671" w14:textId="23A1D6E6" w:rsidR="009313E3" w:rsidRPr="00887149" w:rsidRDefault="009313E3" w:rsidP="009313E3">
      <w:pPr>
        <w:spacing w:line="360" w:lineRule="auto"/>
        <w:rPr>
          <w:rFonts w:ascii="Cambria" w:hAnsi="Cambria"/>
          <w:b/>
          <w:sz w:val="32"/>
          <w:szCs w:val="32"/>
        </w:rPr>
      </w:pPr>
      <w:r w:rsidRPr="00887149">
        <w:rPr>
          <w:rFonts w:ascii="Cambria" w:hAnsi="Cambria"/>
          <w:b/>
          <w:sz w:val="32"/>
          <w:szCs w:val="32"/>
        </w:rPr>
        <w:t>Geographic space analysis</w:t>
      </w:r>
    </w:p>
    <w:p w14:paraId="48A4A7B5" w14:textId="7952B4F6" w:rsidR="009313E3" w:rsidRDefault="00A023CF" w:rsidP="009313E3">
      <w:pPr>
        <w:spacing w:line="360" w:lineRule="auto"/>
        <w:ind w:firstLine="720"/>
        <w:rPr>
          <w:rFonts w:ascii="Cambria" w:hAnsi="Cambria"/>
        </w:rPr>
      </w:pPr>
      <w:r>
        <w:rPr>
          <w:rFonts w:ascii="Cambria" w:hAnsi="Cambria"/>
        </w:rPr>
        <w:t xml:space="preserve">Due to the amount of missing data for CBN, THCV, and CBDV, we did not include these three cannabinoids in the geographic space analysis. </w:t>
      </w:r>
      <w:r w:rsidR="00EA173B">
        <w:rPr>
          <w:rFonts w:ascii="Cambria" w:hAnsi="Cambria"/>
        </w:rPr>
        <w:t>We also excluded CBDV and THCB due to the poor understanding of their biochemistry, and CBN because it’s a breakdown product</w:t>
      </w:r>
      <w:r w:rsidR="00EE2E84">
        <w:rPr>
          <w:rFonts w:ascii="Cambria" w:hAnsi="Cambria"/>
        </w:rPr>
        <w:t xml:space="preserve"> </w:t>
      </w:r>
      <w:r w:rsidR="00EE2E84">
        <w:rPr>
          <w:rFonts w:ascii="Cambria" w:hAnsi="Cambria"/>
        </w:rPr>
        <w:fldChar w:fldCharType="begin">
          <w:fldData xml:space="preserve">PEVuZE5vdGU+PENpdGU+PEF1dGhvcj5Sb3NzPC9BdXRob3I+PFllYXI+MTk5NzwvWWVhcj48UmVj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</w:fldData>
        </w:fldChar>
      </w:r>
      <w:r w:rsidR="001B1317">
        <w:rPr>
          <w:rFonts w:ascii="Cambria" w:hAnsi="Cambria"/>
        </w:rPr>
        <w:instrText xml:space="preserve"> ADDIN EN.CITE </w:instrText>
      </w:r>
      <w:r w:rsidR="001B1317">
        <w:rPr>
          <w:rFonts w:ascii="Cambria" w:hAnsi="Cambria"/>
        </w:rPr>
        <w:fldChar w:fldCharType="begin">
          <w:fldData xml:space="preserve">PEVuZE5vdGU+PENpdGU+PEF1dGhvcj5Sb3NzPC9BdXRob3I+PFllYXI+MTk5NzwvWWVhcj48UmVj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</w:fldData>
        </w:fldChar>
      </w:r>
      <w:r w:rsidR="001B1317">
        <w:rPr>
          <w:rFonts w:ascii="Cambria" w:hAnsi="Cambria"/>
        </w:rPr>
        <w:instrText xml:space="preserve"> ADDIN EN.CITE.DATA </w:instrText>
      </w:r>
      <w:r w:rsidR="001B1317">
        <w:rPr>
          <w:rFonts w:ascii="Cambria" w:hAnsi="Cambria"/>
        </w:rPr>
      </w:r>
      <w:r w:rsidR="001B1317">
        <w:rPr>
          <w:rFonts w:ascii="Cambria" w:hAnsi="Cambria"/>
        </w:rPr>
        <w:fldChar w:fldCharType="end"/>
      </w:r>
      <w:r w:rsidR="00EE2E84">
        <w:rPr>
          <w:rFonts w:ascii="Cambria" w:hAnsi="Cambria"/>
        </w:rPr>
      </w:r>
      <w:r w:rsidR="00EE2E84">
        <w:rPr>
          <w:rFonts w:ascii="Cambria" w:hAnsi="Cambria"/>
        </w:rPr>
        <w:fldChar w:fldCharType="separate"/>
      </w:r>
      <w:r w:rsidR="001B1317">
        <w:rPr>
          <w:rFonts w:ascii="Cambria" w:hAnsi="Cambria"/>
          <w:noProof/>
        </w:rPr>
        <w:t>(2-4)</w:t>
      </w:r>
      <w:r w:rsidR="00EE2E84">
        <w:rPr>
          <w:rFonts w:ascii="Cambria" w:hAnsi="Cambria"/>
        </w:rPr>
        <w:fldChar w:fldCharType="end"/>
      </w:r>
      <w:r w:rsidR="00EA173B">
        <w:rPr>
          <w:rFonts w:ascii="Cambria" w:hAnsi="Cambria"/>
          <w:color w:val="000000" w:themeColor="text1"/>
        </w:rPr>
        <w:t xml:space="preserve">. </w:t>
      </w:r>
      <w:r w:rsidR="009313E3">
        <w:rPr>
          <w:rFonts w:ascii="Cambria" w:hAnsi="Cambria"/>
        </w:rPr>
        <w:t xml:space="preserve">Since only 2014 had samples for three states, we analyzed the cannabinoids of these locations only </w:t>
      </w:r>
      <w:r w:rsidR="00340FD7">
        <w:rPr>
          <w:rFonts w:ascii="Cambria" w:hAnsi="Cambria"/>
        </w:rPr>
        <w:t xml:space="preserve">for </w:t>
      </w:r>
      <w:r w:rsidR="009313E3">
        <w:rPr>
          <w:rFonts w:ascii="Cambria" w:hAnsi="Cambria"/>
        </w:rPr>
        <w:t xml:space="preserve">that year. We had 1,364 samples from California, 936 from Colorado, and 244 from Washington.  </w:t>
      </w:r>
    </w:p>
    <w:p w14:paraId="6FC2B1DA" w14:textId="070E0164" w:rsidR="009313E3" w:rsidRDefault="009313E3" w:rsidP="009313E3">
      <w:pPr>
        <w:spacing w:line="360" w:lineRule="auto"/>
        <w:ind w:firstLine="720"/>
        <w:rPr>
          <w:rFonts w:ascii="Cambria" w:hAnsi="Cambria"/>
        </w:rPr>
      </w:pPr>
      <w:r>
        <w:rPr>
          <w:rFonts w:ascii="Cambria" w:hAnsi="Cambria"/>
        </w:rPr>
        <w:t>We performed a one-way ANOVA for each of four cannabinoids – CBG, CBC, THC, and CBD</w:t>
      </w:r>
      <w:r w:rsidR="00EA173B">
        <w:rPr>
          <w:rFonts w:ascii="Cambria" w:hAnsi="Cambria"/>
        </w:rPr>
        <w:t>-</w:t>
      </w:r>
      <w:r>
        <w:rPr>
          <w:rFonts w:ascii="Cambria" w:hAnsi="Cambria"/>
        </w:rPr>
        <w:t xml:space="preserve"> as the response variable and state as a factor, with a posterior </w:t>
      </w:r>
      <w:proofErr w:type="spellStart"/>
      <w:r>
        <w:rPr>
          <w:rFonts w:ascii="Cambria" w:hAnsi="Cambria"/>
        </w:rPr>
        <w:t>posthoc</w:t>
      </w:r>
      <w:proofErr w:type="spellEnd"/>
      <w:r>
        <w:rPr>
          <w:rFonts w:ascii="Cambria" w:hAnsi="Cambria"/>
        </w:rPr>
        <w:t xml:space="preserve"> analysis to determine cannabinoid level differences by year for each state. </w:t>
      </w:r>
    </w:p>
    <w:p w14:paraId="1B2DF601" w14:textId="77777777" w:rsidR="009313E3" w:rsidRDefault="009313E3" w:rsidP="009313E3">
      <w:pPr>
        <w:spacing w:line="360" w:lineRule="auto"/>
        <w:rPr>
          <w:rFonts w:ascii="Cambria" w:hAnsi="Cambria"/>
        </w:rPr>
      </w:pPr>
    </w:p>
    <w:p w14:paraId="4D4336F0" w14:textId="77777777" w:rsidR="009313E3" w:rsidRPr="00887149" w:rsidRDefault="009313E3" w:rsidP="009313E3">
      <w:pPr>
        <w:spacing w:line="360" w:lineRule="auto"/>
        <w:rPr>
          <w:rFonts w:ascii="Cambria" w:hAnsi="Cambria"/>
          <w:b/>
          <w:sz w:val="32"/>
          <w:szCs w:val="32"/>
        </w:rPr>
      </w:pPr>
      <w:r w:rsidRPr="00887149">
        <w:rPr>
          <w:rFonts w:ascii="Cambria" w:hAnsi="Cambria"/>
          <w:b/>
          <w:sz w:val="32"/>
          <w:szCs w:val="32"/>
        </w:rPr>
        <w:t>Analysis through time</w:t>
      </w:r>
    </w:p>
    <w:p w14:paraId="269F8655" w14:textId="76480EAE" w:rsidR="009313E3" w:rsidRDefault="009313E3" w:rsidP="009313E3">
      <w:pPr>
        <w:spacing w:line="360" w:lineRule="auto"/>
        <w:ind w:firstLine="720"/>
        <w:rPr>
          <w:rFonts w:ascii="Cambria" w:hAnsi="Cambria"/>
        </w:rPr>
      </w:pPr>
      <w:r>
        <w:rPr>
          <w:rFonts w:ascii="Cambria" w:hAnsi="Cambria"/>
        </w:rPr>
        <w:t xml:space="preserve">California was the only state that had </w:t>
      </w:r>
      <w:r w:rsidR="00040B4B">
        <w:rPr>
          <w:rFonts w:ascii="Cambria" w:hAnsi="Cambria"/>
        </w:rPr>
        <w:t>16,4</w:t>
      </w:r>
      <w:r w:rsidR="00800213">
        <w:rPr>
          <w:rFonts w:ascii="Cambria" w:hAnsi="Cambria"/>
        </w:rPr>
        <w:t>1</w:t>
      </w:r>
      <w:r w:rsidR="00040B4B">
        <w:rPr>
          <w:rFonts w:ascii="Cambria" w:hAnsi="Cambria"/>
        </w:rPr>
        <w:t xml:space="preserve"> </w:t>
      </w:r>
      <w:r>
        <w:rPr>
          <w:rFonts w:ascii="Cambria" w:hAnsi="Cambria"/>
        </w:rPr>
        <w:t>samples from every year for eight years 2011-2018</w:t>
      </w:r>
      <w:r w:rsidR="00800213">
        <w:rPr>
          <w:rFonts w:ascii="Cambria" w:hAnsi="Cambria"/>
        </w:rPr>
        <w:t xml:space="preserve"> divided as follows: 361 from 2011; 574 from 2012; 827 from 2013; 1,364 from 2014; 1,113 from 2015; 5 from 2016; 5,727 from 2017; and 6,447 from 2018. </w:t>
      </w:r>
      <w:r>
        <w:rPr>
          <w:rFonts w:ascii="Cambria" w:hAnsi="Cambria"/>
        </w:rPr>
        <w:t xml:space="preserve">Therefore, our analysis of cannabinoid change through time was only performed with samples from </w:t>
      </w:r>
      <w:r w:rsidR="007969B7">
        <w:rPr>
          <w:rFonts w:ascii="Cambria" w:hAnsi="Cambria"/>
        </w:rPr>
        <w:t>this state</w:t>
      </w:r>
      <w:r>
        <w:rPr>
          <w:rFonts w:ascii="Cambria" w:hAnsi="Cambria"/>
        </w:rPr>
        <w:t xml:space="preserve">. </w:t>
      </w:r>
    </w:p>
    <w:p w14:paraId="46A21315" w14:textId="77777777" w:rsidR="009313E3" w:rsidRDefault="009313E3" w:rsidP="009313E3">
      <w:pPr>
        <w:spacing w:line="360" w:lineRule="auto"/>
        <w:rPr>
          <w:rFonts w:ascii="Cambria" w:hAnsi="Cambria"/>
        </w:rPr>
      </w:pPr>
    </w:p>
    <w:p w14:paraId="52C2D60F" w14:textId="77777777" w:rsidR="009313E3" w:rsidRDefault="009313E3" w:rsidP="009313E3">
      <w:pPr>
        <w:spacing w:line="360" w:lineRule="auto"/>
        <w:ind w:firstLine="720"/>
        <w:rPr>
          <w:rFonts w:ascii="Cambria" w:hAnsi="Cambria"/>
        </w:rPr>
      </w:pPr>
      <w:r>
        <w:rPr>
          <w:rFonts w:ascii="Cambria" w:hAnsi="Cambria"/>
        </w:rPr>
        <w:t xml:space="preserve">With a one-way ANOVA with each of four cannabinoids – CBG, THC, CBD, and CBC- as the response variable and year as a factor, and with a posterior </w:t>
      </w:r>
      <w:proofErr w:type="spellStart"/>
      <w:r>
        <w:rPr>
          <w:rFonts w:ascii="Cambria" w:hAnsi="Cambria"/>
        </w:rPr>
        <w:t>posthoc</w:t>
      </w:r>
      <w:proofErr w:type="spellEnd"/>
      <w:r>
        <w:rPr>
          <w:rFonts w:ascii="Cambria" w:hAnsi="Cambria"/>
        </w:rPr>
        <w:t xml:space="preserve"> analysis we determined whether cannabinoids differ in California in these 8 years. </w:t>
      </w:r>
    </w:p>
    <w:p w14:paraId="5A91E54D" w14:textId="0F6A36F0" w:rsidR="00972D7C" w:rsidRDefault="00972D7C">
      <w:pPr>
        <w:rPr>
          <w:rFonts w:ascii="Cambria" w:hAnsi="Cambria"/>
        </w:rPr>
      </w:pPr>
    </w:p>
    <w:p w14:paraId="19294274" w14:textId="2EF91BD5" w:rsidR="00972D7C" w:rsidRPr="00887149" w:rsidRDefault="00972D7C" w:rsidP="00972D7C">
      <w:pPr>
        <w:rPr>
          <w:rFonts w:ascii="Cambria" w:hAnsi="Cambria"/>
          <w:b/>
          <w:sz w:val="36"/>
          <w:szCs w:val="36"/>
        </w:rPr>
      </w:pPr>
      <w:r w:rsidRPr="00887149">
        <w:rPr>
          <w:rFonts w:ascii="Cambria" w:hAnsi="Cambria"/>
          <w:b/>
          <w:sz w:val="36"/>
          <w:szCs w:val="36"/>
        </w:rPr>
        <w:t>Results</w:t>
      </w:r>
    </w:p>
    <w:p w14:paraId="11C72F35" w14:textId="77777777" w:rsidR="0067316F" w:rsidRPr="00887149" w:rsidRDefault="0067316F" w:rsidP="0067316F">
      <w:pPr>
        <w:spacing w:line="360" w:lineRule="auto"/>
        <w:rPr>
          <w:rFonts w:ascii="Cambria" w:hAnsi="Cambria"/>
          <w:b/>
          <w:sz w:val="32"/>
          <w:szCs w:val="32"/>
        </w:rPr>
      </w:pPr>
      <w:r w:rsidRPr="00887149">
        <w:rPr>
          <w:rFonts w:ascii="Cambria" w:hAnsi="Cambria"/>
          <w:b/>
          <w:sz w:val="32"/>
          <w:szCs w:val="32"/>
        </w:rPr>
        <w:t>Geographic space analysis</w:t>
      </w:r>
    </w:p>
    <w:p w14:paraId="632EC405" w14:textId="77777777" w:rsidR="00C004E8" w:rsidRDefault="00C004E8" w:rsidP="00C004E8">
      <w:pPr>
        <w:spacing w:line="360" w:lineRule="auto"/>
        <w:ind w:firstLine="720"/>
        <w:rPr>
          <w:rFonts w:ascii="Cambria" w:hAnsi="Cambria"/>
        </w:rPr>
      </w:pPr>
      <w:r w:rsidRPr="00517F5E">
        <w:rPr>
          <w:rFonts w:ascii="Cambria" w:hAnsi="Cambria"/>
        </w:rPr>
        <w:t xml:space="preserve">Despite the disparity in sample size, we find overall differences in cannabinoids for the three states, California, Colorado, and Washington, for the 2014 subset (figure </w:t>
      </w:r>
      <w:r>
        <w:rPr>
          <w:rFonts w:ascii="Cambria" w:hAnsi="Cambria"/>
        </w:rPr>
        <w:t>S2</w:t>
      </w:r>
      <w:r w:rsidRPr="00517F5E">
        <w:rPr>
          <w:rFonts w:ascii="Cambria" w:hAnsi="Cambria"/>
        </w:rPr>
        <w:t xml:space="preserve">). </w:t>
      </w:r>
      <w:r>
        <w:rPr>
          <w:rFonts w:ascii="Cambria" w:hAnsi="Cambria"/>
        </w:rPr>
        <w:t xml:space="preserve">CBG </w:t>
      </w:r>
      <w:r>
        <w:rPr>
          <w:rFonts w:ascii="Cambria" w:hAnsi="Cambria"/>
        </w:rPr>
        <w:lastRenderedPageBreak/>
        <w:t xml:space="preserve">(figure S2A) shows significant overall variation (ANOVA p&lt;0.0001, F=13.09), and the </w:t>
      </w:r>
      <w:proofErr w:type="spellStart"/>
      <w:r>
        <w:rPr>
          <w:rFonts w:ascii="Cambria" w:hAnsi="Cambria"/>
        </w:rPr>
        <w:t>posthoc</w:t>
      </w:r>
      <w:proofErr w:type="spellEnd"/>
      <w:r>
        <w:rPr>
          <w:rFonts w:ascii="Cambria" w:hAnsi="Cambria"/>
        </w:rPr>
        <w:t xml:space="preserve"> assessment shows that the three states differ from each other with p-values of less than 0.03. Overall, </w:t>
      </w:r>
      <w:r w:rsidRPr="00517F5E">
        <w:rPr>
          <w:rFonts w:ascii="Cambria" w:hAnsi="Cambria"/>
        </w:rPr>
        <w:t xml:space="preserve">THC </w:t>
      </w:r>
      <w:r>
        <w:rPr>
          <w:rFonts w:ascii="Cambria" w:hAnsi="Cambria"/>
        </w:rPr>
        <w:t xml:space="preserve">(figure S2B) </w:t>
      </w:r>
      <w:r w:rsidRPr="00517F5E">
        <w:rPr>
          <w:rFonts w:ascii="Cambria" w:hAnsi="Cambria"/>
        </w:rPr>
        <w:t xml:space="preserve">differs across the three states (ANOVA p&lt;0.01, F = 33.74), and the </w:t>
      </w:r>
      <w:proofErr w:type="spellStart"/>
      <w:r w:rsidRPr="00517F5E">
        <w:rPr>
          <w:rFonts w:ascii="Cambria" w:hAnsi="Cambria"/>
        </w:rPr>
        <w:t>posthoc</w:t>
      </w:r>
      <w:proofErr w:type="spellEnd"/>
      <w:r w:rsidRPr="00517F5E">
        <w:rPr>
          <w:rFonts w:ascii="Cambria" w:hAnsi="Cambria"/>
        </w:rPr>
        <w:t xml:space="preserve"> analysis reveals that the three states are significantly different from each other. CBD</w:t>
      </w:r>
      <w:r>
        <w:rPr>
          <w:rFonts w:ascii="Cambria" w:hAnsi="Cambria"/>
        </w:rPr>
        <w:t xml:space="preserve"> (figure S2C) </w:t>
      </w:r>
      <w:r w:rsidRPr="00517F5E">
        <w:rPr>
          <w:rFonts w:ascii="Cambria" w:hAnsi="Cambria"/>
        </w:rPr>
        <w:t xml:space="preserve">also differs overall (ANOVA p&lt;0.0001, F = 4.837), however, the pairwise comparisons </w:t>
      </w:r>
      <w:r>
        <w:rPr>
          <w:rFonts w:ascii="Cambria" w:hAnsi="Cambria"/>
        </w:rPr>
        <w:t>show</w:t>
      </w:r>
      <w:r w:rsidRPr="00517F5E">
        <w:rPr>
          <w:rFonts w:ascii="Cambria" w:hAnsi="Cambria"/>
        </w:rPr>
        <w:t xml:space="preserve"> significant differences</w:t>
      </w:r>
      <w:r>
        <w:rPr>
          <w:rFonts w:ascii="Cambria" w:hAnsi="Cambria"/>
        </w:rPr>
        <w:t xml:space="preserve"> only between California and Colorado. Finally, CBC (figure S2D) varies significantly across the three states (ANOVA p&lt; 0.0001, F=45.08) but the </w:t>
      </w:r>
      <w:proofErr w:type="spellStart"/>
      <w:r>
        <w:rPr>
          <w:rFonts w:ascii="Cambria" w:hAnsi="Cambria"/>
        </w:rPr>
        <w:t>posthoc</w:t>
      </w:r>
      <w:proofErr w:type="spellEnd"/>
      <w:r>
        <w:rPr>
          <w:rFonts w:ascii="Cambria" w:hAnsi="Cambria"/>
        </w:rPr>
        <w:t xml:space="preserve"> test shows that California differs from Washington and Colorado, while Washington and Colorado are not significantly different from each other. Essentially, none of the three states have more or less of a particular cannabinoid. </w:t>
      </w:r>
    </w:p>
    <w:p w14:paraId="06B4844B" w14:textId="54CB24F1" w:rsidR="00926456" w:rsidRPr="00517F5E" w:rsidRDefault="00CC0618" w:rsidP="00926456">
      <w:pPr>
        <w:rPr>
          <w:rFonts w:ascii="Cambria" w:hAnsi="Cambria"/>
          <w:b/>
          <w:sz w:val="20"/>
          <w:szCs w:val="20"/>
        </w:rPr>
      </w:pPr>
      <w:r>
        <w:rPr>
          <w:rFonts w:ascii="Cambria" w:hAnsi="Cambria"/>
          <w:noProof/>
        </w:rPr>
        <w:drawing>
          <wp:inline distT="0" distB="0" distL="0" distR="0" wp14:anchorId="5DF5EC7D" wp14:editId="3EF15B9F">
            <wp:extent cx="5943600" cy="48456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2_ALL_2014_state_cannabinoids_29112018.pd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845685"/>
                    </a:xfrm>
                    <a:prstGeom prst="rect">
                      <a:avLst/>
                    </a:prstGeom>
                  </pic:spPr>
                </pic:pic>
              </a:graphicData>
            </a:graphic>
          </wp:inline>
        </w:drawing>
      </w:r>
      <w:r w:rsidR="00926456" w:rsidRPr="00926456">
        <w:rPr>
          <w:rFonts w:ascii="Cambria" w:hAnsi="Cambria"/>
          <w:b/>
          <w:sz w:val="20"/>
          <w:szCs w:val="20"/>
        </w:rPr>
        <w:t xml:space="preserve"> </w:t>
      </w:r>
      <w:r w:rsidR="00926456">
        <w:rPr>
          <w:rFonts w:ascii="Cambria" w:hAnsi="Cambria"/>
          <w:b/>
          <w:sz w:val="20"/>
          <w:szCs w:val="20"/>
        </w:rPr>
        <w:t>S2</w:t>
      </w:r>
      <w:r w:rsidR="007976E3">
        <w:rPr>
          <w:rFonts w:ascii="Cambria" w:hAnsi="Cambria"/>
          <w:b/>
          <w:sz w:val="20"/>
          <w:szCs w:val="20"/>
        </w:rPr>
        <w:t xml:space="preserve"> </w:t>
      </w:r>
      <w:r w:rsidR="007976E3" w:rsidRPr="00FB2D4F">
        <w:rPr>
          <w:rFonts w:ascii="Cambria" w:hAnsi="Cambria"/>
          <w:b/>
          <w:sz w:val="20"/>
          <w:szCs w:val="20"/>
        </w:rPr>
        <w:t>Fig</w:t>
      </w:r>
      <w:r w:rsidR="00926456">
        <w:rPr>
          <w:rFonts w:ascii="Cambria" w:hAnsi="Cambria"/>
          <w:sz w:val="20"/>
          <w:szCs w:val="20"/>
        </w:rPr>
        <w:t>.</w:t>
      </w:r>
      <w:r w:rsidR="00926456">
        <w:rPr>
          <w:rFonts w:ascii="Cambria" w:hAnsi="Cambria"/>
          <w:b/>
          <w:sz w:val="20"/>
          <w:szCs w:val="20"/>
        </w:rPr>
        <w:t xml:space="preserve"> Distribution of four cannabinoids, CBG (A), THC (B), CBD (C), and CBC (D) across three states for 2014. </w:t>
      </w:r>
      <w:r w:rsidR="00926456">
        <w:rPr>
          <w:rFonts w:ascii="Cambria" w:hAnsi="Cambria"/>
          <w:sz w:val="20"/>
          <w:szCs w:val="20"/>
        </w:rPr>
        <w:t xml:space="preserve">Pairwise comparisons for each panel: </w:t>
      </w:r>
      <w:r w:rsidR="00926456">
        <w:rPr>
          <w:rFonts w:ascii="Cambria" w:hAnsi="Cambria"/>
          <w:b/>
          <w:sz w:val="20"/>
          <w:szCs w:val="20"/>
        </w:rPr>
        <w:t>A</w:t>
      </w:r>
      <w:r w:rsidR="00926456">
        <w:rPr>
          <w:rFonts w:ascii="Cambria" w:hAnsi="Cambria"/>
          <w:sz w:val="20"/>
          <w:szCs w:val="20"/>
        </w:rPr>
        <w:t xml:space="preserve"> California-Colorado p&lt;0.03; California-Washington p&lt;0.0001; Washington-Colorado p&lt;0.01. </w:t>
      </w:r>
      <w:r w:rsidR="00926456">
        <w:rPr>
          <w:rFonts w:ascii="Cambria" w:hAnsi="Cambria"/>
          <w:b/>
          <w:sz w:val="20"/>
          <w:szCs w:val="20"/>
        </w:rPr>
        <w:t xml:space="preserve">B </w:t>
      </w:r>
      <w:r w:rsidR="00926456">
        <w:rPr>
          <w:rFonts w:ascii="Cambria" w:hAnsi="Cambria"/>
          <w:sz w:val="20"/>
          <w:szCs w:val="20"/>
        </w:rPr>
        <w:t xml:space="preserve">California-Colorado p&lt;0.01; California-Washington p&lt;0.0001; Washington-Colorado p&lt;0.0001. </w:t>
      </w:r>
      <w:r w:rsidR="00926456">
        <w:rPr>
          <w:rFonts w:ascii="Cambria" w:hAnsi="Cambria"/>
          <w:b/>
          <w:sz w:val="20"/>
          <w:szCs w:val="20"/>
        </w:rPr>
        <w:t xml:space="preserve">C </w:t>
      </w:r>
      <w:r w:rsidR="00926456">
        <w:rPr>
          <w:rFonts w:ascii="Cambria" w:hAnsi="Cambria"/>
          <w:sz w:val="20"/>
          <w:szCs w:val="20"/>
        </w:rPr>
        <w:t>California-Colorado p&lt;0.01; California-Washington p=NS; Washington-</w:t>
      </w:r>
      <w:r w:rsidR="00926456">
        <w:rPr>
          <w:rFonts w:ascii="Cambria" w:hAnsi="Cambria"/>
          <w:sz w:val="20"/>
          <w:szCs w:val="20"/>
        </w:rPr>
        <w:lastRenderedPageBreak/>
        <w:t xml:space="preserve">Colorado p=NS. </w:t>
      </w:r>
      <w:r w:rsidR="00926456">
        <w:rPr>
          <w:rFonts w:ascii="Cambria" w:hAnsi="Cambria"/>
          <w:b/>
          <w:sz w:val="20"/>
          <w:szCs w:val="20"/>
        </w:rPr>
        <w:t xml:space="preserve">D </w:t>
      </w:r>
      <w:r w:rsidR="00926456">
        <w:rPr>
          <w:rFonts w:ascii="Cambria" w:hAnsi="Cambria"/>
          <w:sz w:val="20"/>
          <w:szCs w:val="20"/>
        </w:rPr>
        <w:t>California-Colorado p&lt;0.0001; California-Washington p&lt;0.0001; Washington-Colorado p=NS.</w:t>
      </w:r>
    </w:p>
    <w:p w14:paraId="5B1988C2" w14:textId="019979EE" w:rsidR="0067316F" w:rsidRDefault="0067316F" w:rsidP="0067316F">
      <w:pPr>
        <w:spacing w:line="360" w:lineRule="auto"/>
        <w:rPr>
          <w:rFonts w:ascii="Cambria" w:hAnsi="Cambria"/>
        </w:rPr>
      </w:pPr>
    </w:p>
    <w:p w14:paraId="77E7412D" w14:textId="77777777" w:rsidR="00926456" w:rsidRDefault="00926456" w:rsidP="0067316F">
      <w:pPr>
        <w:spacing w:line="360" w:lineRule="auto"/>
        <w:rPr>
          <w:rFonts w:ascii="Cambria" w:hAnsi="Cambria"/>
        </w:rPr>
      </w:pPr>
    </w:p>
    <w:p w14:paraId="7DA06B9D" w14:textId="77777777" w:rsidR="0067316F" w:rsidRPr="00887149" w:rsidRDefault="0067316F" w:rsidP="0067316F">
      <w:pPr>
        <w:spacing w:line="360" w:lineRule="auto"/>
        <w:rPr>
          <w:rFonts w:ascii="Cambria" w:hAnsi="Cambria"/>
          <w:b/>
          <w:sz w:val="32"/>
          <w:szCs w:val="32"/>
        </w:rPr>
      </w:pPr>
      <w:r w:rsidRPr="00887149">
        <w:rPr>
          <w:rFonts w:ascii="Cambria" w:hAnsi="Cambria"/>
          <w:b/>
          <w:sz w:val="32"/>
          <w:szCs w:val="32"/>
        </w:rPr>
        <w:t>Analysis through time</w:t>
      </w:r>
    </w:p>
    <w:p w14:paraId="732741EF" w14:textId="77777777" w:rsidR="00DF70A7" w:rsidRPr="00E96A4D" w:rsidRDefault="00DF70A7" w:rsidP="00DF70A7">
      <w:pPr>
        <w:spacing w:line="360" w:lineRule="auto"/>
        <w:ind w:firstLine="720"/>
        <w:rPr>
          <w:rFonts w:ascii="Cambria" w:hAnsi="Cambria"/>
        </w:rPr>
      </w:pPr>
      <w:r w:rsidRPr="00E96A4D">
        <w:rPr>
          <w:rFonts w:ascii="Cambria" w:hAnsi="Cambria"/>
        </w:rPr>
        <w:t xml:space="preserve">Since California was the only state that had samples from every year for eight years (Table </w:t>
      </w:r>
      <w:r>
        <w:rPr>
          <w:rFonts w:ascii="Cambria" w:hAnsi="Cambria"/>
        </w:rPr>
        <w:t>S1</w:t>
      </w:r>
      <w:r w:rsidRPr="00E96A4D">
        <w:rPr>
          <w:rFonts w:ascii="Cambria" w:hAnsi="Cambria"/>
        </w:rPr>
        <w:t xml:space="preserve">), we only included this state for our time analysis for only four of the cannabinoids: CBG, THC, CBD and CBC. </w:t>
      </w:r>
      <w:r>
        <w:rPr>
          <w:rFonts w:ascii="Cambria" w:hAnsi="Cambria"/>
        </w:rPr>
        <w:t xml:space="preserve">With our one way ANOVA with each of the </w:t>
      </w:r>
      <w:r w:rsidRPr="001E6757">
        <w:rPr>
          <w:rFonts w:ascii="Cambria" w:hAnsi="Cambria"/>
        </w:rPr>
        <w:t xml:space="preserve">cannabinoids as the response variable and year as a factor, and with a posterior </w:t>
      </w:r>
      <w:proofErr w:type="spellStart"/>
      <w:r w:rsidRPr="001E6757">
        <w:rPr>
          <w:rFonts w:ascii="Cambria" w:hAnsi="Cambria"/>
        </w:rPr>
        <w:t>posthoc</w:t>
      </w:r>
      <w:proofErr w:type="spellEnd"/>
      <w:r w:rsidRPr="001E6757">
        <w:rPr>
          <w:rFonts w:ascii="Cambria" w:hAnsi="Cambria"/>
        </w:rPr>
        <w:t xml:space="preserve"> analysis we </w:t>
      </w:r>
      <w:r>
        <w:rPr>
          <w:rFonts w:ascii="Cambria" w:hAnsi="Cambria"/>
        </w:rPr>
        <w:t xml:space="preserve">found that overall, every single cannabinoid showed significant differences: </w:t>
      </w:r>
      <w:r w:rsidRPr="0053114F">
        <w:rPr>
          <w:rFonts w:ascii="Cambria" w:hAnsi="Cambria"/>
        </w:rPr>
        <w:t>CBG (</w:t>
      </w:r>
      <w:r>
        <w:rPr>
          <w:rFonts w:ascii="Cambria" w:hAnsi="Cambria"/>
        </w:rPr>
        <w:t>F= 234</w:t>
      </w:r>
      <w:r w:rsidRPr="0053114F">
        <w:rPr>
          <w:rFonts w:ascii="Cambria" w:hAnsi="Cambria"/>
        </w:rPr>
        <w:t>.4</w:t>
      </w:r>
      <w:r>
        <w:rPr>
          <w:rFonts w:ascii="Cambria" w:hAnsi="Cambria"/>
        </w:rPr>
        <w:t>, p</w:t>
      </w:r>
      <w:r w:rsidRPr="0053114F">
        <w:rPr>
          <w:rFonts w:ascii="Cambria" w:hAnsi="Cambria"/>
        </w:rPr>
        <w:t xml:space="preserve"> &lt;</w:t>
      </w:r>
      <w:r>
        <w:rPr>
          <w:rFonts w:ascii="Cambria" w:hAnsi="Cambria"/>
        </w:rPr>
        <w:t>0.0001, figure S3A</w:t>
      </w:r>
      <w:r w:rsidRPr="0053114F">
        <w:rPr>
          <w:rFonts w:ascii="Cambria" w:hAnsi="Cambria"/>
        </w:rPr>
        <w:t>)</w:t>
      </w:r>
      <w:r>
        <w:rPr>
          <w:rFonts w:ascii="Cambria" w:hAnsi="Cambria"/>
        </w:rPr>
        <w:t xml:space="preserve">; </w:t>
      </w:r>
      <w:r w:rsidRPr="0053114F">
        <w:rPr>
          <w:rFonts w:ascii="Cambria" w:hAnsi="Cambria"/>
        </w:rPr>
        <w:t>THC (</w:t>
      </w:r>
      <w:r>
        <w:rPr>
          <w:rFonts w:ascii="Cambria" w:hAnsi="Cambria"/>
        </w:rPr>
        <w:t xml:space="preserve">F = </w:t>
      </w:r>
      <w:r w:rsidRPr="0053114F">
        <w:rPr>
          <w:rFonts w:ascii="Cambria" w:hAnsi="Cambria"/>
        </w:rPr>
        <w:t>15</w:t>
      </w:r>
      <w:r>
        <w:rPr>
          <w:rFonts w:ascii="Cambria" w:hAnsi="Cambria"/>
        </w:rPr>
        <w:t>8</w:t>
      </w:r>
      <w:r w:rsidRPr="0053114F">
        <w:rPr>
          <w:rFonts w:ascii="Cambria" w:hAnsi="Cambria"/>
        </w:rPr>
        <w:t>.</w:t>
      </w:r>
      <w:r>
        <w:rPr>
          <w:rFonts w:ascii="Cambria" w:hAnsi="Cambria"/>
        </w:rPr>
        <w:t>9, p</w:t>
      </w:r>
      <w:r w:rsidRPr="0053114F">
        <w:rPr>
          <w:rFonts w:ascii="Cambria" w:hAnsi="Cambria"/>
        </w:rPr>
        <w:t xml:space="preserve"> &lt;</w:t>
      </w:r>
      <w:r>
        <w:rPr>
          <w:rFonts w:ascii="Cambria" w:hAnsi="Cambria"/>
        </w:rPr>
        <w:t>0.0001, figure S3B</w:t>
      </w:r>
      <w:r w:rsidRPr="0053114F">
        <w:rPr>
          <w:rFonts w:ascii="Cambria" w:hAnsi="Cambria"/>
        </w:rPr>
        <w:t>)</w:t>
      </w:r>
      <w:r>
        <w:rPr>
          <w:rFonts w:ascii="Cambria" w:hAnsi="Cambria"/>
        </w:rPr>
        <w:t xml:space="preserve">; </w:t>
      </w:r>
      <w:r w:rsidRPr="0053114F">
        <w:rPr>
          <w:rFonts w:ascii="Cambria" w:hAnsi="Cambria"/>
        </w:rPr>
        <w:t>CBD (</w:t>
      </w:r>
      <w:r>
        <w:rPr>
          <w:rFonts w:ascii="Cambria" w:hAnsi="Cambria"/>
        </w:rPr>
        <w:t xml:space="preserve">F= </w:t>
      </w:r>
      <w:r w:rsidRPr="0053114F">
        <w:rPr>
          <w:rFonts w:ascii="Cambria" w:hAnsi="Cambria"/>
        </w:rPr>
        <w:t>7</w:t>
      </w:r>
      <w:r>
        <w:rPr>
          <w:rFonts w:ascii="Cambria" w:hAnsi="Cambria"/>
        </w:rPr>
        <w:t>2</w:t>
      </w:r>
      <w:r w:rsidRPr="0053114F">
        <w:rPr>
          <w:rFonts w:ascii="Cambria" w:hAnsi="Cambria"/>
        </w:rPr>
        <w:t>.</w:t>
      </w:r>
      <w:r>
        <w:rPr>
          <w:rFonts w:ascii="Cambria" w:hAnsi="Cambria"/>
        </w:rPr>
        <w:t>66, p</w:t>
      </w:r>
      <w:r w:rsidRPr="0053114F">
        <w:rPr>
          <w:rFonts w:ascii="Cambria" w:hAnsi="Cambria"/>
        </w:rPr>
        <w:t xml:space="preserve"> &lt;</w:t>
      </w:r>
      <w:r>
        <w:rPr>
          <w:rFonts w:ascii="Cambria" w:hAnsi="Cambria"/>
        </w:rPr>
        <w:t>0.0001, figure S3C</w:t>
      </w:r>
      <w:r w:rsidRPr="0053114F">
        <w:rPr>
          <w:rFonts w:ascii="Cambria" w:hAnsi="Cambria"/>
        </w:rPr>
        <w:t>)</w:t>
      </w:r>
      <w:r>
        <w:rPr>
          <w:rFonts w:ascii="Cambria" w:hAnsi="Cambria"/>
        </w:rPr>
        <w:t xml:space="preserve">; and </w:t>
      </w:r>
      <w:r w:rsidRPr="0053114F">
        <w:rPr>
          <w:rFonts w:ascii="Cambria" w:hAnsi="Cambria"/>
        </w:rPr>
        <w:t>CBC (</w:t>
      </w:r>
      <w:r>
        <w:rPr>
          <w:rFonts w:ascii="Cambria" w:hAnsi="Cambria"/>
        </w:rPr>
        <w:t>F= 5</w:t>
      </w:r>
      <w:r w:rsidRPr="0053114F">
        <w:rPr>
          <w:rFonts w:ascii="Cambria" w:hAnsi="Cambria"/>
        </w:rPr>
        <w:t>.0</w:t>
      </w:r>
      <w:r>
        <w:rPr>
          <w:rFonts w:ascii="Cambria" w:hAnsi="Cambria"/>
        </w:rPr>
        <w:t>8,</w:t>
      </w:r>
      <w:r w:rsidRPr="0053114F">
        <w:rPr>
          <w:rFonts w:ascii="Cambria" w:hAnsi="Cambria"/>
        </w:rPr>
        <w:t xml:space="preserve"> </w:t>
      </w:r>
      <w:r>
        <w:rPr>
          <w:rFonts w:ascii="Cambria" w:hAnsi="Cambria"/>
        </w:rPr>
        <w:t xml:space="preserve">p &lt; </w:t>
      </w:r>
      <w:r w:rsidRPr="0053114F">
        <w:rPr>
          <w:rFonts w:ascii="Cambria" w:hAnsi="Cambria"/>
        </w:rPr>
        <w:t>0.0</w:t>
      </w:r>
      <w:r>
        <w:rPr>
          <w:rFonts w:ascii="Cambria" w:hAnsi="Cambria"/>
        </w:rPr>
        <w:t>3, figure S3D</w:t>
      </w:r>
      <w:r w:rsidRPr="0053114F">
        <w:rPr>
          <w:rFonts w:ascii="Cambria" w:hAnsi="Cambria"/>
        </w:rPr>
        <w:t>)</w:t>
      </w:r>
      <w:r>
        <w:rPr>
          <w:rFonts w:ascii="Cambria" w:hAnsi="Cambria"/>
        </w:rPr>
        <w:t xml:space="preserve">. However, there is not one year where all cannabinoids differ, or there is not one year that differs from all of the other years (Tables S2 and S3). For CBG (Table S2 upper half) or CBD (Table S3 upper half) no year is significantly different from the rest. However, 2015 for THC (Table S2 bottom half) shows significant differences from the rest of the years due to the low levels of the cannabinoid (figure S3B). Similarly, in 2018, CBC (Table S3 bottom half) differs significantly form the other years but due to its high levels (figure S3D). In general, we see no </w:t>
      </w:r>
      <w:r w:rsidRPr="00E96A4D">
        <w:rPr>
          <w:rFonts w:ascii="Cambria" w:hAnsi="Cambria"/>
        </w:rPr>
        <w:t xml:space="preserve">trend for time in increase or decrease of particular cannabinoids in California. </w:t>
      </w:r>
    </w:p>
    <w:p w14:paraId="441975F8" w14:textId="77777777" w:rsidR="00DF70A7" w:rsidRDefault="00DF70A7" w:rsidP="00DF70A7">
      <w:pPr>
        <w:spacing w:line="360" w:lineRule="auto"/>
        <w:rPr>
          <w:rFonts w:ascii="Cambria" w:hAnsi="Cambria"/>
        </w:rPr>
      </w:pPr>
    </w:p>
    <w:p w14:paraId="1FCF8695" w14:textId="77777777" w:rsidR="00DF70A7" w:rsidRPr="00823014" w:rsidRDefault="00DF70A7" w:rsidP="00DF70A7">
      <w:pPr>
        <w:spacing w:line="360" w:lineRule="auto"/>
        <w:rPr>
          <w:rFonts w:ascii="Cambria" w:hAnsi="Cambria"/>
        </w:rPr>
      </w:pPr>
      <w:r>
        <w:rPr>
          <w:rFonts w:ascii="Cambria" w:hAnsi="Cambria"/>
          <w:noProof/>
        </w:rPr>
        <w:lastRenderedPageBreak/>
        <w:drawing>
          <wp:inline distT="0" distB="0" distL="0" distR="0" wp14:anchorId="2BAD0304" wp14:editId="27596F2C">
            <wp:extent cx="5943600" cy="47650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L_cali_yr_vs_Cannabinoids_28112018.pd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765040"/>
                    </a:xfrm>
                    <a:prstGeom prst="rect">
                      <a:avLst/>
                    </a:prstGeom>
                  </pic:spPr>
                </pic:pic>
              </a:graphicData>
            </a:graphic>
          </wp:inline>
        </w:drawing>
      </w:r>
    </w:p>
    <w:p w14:paraId="776AD3A6" w14:textId="10550EFD" w:rsidR="00DF70A7" w:rsidRDefault="00DF70A7" w:rsidP="00DF70A7">
      <w:pPr>
        <w:rPr>
          <w:rFonts w:ascii="Cambria" w:hAnsi="Cambria"/>
          <w:sz w:val="20"/>
          <w:szCs w:val="20"/>
        </w:rPr>
      </w:pPr>
      <w:r>
        <w:rPr>
          <w:rFonts w:ascii="Cambria" w:hAnsi="Cambria"/>
          <w:b/>
          <w:sz w:val="20"/>
          <w:szCs w:val="20"/>
        </w:rPr>
        <w:t>S3</w:t>
      </w:r>
      <w:r w:rsidR="007976E3">
        <w:rPr>
          <w:rFonts w:ascii="Cambria" w:hAnsi="Cambria"/>
          <w:b/>
          <w:sz w:val="20"/>
          <w:szCs w:val="20"/>
        </w:rPr>
        <w:t xml:space="preserve"> </w:t>
      </w:r>
      <w:r w:rsidR="007976E3" w:rsidRPr="00FB2D4F">
        <w:rPr>
          <w:rFonts w:ascii="Cambria" w:hAnsi="Cambria"/>
          <w:b/>
          <w:sz w:val="20"/>
          <w:szCs w:val="20"/>
        </w:rPr>
        <w:t>Fig</w:t>
      </w:r>
      <w:r>
        <w:rPr>
          <w:rFonts w:ascii="Cambria" w:hAnsi="Cambria"/>
          <w:b/>
          <w:sz w:val="20"/>
          <w:szCs w:val="20"/>
        </w:rPr>
        <w:t>. Distribution of four cannabinoids across eight years for the state of California.</w:t>
      </w:r>
      <w:r>
        <w:rPr>
          <w:rFonts w:ascii="Cambria" w:hAnsi="Cambria"/>
          <w:sz w:val="20"/>
          <w:szCs w:val="20"/>
        </w:rPr>
        <w:t xml:space="preserve"> CBG</w:t>
      </w:r>
      <w:r>
        <w:rPr>
          <w:rFonts w:ascii="Cambria" w:hAnsi="Cambria"/>
          <w:b/>
          <w:sz w:val="20"/>
          <w:szCs w:val="20"/>
        </w:rPr>
        <w:t xml:space="preserve"> (A) </w:t>
      </w:r>
      <w:r>
        <w:rPr>
          <w:rFonts w:ascii="Cambria" w:hAnsi="Cambria"/>
          <w:sz w:val="20"/>
          <w:szCs w:val="20"/>
        </w:rPr>
        <w:t xml:space="preserve">has no year that differs significantly from all other years. 2015 was significantly lower in THC </w:t>
      </w:r>
      <w:r>
        <w:rPr>
          <w:rFonts w:ascii="Cambria" w:hAnsi="Cambria"/>
          <w:b/>
          <w:sz w:val="20"/>
          <w:szCs w:val="20"/>
        </w:rPr>
        <w:t xml:space="preserve">(B) </w:t>
      </w:r>
      <w:r>
        <w:rPr>
          <w:rFonts w:ascii="Cambria" w:hAnsi="Cambria"/>
          <w:sz w:val="20"/>
          <w:szCs w:val="20"/>
        </w:rPr>
        <w:t xml:space="preserve">production compared to the rest of the years. For CBD </w:t>
      </w:r>
      <w:r>
        <w:rPr>
          <w:rFonts w:ascii="Cambria" w:hAnsi="Cambria"/>
          <w:b/>
          <w:sz w:val="20"/>
          <w:szCs w:val="20"/>
        </w:rPr>
        <w:t xml:space="preserve">(C), </w:t>
      </w:r>
      <w:r>
        <w:rPr>
          <w:rFonts w:ascii="Cambria" w:hAnsi="Cambria"/>
          <w:sz w:val="20"/>
          <w:szCs w:val="20"/>
        </w:rPr>
        <w:t>no year was significantly different, and for CBC</w:t>
      </w:r>
      <w:r>
        <w:rPr>
          <w:rFonts w:ascii="Cambria" w:hAnsi="Cambria"/>
          <w:b/>
          <w:sz w:val="20"/>
          <w:szCs w:val="20"/>
        </w:rPr>
        <w:t xml:space="preserve"> (D) </w:t>
      </w:r>
      <w:r>
        <w:rPr>
          <w:rFonts w:ascii="Cambria" w:hAnsi="Cambria"/>
          <w:sz w:val="20"/>
          <w:szCs w:val="20"/>
        </w:rPr>
        <w:t xml:space="preserve">2018 had significantly higher levels when compared to the other seven years. All pair comparisons are given in tables S1 and S2. </w:t>
      </w:r>
    </w:p>
    <w:p w14:paraId="6B747D1E" w14:textId="082F1A60" w:rsidR="003E1AEB" w:rsidRDefault="003E1AEB" w:rsidP="00DF70A7">
      <w:pPr>
        <w:rPr>
          <w:rFonts w:ascii="Cambria" w:hAnsi="Cambria"/>
        </w:rPr>
      </w:pPr>
    </w:p>
    <w:p w14:paraId="121389C7" w14:textId="77777777" w:rsidR="003E1AEB" w:rsidRDefault="003E1AEB" w:rsidP="00DF70A7">
      <w:pPr>
        <w:rPr>
          <w:rFonts w:ascii="Cambria" w:hAnsi="Cambria"/>
        </w:rPr>
      </w:pPr>
    </w:p>
    <w:p w14:paraId="02A89939" w14:textId="0C3A6C6E" w:rsidR="003E1AEB" w:rsidRPr="00887149" w:rsidRDefault="003E1AEB" w:rsidP="00DF70A7">
      <w:pPr>
        <w:rPr>
          <w:rFonts w:ascii="Cambria" w:hAnsi="Cambria"/>
        </w:rPr>
      </w:pPr>
      <w:r w:rsidRPr="00887149">
        <w:rPr>
          <w:rFonts w:ascii="Cambria" w:hAnsi="Cambria"/>
          <w:b/>
        </w:rPr>
        <w:t>Table S</w:t>
      </w:r>
      <w:r w:rsidR="00FA627D">
        <w:rPr>
          <w:rFonts w:ascii="Cambria" w:hAnsi="Cambria"/>
          <w:b/>
        </w:rPr>
        <w:t>1</w:t>
      </w:r>
      <w:r w:rsidRPr="00887149">
        <w:rPr>
          <w:rFonts w:ascii="Cambria" w:hAnsi="Cambria"/>
          <w:b/>
        </w:rPr>
        <w:t>.</w:t>
      </w:r>
      <w:r w:rsidRPr="00887149">
        <w:rPr>
          <w:rFonts w:ascii="Cambria" w:hAnsi="Cambria"/>
        </w:rPr>
        <w:t xml:space="preserve"> </w:t>
      </w:r>
      <w:r w:rsidRPr="00887149">
        <w:rPr>
          <w:rFonts w:ascii="Cambria" w:hAnsi="Cambria"/>
          <w:b/>
        </w:rPr>
        <w:t>Pairwise comparison between years for CBG (upper triangle) and THC (lower triangle).</w:t>
      </w:r>
    </w:p>
    <w:tbl>
      <w:tblPr>
        <w:tblW w:w="10512" w:type="dxa"/>
        <w:tblLook w:val="04A0" w:firstRow="1" w:lastRow="0" w:firstColumn="1" w:lastColumn="0" w:noHBand="0" w:noVBand="1"/>
      </w:tblPr>
      <w:tblGrid>
        <w:gridCol w:w="1412"/>
        <w:gridCol w:w="703"/>
        <w:gridCol w:w="1020"/>
        <w:gridCol w:w="1020"/>
        <w:gridCol w:w="1005"/>
        <w:gridCol w:w="1060"/>
        <w:gridCol w:w="1300"/>
        <w:gridCol w:w="1080"/>
        <w:gridCol w:w="1005"/>
        <w:gridCol w:w="1005"/>
      </w:tblGrid>
      <w:tr w:rsidR="00DF70A7" w:rsidRPr="004242BB" w14:paraId="45E989E0" w14:textId="77777777" w:rsidTr="00A21264">
        <w:trPr>
          <w:trHeight w:val="320"/>
        </w:trPr>
        <w:tc>
          <w:tcPr>
            <w:tcW w:w="1412" w:type="dxa"/>
            <w:tcBorders>
              <w:top w:val="nil"/>
              <w:left w:val="nil"/>
              <w:bottom w:val="nil"/>
              <w:right w:val="nil"/>
            </w:tcBorders>
            <w:shd w:val="clear" w:color="auto" w:fill="auto"/>
            <w:noWrap/>
            <w:vAlign w:val="bottom"/>
            <w:hideMark/>
          </w:tcPr>
          <w:p w14:paraId="5846791F" w14:textId="77777777" w:rsidR="00DF70A7" w:rsidRPr="004242BB" w:rsidRDefault="00DF70A7" w:rsidP="00A21264"/>
        </w:tc>
        <w:tc>
          <w:tcPr>
            <w:tcW w:w="680" w:type="dxa"/>
            <w:tcBorders>
              <w:top w:val="nil"/>
              <w:left w:val="nil"/>
              <w:bottom w:val="nil"/>
              <w:right w:val="nil"/>
            </w:tcBorders>
            <w:shd w:val="clear" w:color="auto" w:fill="auto"/>
            <w:noWrap/>
            <w:vAlign w:val="bottom"/>
            <w:hideMark/>
          </w:tcPr>
          <w:p w14:paraId="22A170CE" w14:textId="77777777" w:rsidR="00DF70A7" w:rsidRPr="004242BB" w:rsidRDefault="00DF70A7" w:rsidP="00A21264">
            <w:pPr>
              <w:rPr>
                <w:sz w:val="20"/>
                <w:szCs w:val="20"/>
              </w:rPr>
            </w:pPr>
          </w:p>
        </w:tc>
        <w:tc>
          <w:tcPr>
            <w:tcW w:w="2040" w:type="dxa"/>
            <w:gridSpan w:val="2"/>
            <w:tcBorders>
              <w:top w:val="nil"/>
              <w:left w:val="nil"/>
              <w:bottom w:val="nil"/>
              <w:right w:val="nil"/>
            </w:tcBorders>
            <w:shd w:val="clear" w:color="auto" w:fill="auto"/>
            <w:noWrap/>
            <w:vAlign w:val="bottom"/>
            <w:hideMark/>
          </w:tcPr>
          <w:p w14:paraId="267160CF" w14:textId="77777777" w:rsidR="00DF70A7" w:rsidRPr="004242BB" w:rsidRDefault="00DF70A7" w:rsidP="00A21264">
            <w:pPr>
              <w:rPr>
                <w:rFonts w:ascii="Calibri" w:hAnsi="Calibri" w:cs="Calibri"/>
                <w:color w:val="000000"/>
              </w:rPr>
            </w:pPr>
            <w:r w:rsidRPr="004242BB">
              <w:rPr>
                <w:rFonts w:ascii="Calibri" w:hAnsi="Calibri" w:cs="Calibri"/>
                <w:color w:val="000000"/>
              </w:rPr>
              <w:t>CBG California</w:t>
            </w:r>
          </w:p>
        </w:tc>
        <w:tc>
          <w:tcPr>
            <w:tcW w:w="980" w:type="dxa"/>
            <w:tcBorders>
              <w:top w:val="nil"/>
              <w:left w:val="nil"/>
              <w:bottom w:val="nil"/>
              <w:right w:val="nil"/>
            </w:tcBorders>
            <w:shd w:val="clear" w:color="auto" w:fill="auto"/>
            <w:noWrap/>
            <w:vAlign w:val="bottom"/>
            <w:hideMark/>
          </w:tcPr>
          <w:p w14:paraId="669BB419" w14:textId="77777777" w:rsidR="00DF70A7" w:rsidRPr="004242BB" w:rsidRDefault="00DF70A7" w:rsidP="00A21264">
            <w:pPr>
              <w:rPr>
                <w:rFonts w:ascii="Calibri" w:hAnsi="Calibri" w:cs="Calibri"/>
                <w:color w:val="000000"/>
              </w:rPr>
            </w:pPr>
          </w:p>
        </w:tc>
        <w:tc>
          <w:tcPr>
            <w:tcW w:w="1060" w:type="dxa"/>
            <w:tcBorders>
              <w:top w:val="nil"/>
              <w:left w:val="nil"/>
              <w:bottom w:val="nil"/>
              <w:right w:val="nil"/>
            </w:tcBorders>
            <w:shd w:val="clear" w:color="auto" w:fill="auto"/>
            <w:noWrap/>
            <w:vAlign w:val="bottom"/>
            <w:hideMark/>
          </w:tcPr>
          <w:p w14:paraId="7E59072F" w14:textId="77777777" w:rsidR="00DF70A7" w:rsidRPr="004242BB" w:rsidRDefault="00DF70A7" w:rsidP="00A21264">
            <w:pPr>
              <w:rPr>
                <w:sz w:val="20"/>
                <w:szCs w:val="20"/>
              </w:rPr>
            </w:pPr>
          </w:p>
        </w:tc>
        <w:tc>
          <w:tcPr>
            <w:tcW w:w="1300" w:type="dxa"/>
            <w:tcBorders>
              <w:top w:val="nil"/>
              <w:left w:val="nil"/>
              <w:bottom w:val="nil"/>
              <w:right w:val="nil"/>
            </w:tcBorders>
            <w:shd w:val="clear" w:color="auto" w:fill="auto"/>
            <w:noWrap/>
            <w:vAlign w:val="bottom"/>
            <w:hideMark/>
          </w:tcPr>
          <w:p w14:paraId="387589B0" w14:textId="77777777" w:rsidR="00DF70A7" w:rsidRPr="004242BB" w:rsidRDefault="00DF70A7" w:rsidP="00A21264">
            <w:pPr>
              <w:rPr>
                <w:sz w:val="20"/>
                <w:szCs w:val="20"/>
              </w:rPr>
            </w:pPr>
          </w:p>
        </w:tc>
        <w:tc>
          <w:tcPr>
            <w:tcW w:w="1080" w:type="dxa"/>
            <w:tcBorders>
              <w:top w:val="nil"/>
              <w:left w:val="nil"/>
              <w:bottom w:val="nil"/>
              <w:right w:val="nil"/>
            </w:tcBorders>
            <w:shd w:val="clear" w:color="auto" w:fill="auto"/>
            <w:noWrap/>
            <w:vAlign w:val="bottom"/>
            <w:hideMark/>
          </w:tcPr>
          <w:p w14:paraId="10300945" w14:textId="77777777" w:rsidR="00DF70A7" w:rsidRPr="004242BB" w:rsidRDefault="00DF70A7" w:rsidP="00A21264">
            <w:pPr>
              <w:rPr>
                <w:sz w:val="20"/>
                <w:szCs w:val="20"/>
              </w:rPr>
            </w:pPr>
          </w:p>
        </w:tc>
        <w:tc>
          <w:tcPr>
            <w:tcW w:w="980" w:type="dxa"/>
            <w:tcBorders>
              <w:top w:val="nil"/>
              <w:left w:val="nil"/>
              <w:bottom w:val="nil"/>
              <w:right w:val="nil"/>
            </w:tcBorders>
            <w:shd w:val="clear" w:color="auto" w:fill="auto"/>
            <w:noWrap/>
            <w:vAlign w:val="bottom"/>
            <w:hideMark/>
          </w:tcPr>
          <w:p w14:paraId="1DE057DD" w14:textId="77777777" w:rsidR="00DF70A7" w:rsidRPr="004242BB" w:rsidRDefault="00DF70A7" w:rsidP="00A21264">
            <w:pPr>
              <w:rPr>
                <w:sz w:val="20"/>
                <w:szCs w:val="20"/>
              </w:rPr>
            </w:pPr>
          </w:p>
        </w:tc>
        <w:tc>
          <w:tcPr>
            <w:tcW w:w="980" w:type="dxa"/>
            <w:tcBorders>
              <w:top w:val="nil"/>
              <w:left w:val="nil"/>
              <w:bottom w:val="nil"/>
              <w:right w:val="nil"/>
            </w:tcBorders>
            <w:shd w:val="clear" w:color="auto" w:fill="auto"/>
            <w:noWrap/>
            <w:vAlign w:val="bottom"/>
            <w:hideMark/>
          </w:tcPr>
          <w:p w14:paraId="42976AD0" w14:textId="77777777" w:rsidR="00DF70A7" w:rsidRPr="004242BB" w:rsidRDefault="00DF70A7" w:rsidP="00A21264">
            <w:pPr>
              <w:rPr>
                <w:sz w:val="20"/>
                <w:szCs w:val="20"/>
              </w:rPr>
            </w:pPr>
          </w:p>
        </w:tc>
      </w:tr>
      <w:tr w:rsidR="00DF70A7" w:rsidRPr="004242BB" w14:paraId="4BB183BE" w14:textId="77777777" w:rsidTr="00A21264">
        <w:trPr>
          <w:trHeight w:val="320"/>
        </w:trPr>
        <w:tc>
          <w:tcPr>
            <w:tcW w:w="1412" w:type="dxa"/>
            <w:tcBorders>
              <w:top w:val="nil"/>
              <w:left w:val="nil"/>
              <w:bottom w:val="nil"/>
              <w:right w:val="nil"/>
            </w:tcBorders>
            <w:shd w:val="clear" w:color="auto" w:fill="auto"/>
            <w:noWrap/>
            <w:vAlign w:val="bottom"/>
            <w:hideMark/>
          </w:tcPr>
          <w:p w14:paraId="2B5B27D3" w14:textId="77777777" w:rsidR="00DF70A7" w:rsidRPr="004242BB" w:rsidRDefault="00DF70A7" w:rsidP="00A21264">
            <w:pPr>
              <w:rPr>
                <w:sz w:val="20"/>
                <w:szCs w:val="20"/>
              </w:rPr>
            </w:pPr>
          </w:p>
        </w:tc>
        <w:tc>
          <w:tcPr>
            <w:tcW w:w="680" w:type="dxa"/>
            <w:tcBorders>
              <w:top w:val="nil"/>
              <w:left w:val="nil"/>
              <w:bottom w:val="nil"/>
              <w:right w:val="nil"/>
            </w:tcBorders>
            <w:shd w:val="clear" w:color="auto" w:fill="auto"/>
            <w:noWrap/>
            <w:vAlign w:val="bottom"/>
            <w:hideMark/>
          </w:tcPr>
          <w:p w14:paraId="63138E23" w14:textId="77777777" w:rsidR="00DF70A7" w:rsidRPr="004242BB" w:rsidRDefault="00DF70A7" w:rsidP="00A21264">
            <w:pPr>
              <w:rPr>
                <w:sz w:val="20"/>
                <w:szCs w:val="20"/>
              </w:rPr>
            </w:pPr>
          </w:p>
        </w:tc>
        <w:tc>
          <w:tcPr>
            <w:tcW w:w="1020" w:type="dxa"/>
            <w:tcBorders>
              <w:top w:val="single" w:sz="4" w:space="0" w:color="auto"/>
              <w:left w:val="single" w:sz="4" w:space="0" w:color="auto"/>
              <w:bottom w:val="single" w:sz="4" w:space="0" w:color="auto"/>
              <w:right w:val="nil"/>
            </w:tcBorders>
            <w:shd w:val="clear" w:color="auto" w:fill="auto"/>
            <w:noWrap/>
            <w:vAlign w:val="bottom"/>
            <w:hideMark/>
          </w:tcPr>
          <w:p w14:paraId="0040AF4F"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2011</w:t>
            </w:r>
          </w:p>
        </w:tc>
        <w:tc>
          <w:tcPr>
            <w:tcW w:w="1020" w:type="dxa"/>
            <w:tcBorders>
              <w:top w:val="single" w:sz="4" w:space="0" w:color="auto"/>
              <w:left w:val="nil"/>
              <w:bottom w:val="single" w:sz="4" w:space="0" w:color="auto"/>
              <w:right w:val="nil"/>
            </w:tcBorders>
            <w:shd w:val="clear" w:color="auto" w:fill="auto"/>
            <w:noWrap/>
            <w:vAlign w:val="bottom"/>
            <w:hideMark/>
          </w:tcPr>
          <w:p w14:paraId="4C920DF7"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2012</w:t>
            </w:r>
          </w:p>
        </w:tc>
        <w:tc>
          <w:tcPr>
            <w:tcW w:w="980" w:type="dxa"/>
            <w:tcBorders>
              <w:top w:val="single" w:sz="4" w:space="0" w:color="auto"/>
              <w:left w:val="nil"/>
              <w:bottom w:val="single" w:sz="4" w:space="0" w:color="auto"/>
              <w:right w:val="nil"/>
            </w:tcBorders>
            <w:shd w:val="clear" w:color="auto" w:fill="auto"/>
            <w:noWrap/>
            <w:vAlign w:val="bottom"/>
            <w:hideMark/>
          </w:tcPr>
          <w:p w14:paraId="1A2E9347"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2013</w:t>
            </w:r>
          </w:p>
        </w:tc>
        <w:tc>
          <w:tcPr>
            <w:tcW w:w="1060" w:type="dxa"/>
            <w:tcBorders>
              <w:top w:val="single" w:sz="4" w:space="0" w:color="auto"/>
              <w:left w:val="nil"/>
              <w:bottom w:val="single" w:sz="4" w:space="0" w:color="auto"/>
              <w:right w:val="nil"/>
            </w:tcBorders>
            <w:shd w:val="clear" w:color="auto" w:fill="auto"/>
            <w:noWrap/>
            <w:vAlign w:val="bottom"/>
            <w:hideMark/>
          </w:tcPr>
          <w:p w14:paraId="07D4C4CB"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2014</w:t>
            </w:r>
          </w:p>
        </w:tc>
        <w:tc>
          <w:tcPr>
            <w:tcW w:w="1300" w:type="dxa"/>
            <w:tcBorders>
              <w:top w:val="single" w:sz="4" w:space="0" w:color="auto"/>
              <w:left w:val="nil"/>
              <w:bottom w:val="single" w:sz="4" w:space="0" w:color="auto"/>
              <w:right w:val="nil"/>
            </w:tcBorders>
            <w:shd w:val="clear" w:color="auto" w:fill="auto"/>
            <w:noWrap/>
            <w:vAlign w:val="bottom"/>
            <w:hideMark/>
          </w:tcPr>
          <w:p w14:paraId="088E437E"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2015</w:t>
            </w:r>
          </w:p>
        </w:tc>
        <w:tc>
          <w:tcPr>
            <w:tcW w:w="1080" w:type="dxa"/>
            <w:tcBorders>
              <w:top w:val="single" w:sz="4" w:space="0" w:color="auto"/>
              <w:left w:val="nil"/>
              <w:bottom w:val="single" w:sz="4" w:space="0" w:color="auto"/>
              <w:right w:val="nil"/>
            </w:tcBorders>
            <w:shd w:val="clear" w:color="auto" w:fill="auto"/>
            <w:noWrap/>
            <w:vAlign w:val="bottom"/>
            <w:hideMark/>
          </w:tcPr>
          <w:p w14:paraId="54BFDE89"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2016</w:t>
            </w:r>
          </w:p>
        </w:tc>
        <w:tc>
          <w:tcPr>
            <w:tcW w:w="980" w:type="dxa"/>
            <w:tcBorders>
              <w:top w:val="single" w:sz="4" w:space="0" w:color="auto"/>
              <w:left w:val="nil"/>
              <w:bottom w:val="single" w:sz="4" w:space="0" w:color="auto"/>
              <w:right w:val="nil"/>
            </w:tcBorders>
            <w:shd w:val="clear" w:color="auto" w:fill="auto"/>
            <w:noWrap/>
            <w:vAlign w:val="bottom"/>
            <w:hideMark/>
          </w:tcPr>
          <w:p w14:paraId="5FC91C96"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2017</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415A9922"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2018</w:t>
            </w:r>
          </w:p>
        </w:tc>
      </w:tr>
      <w:tr w:rsidR="00DF70A7" w:rsidRPr="004242BB" w14:paraId="76A409D6" w14:textId="77777777" w:rsidTr="00A21264">
        <w:trPr>
          <w:trHeight w:val="320"/>
        </w:trPr>
        <w:tc>
          <w:tcPr>
            <w:tcW w:w="1412" w:type="dxa"/>
            <w:tcBorders>
              <w:top w:val="nil"/>
              <w:left w:val="nil"/>
              <w:bottom w:val="nil"/>
              <w:right w:val="nil"/>
            </w:tcBorders>
            <w:shd w:val="clear" w:color="auto" w:fill="auto"/>
            <w:noWrap/>
            <w:vAlign w:val="bottom"/>
            <w:hideMark/>
          </w:tcPr>
          <w:p w14:paraId="7417FA6B" w14:textId="77777777" w:rsidR="00DF70A7" w:rsidRPr="004242BB" w:rsidRDefault="00DF70A7" w:rsidP="00A21264">
            <w:pPr>
              <w:rPr>
                <w:rFonts w:ascii="Calibri" w:hAnsi="Calibri" w:cs="Calibri"/>
                <w:color w:val="000000"/>
              </w:rPr>
            </w:pPr>
            <w:r w:rsidRPr="004242BB">
              <w:rPr>
                <w:rFonts w:ascii="Calibri" w:hAnsi="Calibri" w:cs="Calibri"/>
                <w:color w:val="000000"/>
              </w:rPr>
              <w:t xml:space="preserve">THC California </w:t>
            </w:r>
          </w:p>
        </w:tc>
        <w:tc>
          <w:tcPr>
            <w:tcW w:w="680" w:type="dxa"/>
            <w:tcBorders>
              <w:top w:val="single" w:sz="4" w:space="0" w:color="auto"/>
              <w:left w:val="single" w:sz="4" w:space="0" w:color="auto"/>
              <w:bottom w:val="nil"/>
              <w:right w:val="single" w:sz="4" w:space="0" w:color="auto"/>
            </w:tcBorders>
            <w:shd w:val="clear" w:color="auto" w:fill="auto"/>
            <w:noWrap/>
            <w:vAlign w:val="bottom"/>
            <w:hideMark/>
          </w:tcPr>
          <w:p w14:paraId="56EED860"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2011</w:t>
            </w:r>
          </w:p>
        </w:tc>
        <w:tc>
          <w:tcPr>
            <w:tcW w:w="1020" w:type="dxa"/>
            <w:tcBorders>
              <w:top w:val="nil"/>
              <w:left w:val="nil"/>
              <w:bottom w:val="nil"/>
              <w:right w:val="nil"/>
            </w:tcBorders>
            <w:shd w:val="clear" w:color="auto" w:fill="auto"/>
            <w:noWrap/>
            <w:vAlign w:val="bottom"/>
            <w:hideMark/>
          </w:tcPr>
          <w:p w14:paraId="23EFBE4F"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1020" w:type="dxa"/>
            <w:tcBorders>
              <w:top w:val="nil"/>
              <w:left w:val="nil"/>
              <w:bottom w:val="nil"/>
              <w:right w:val="nil"/>
            </w:tcBorders>
            <w:shd w:val="clear" w:color="auto" w:fill="auto"/>
            <w:noWrap/>
            <w:vAlign w:val="bottom"/>
            <w:hideMark/>
          </w:tcPr>
          <w:p w14:paraId="3F649199"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10327D91"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60" w:type="dxa"/>
            <w:tcBorders>
              <w:top w:val="nil"/>
              <w:left w:val="nil"/>
              <w:bottom w:val="nil"/>
              <w:right w:val="nil"/>
            </w:tcBorders>
            <w:shd w:val="clear" w:color="auto" w:fill="auto"/>
            <w:noWrap/>
            <w:vAlign w:val="bottom"/>
            <w:hideMark/>
          </w:tcPr>
          <w:p w14:paraId="7C07D520"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300" w:type="dxa"/>
            <w:tcBorders>
              <w:top w:val="nil"/>
              <w:left w:val="nil"/>
              <w:bottom w:val="nil"/>
              <w:right w:val="nil"/>
            </w:tcBorders>
            <w:shd w:val="clear" w:color="auto" w:fill="auto"/>
            <w:noWrap/>
            <w:vAlign w:val="bottom"/>
            <w:hideMark/>
          </w:tcPr>
          <w:p w14:paraId="53882855"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80" w:type="dxa"/>
            <w:tcBorders>
              <w:top w:val="nil"/>
              <w:left w:val="nil"/>
              <w:bottom w:val="nil"/>
              <w:right w:val="nil"/>
            </w:tcBorders>
            <w:shd w:val="clear" w:color="auto" w:fill="auto"/>
            <w:noWrap/>
            <w:vAlign w:val="bottom"/>
            <w:hideMark/>
          </w:tcPr>
          <w:p w14:paraId="29801A86"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328651C2"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single" w:sz="4" w:space="0" w:color="auto"/>
            </w:tcBorders>
            <w:shd w:val="clear" w:color="auto" w:fill="auto"/>
            <w:noWrap/>
            <w:vAlign w:val="bottom"/>
            <w:hideMark/>
          </w:tcPr>
          <w:p w14:paraId="65FB5977"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r>
      <w:tr w:rsidR="00DF70A7" w:rsidRPr="004242BB" w14:paraId="1F54E204" w14:textId="77777777" w:rsidTr="00A21264">
        <w:trPr>
          <w:trHeight w:val="320"/>
        </w:trPr>
        <w:tc>
          <w:tcPr>
            <w:tcW w:w="1412" w:type="dxa"/>
            <w:tcBorders>
              <w:top w:val="nil"/>
              <w:left w:val="nil"/>
              <w:bottom w:val="nil"/>
              <w:right w:val="nil"/>
            </w:tcBorders>
            <w:shd w:val="clear" w:color="auto" w:fill="auto"/>
            <w:noWrap/>
            <w:vAlign w:val="bottom"/>
            <w:hideMark/>
          </w:tcPr>
          <w:p w14:paraId="0E1A4E42"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2238E2AA"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2012</w:t>
            </w:r>
          </w:p>
        </w:tc>
        <w:tc>
          <w:tcPr>
            <w:tcW w:w="1020" w:type="dxa"/>
            <w:tcBorders>
              <w:top w:val="nil"/>
              <w:left w:val="nil"/>
              <w:bottom w:val="nil"/>
              <w:right w:val="nil"/>
            </w:tcBorders>
            <w:shd w:val="clear" w:color="auto" w:fill="auto"/>
            <w:noWrap/>
            <w:vAlign w:val="bottom"/>
            <w:hideMark/>
          </w:tcPr>
          <w:p w14:paraId="7B5C5F6F"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20" w:type="dxa"/>
            <w:tcBorders>
              <w:top w:val="nil"/>
              <w:left w:val="nil"/>
              <w:bottom w:val="nil"/>
              <w:right w:val="nil"/>
            </w:tcBorders>
            <w:shd w:val="clear" w:color="auto" w:fill="auto"/>
            <w:noWrap/>
            <w:vAlign w:val="bottom"/>
            <w:hideMark/>
          </w:tcPr>
          <w:p w14:paraId="21C610B3"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980" w:type="dxa"/>
            <w:tcBorders>
              <w:top w:val="nil"/>
              <w:left w:val="nil"/>
              <w:bottom w:val="nil"/>
              <w:right w:val="nil"/>
            </w:tcBorders>
            <w:shd w:val="clear" w:color="auto" w:fill="auto"/>
            <w:noWrap/>
            <w:vAlign w:val="bottom"/>
            <w:hideMark/>
          </w:tcPr>
          <w:p w14:paraId="467B61BE"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60" w:type="dxa"/>
            <w:tcBorders>
              <w:top w:val="nil"/>
              <w:left w:val="nil"/>
              <w:bottom w:val="nil"/>
              <w:right w:val="nil"/>
            </w:tcBorders>
            <w:shd w:val="clear" w:color="auto" w:fill="auto"/>
            <w:noWrap/>
            <w:vAlign w:val="bottom"/>
            <w:hideMark/>
          </w:tcPr>
          <w:p w14:paraId="06619124" w14:textId="77777777" w:rsidR="00DF70A7" w:rsidRPr="004242BB" w:rsidRDefault="00DF70A7" w:rsidP="00A21264">
            <w:pPr>
              <w:rPr>
                <w:rFonts w:ascii="Calibri" w:hAnsi="Calibri" w:cs="Calibri"/>
                <w:color w:val="000000"/>
              </w:rPr>
            </w:pPr>
            <w:r w:rsidRPr="004242BB">
              <w:rPr>
                <w:rFonts w:ascii="Calibri" w:hAnsi="Calibri" w:cs="Calibri"/>
                <w:color w:val="000000"/>
              </w:rPr>
              <w:t>&lt;0.05</w:t>
            </w:r>
          </w:p>
        </w:tc>
        <w:tc>
          <w:tcPr>
            <w:tcW w:w="1300" w:type="dxa"/>
            <w:tcBorders>
              <w:top w:val="nil"/>
              <w:left w:val="nil"/>
              <w:bottom w:val="nil"/>
              <w:right w:val="nil"/>
            </w:tcBorders>
            <w:shd w:val="clear" w:color="auto" w:fill="auto"/>
            <w:noWrap/>
            <w:vAlign w:val="bottom"/>
            <w:hideMark/>
          </w:tcPr>
          <w:p w14:paraId="6809C0C2" w14:textId="77777777" w:rsidR="00DF70A7" w:rsidRPr="004242BB" w:rsidRDefault="00DF70A7" w:rsidP="00A21264">
            <w:pPr>
              <w:rPr>
                <w:rFonts w:ascii="Calibri" w:hAnsi="Calibri" w:cs="Calibri"/>
                <w:color w:val="000000"/>
              </w:rPr>
            </w:pPr>
            <w:r w:rsidRPr="004242BB">
              <w:rPr>
                <w:rFonts w:ascii="Calibri" w:hAnsi="Calibri" w:cs="Calibri"/>
                <w:color w:val="000000"/>
              </w:rPr>
              <w:t>&lt;0.001</w:t>
            </w:r>
          </w:p>
        </w:tc>
        <w:tc>
          <w:tcPr>
            <w:tcW w:w="1080" w:type="dxa"/>
            <w:tcBorders>
              <w:top w:val="nil"/>
              <w:left w:val="nil"/>
              <w:bottom w:val="nil"/>
              <w:right w:val="nil"/>
            </w:tcBorders>
            <w:shd w:val="clear" w:color="auto" w:fill="auto"/>
            <w:noWrap/>
            <w:vAlign w:val="bottom"/>
            <w:hideMark/>
          </w:tcPr>
          <w:p w14:paraId="5934B289"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55B2065D"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single" w:sz="4" w:space="0" w:color="auto"/>
            </w:tcBorders>
            <w:shd w:val="clear" w:color="auto" w:fill="auto"/>
            <w:noWrap/>
            <w:vAlign w:val="bottom"/>
            <w:hideMark/>
          </w:tcPr>
          <w:p w14:paraId="29AAFA66" w14:textId="77777777" w:rsidR="00DF70A7" w:rsidRPr="004242BB" w:rsidRDefault="00DF70A7" w:rsidP="00A21264">
            <w:pPr>
              <w:rPr>
                <w:rFonts w:ascii="Calibri" w:hAnsi="Calibri" w:cs="Calibri"/>
                <w:color w:val="000000"/>
              </w:rPr>
            </w:pPr>
            <w:r w:rsidRPr="004242BB">
              <w:rPr>
                <w:rFonts w:ascii="Calibri" w:hAnsi="Calibri" w:cs="Calibri"/>
                <w:color w:val="000000"/>
              </w:rPr>
              <w:t>&lt;0.001</w:t>
            </w:r>
          </w:p>
        </w:tc>
      </w:tr>
      <w:tr w:rsidR="00DF70A7" w:rsidRPr="004242BB" w14:paraId="20BFDB80" w14:textId="77777777" w:rsidTr="00A21264">
        <w:trPr>
          <w:trHeight w:val="320"/>
        </w:trPr>
        <w:tc>
          <w:tcPr>
            <w:tcW w:w="1412" w:type="dxa"/>
            <w:tcBorders>
              <w:top w:val="nil"/>
              <w:left w:val="nil"/>
              <w:bottom w:val="nil"/>
              <w:right w:val="nil"/>
            </w:tcBorders>
            <w:shd w:val="clear" w:color="auto" w:fill="auto"/>
            <w:noWrap/>
            <w:vAlign w:val="bottom"/>
            <w:hideMark/>
          </w:tcPr>
          <w:p w14:paraId="166F6775"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4AE0A93A"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2013</w:t>
            </w:r>
          </w:p>
        </w:tc>
        <w:tc>
          <w:tcPr>
            <w:tcW w:w="1020" w:type="dxa"/>
            <w:tcBorders>
              <w:top w:val="nil"/>
              <w:left w:val="nil"/>
              <w:bottom w:val="nil"/>
              <w:right w:val="nil"/>
            </w:tcBorders>
            <w:shd w:val="clear" w:color="auto" w:fill="auto"/>
            <w:noWrap/>
            <w:vAlign w:val="bottom"/>
            <w:hideMark/>
          </w:tcPr>
          <w:p w14:paraId="27C8F8FA"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20" w:type="dxa"/>
            <w:tcBorders>
              <w:top w:val="nil"/>
              <w:left w:val="nil"/>
              <w:bottom w:val="nil"/>
              <w:right w:val="nil"/>
            </w:tcBorders>
            <w:shd w:val="clear" w:color="auto" w:fill="auto"/>
            <w:noWrap/>
            <w:vAlign w:val="bottom"/>
            <w:hideMark/>
          </w:tcPr>
          <w:p w14:paraId="64045FAB"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16D6FC97"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1060" w:type="dxa"/>
            <w:tcBorders>
              <w:top w:val="nil"/>
              <w:left w:val="nil"/>
              <w:bottom w:val="nil"/>
              <w:right w:val="nil"/>
            </w:tcBorders>
            <w:shd w:val="clear" w:color="auto" w:fill="auto"/>
            <w:noWrap/>
            <w:vAlign w:val="bottom"/>
            <w:hideMark/>
          </w:tcPr>
          <w:p w14:paraId="50A4DBAF"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300" w:type="dxa"/>
            <w:tcBorders>
              <w:top w:val="nil"/>
              <w:left w:val="nil"/>
              <w:bottom w:val="nil"/>
              <w:right w:val="nil"/>
            </w:tcBorders>
            <w:shd w:val="clear" w:color="auto" w:fill="auto"/>
            <w:noWrap/>
            <w:vAlign w:val="bottom"/>
            <w:hideMark/>
          </w:tcPr>
          <w:p w14:paraId="5F8CB691"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80" w:type="dxa"/>
            <w:tcBorders>
              <w:top w:val="nil"/>
              <w:left w:val="nil"/>
              <w:bottom w:val="nil"/>
              <w:right w:val="nil"/>
            </w:tcBorders>
            <w:shd w:val="clear" w:color="auto" w:fill="auto"/>
            <w:noWrap/>
            <w:vAlign w:val="bottom"/>
            <w:hideMark/>
          </w:tcPr>
          <w:p w14:paraId="3444CB64"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4E3B98B0"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single" w:sz="4" w:space="0" w:color="auto"/>
            </w:tcBorders>
            <w:shd w:val="clear" w:color="auto" w:fill="auto"/>
            <w:noWrap/>
            <w:vAlign w:val="bottom"/>
            <w:hideMark/>
          </w:tcPr>
          <w:p w14:paraId="5F5D7E37"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r>
      <w:tr w:rsidR="00DF70A7" w:rsidRPr="004242BB" w14:paraId="1FC83863" w14:textId="77777777" w:rsidTr="00A21264">
        <w:trPr>
          <w:trHeight w:val="320"/>
        </w:trPr>
        <w:tc>
          <w:tcPr>
            <w:tcW w:w="1412" w:type="dxa"/>
            <w:tcBorders>
              <w:top w:val="nil"/>
              <w:left w:val="nil"/>
              <w:bottom w:val="nil"/>
              <w:right w:val="nil"/>
            </w:tcBorders>
            <w:shd w:val="clear" w:color="auto" w:fill="auto"/>
            <w:noWrap/>
            <w:vAlign w:val="bottom"/>
            <w:hideMark/>
          </w:tcPr>
          <w:p w14:paraId="7B5476F7"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7264EE25"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2014</w:t>
            </w:r>
          </w:p>
        </w:tc>
        <w:tc>
          <w:tcPr>
            <w:tcW w:w="1020" w:type="dxa"/>
            <w:tcBorders>
              <w:top w:val="nil"/>
              <w:left w:val="nil"/>
              <w:bottom w:val="nil"/>
              <w:right w:val="nil"/>
            </w:tcBorders>
            <w:shd w:val="clear" w:color="auto" w:fill="auto"/>
            <w:noWrap/>
            <w:vAlign w:val="bottom"/>
            <w:hideMark/>
          </w:tcPr>
          <w:p w14:paraId="2510EA91"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20" w:type="dxa"/>
            <w:tcBorders>
              <w:top w:val="nil"/>
              <w:left w:val="nil"/>
              <w:bottom w:val="nil"/>
              <w:right w:val="nil"/>
            </w:tcBorders>
            <w:shd w:val="clear" w:color="auto" w:fill="auto"/>
            <w:noWrap/>
            <w:vAlign w:val="bottom"/>
            <w:hideMark/>
          </w:tcPr>
          <w:p w14:paraId="15039086"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44CC21F9"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60" w:type="dxa"/>
            <w:tcBorders>
              <w:top w:val="nil"/>
              <w:left w:val="nil"/>
              <w:bottom w:val="nil"/>
              <w:right w:val="nil"/>
            </w:tcBorders>
            <w:shd w:val="clear" w:color="auto" w:fill="auto"/>
            <w:noWrap/>
            <w:vAlign w:val="bottom"/>
            <w:hideMark/>
          </w:tcPr>
          <w:p w14:paraId="66401742"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1300" w:type="dxa"/>
            <w:tcBorders>
              <w:top w:val="nil"/>
              <w:left w:val="nil"/>
              <w:bottom w:val="nil"/>
              <w:right w:val="nil"/>
            </w:tcBorders>
            <w:shd w:val="clear" w:color="auto" w:fill="auto"/>
            <w:noWrap/>
            <w:vAlign w:val="bottom"/>
            <w:hideMark/>
          </w:tcPr>
          <w:p w14:paraId="43C93BF5"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80" w:type="dxa"/>
            <w:tcBorders>
              <w:top w:val="nil"/>
              <w:left w:val="nil"/>
              <w:bottom w:val="nil"/>
              <w:right w:val="nil"/>
            </w:tcBorders>
            <w:shd w:val="clear" w:color="auto" w:fill="auto"/>
            <w:noWrap/>
            <w:vAlign w:val="bottom"/>
            <w:hideMark/>
          </w:tcPr>
          <w:p w14:paraId="1A0DFEF2"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25FA54B2"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single" w:sz="4" w:space="0" w:color="auto"/>
            </w:tcBorders>
            <w:shd w:val="clear" w:color="auto" w:fill="auto"/>
            <w:noWrap/>
            <w:vAlign w:val="bottom"/>
            <w:hideMark/>
          </w:tcPr>
          <w:p w14:paraId="0F8FEEC8"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r>
      <w:tr w:rsidR="00DF70A7" w:rsidRPr="004242BB" w14:paraId="5C9508C3" w14:textId="77777777" w:rsidTr="00A21264">
        <w:trPr>
          <w:trHeight w:val="320"/>
        </w:trPr>
        <w:tc>
          <w:tcPr>
            <w:tcW w:w="1412" w:type="dxa"/>
            <w:tcBorders>
              <w:top w:val="nil"/>
              <w:left w:val="nil"/>
              <w:bottom w:val="nil"/>
              <w:right w:val="nil"/>
            </w:tcBorders>
            <w:shd w:val="clear" w:color="auto" w:fill="auto"/>
            <w:noWrap/>
            <w:vAlign w:val="bottom"/>
            <w:hideMark/>
          </w:tcPr>
          <w:p w14:paraId="5F27FD9D"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1C394D19"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2015</w:t>
            </w:r>
          </w:p>
        </w:tc>
        <w:tc>
          <w:tcPr>
            <w:tcW w:w="1020" w:type="dxa"/>
            <w:tcBorders>
              <w:top w:val="nil"/>
              <w:left w:val="nil"/>
              <w:bottom w:val="nil"/>
              <w:right w:val="nil"/>
            </w:tcBorders>
            <w:shd w:val="clear" w:color="auto" w:fill="auto"/>
            <w:noWrap/>
            <w:vAlign w:val="bottom"/>
            <w:hideMark/>
          </w:tcPr>
          <w:p w14:paraId="5D4F827C"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20" w:type="dxa"/>
            <w:tcBorders>
              <w:top w:val="nil"/>
              <w:left w:val="nil"/>
              <w:bottom w:val="nil"/>
              <w:right w:val="nil"/>
            </w:tcBorders>
            <w:shd w:val="clear" w:color="auto" w:fill="auto"/>
            <w:noWrap/>
            <w:vAlign w:val="bottom"/>
            <w:hideMark/>
          </w:tcPr>
          <w:p w14:paraId="4E4DB70C"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nil"/>
            </w:tcBorders>
            <w:shd w:val="clear" w:color="auto" w:fill="auto"/>
            <w:noWrap/>
            <w:vAlign w:val="bottom"/>
            <w:hideMark/>
          </w:tcPr>
          <w:p w14:paraId="167425B2"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60" w:type="dxa"/>
            <w:tcBorders>
              <w:top w:val="nil"/>
              <w:left w:val="nil"/>
              <w:bottom w:val="nil"/>
              <w:right w:val="nil"/>
            </w:tcBorders>
            <w:shd w:val="clear" w:color="auto" w:fill="auto"/>
            <w:noWrap/>
            <w:vAlign w:val="bottom"/>
            <w:hideMark/>
          </w:tcPr>
          <w:p w14:paraId="00D6EB72"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300" w:type="dxa"/>
            <w:tcBorders>
              <w:top w:val="nil"/>
              <w:left w:val="nil"/>
              <w:bottom w:val="nil"/>
              <w:right w:val="nil"/>
            </w:tcBorders>
            <w:shd w:val="clear" w:color="auto" w:fill="auto"/>
            <w:noWrap/>
            <w:vAlign w:val="bottom"/>
            <w:hideMark/>
          </w:tcPr>
          <w:p w14:paraId="5013165B"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1080" w:type="dxa"/>
            <w:tcBorders>
              <w:top w:val="nil"/>
              <w:left w:val="nil"/>
              <w:bottom w:val="nil"/>
              <w:right w:val="nil"/>
            </w:tcBorders>
            <w:shd w:val="clear" w:color="auto" w:fill="auto"/>
            <w:noWrap/>
            <w:vAlign w:val="bottom"/>
            <w:hideMark/>
          </w:tcPr>
          <w:p w14:paraId="074D85C4"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441173F0"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single" w:sz="4" w:space="0" w:color="auto"/>
            </w:tcBorders>
            <w:shd w:val="clear" w:color="auto" w:fill="auto"/>
            <w:noWrap/>
            <w:vAlign w:val="bottom"/>
            <w:hideMark/>
          </w:tcPr>
          <w:p w14:paraId="6C999FD1"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r>
      <w:tr w:rsidR="00DF70A7" w:rsidRPr="004242BB" w14:paraId="35DFF9B5" w14:textId="77777777" w:rsidTr="00A21264">
        <w:trPr>
          <w:trHeight w:val="320"/>
        </w:trPr>
        <w:tc>
          <w:tcPr>
            <w:tcW w:w="1412" w:type="dxa"/>
            <w:tcBorders>
              <w:top w:val="nil"/>
              <w:left w:val="nil"/>
              <w:bottom w:val="nil"/>
              <w:right w:val="nil"/>
            </w:tcBorders>
            <w:shd w:val="clear" w:color="auto" w:fill="auto"/>
            <w:noWrap/>
            <w:vAlign w:val="bottom"/>
            <w:hideMark/>
          </w:tcPr>
          <w:p w14:paraId="5C7E1A26"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6CBE0090"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2016</w:t>
            </w:r>
          </w:p>
        </w:tc>
        <w:tc>
          <w:tcPr>
            <w:tcW w:w="1020" w:type="dxa"/>
            <w:tcBorders>
              <w:top w:val="nil"/>
              <w:left w:val="nil"/>
              <w:bottom w:val="nil"/>
              <w:right w:val="nil"/>
            </w:tcBorders>
            <w:shd w:val="clear" w:color="auto" w:fill="auto"/>
            <w:noWrap/>
            <w:vAlign w:val="bottom"/>
            <w:hideMark/>
          </w:tcPr>
          <w:p w14:paraId="50288F92"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20" w:type="dxa"/>
            <w:tcBorders>
              <w:top w:val="nil"/>
              <w:left w:val="nil"/>
              <w:bottom w:val="nil"/>
              <w:right w:val="nil"/>
            </w:tcBorders>
            <w:shd w:val="clear" w:color="auto" w:fill="auto"/>
            <w:noWrap/>
            <w:vAlign w:val="bottom"/>
            <w:hideMark/>
          </w:tcPr>
          <w:p w14:paraId="3F18A63C"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2FAE2F9A"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60" w:type="dxa"/>
            <w:tcBorders>
              <w:top w:val="nil"/>
              <w:left w:val="nil"/>
              <w:bottom w:val="nil"/>
              <w:right w:val="nil"/>
            </w:tcBorders>
            <w:shd w:val="clear" w:color="auto" w:fill="auto"/>
            <w:noWrap/>
            <w:vAlign w:val="bottom"/>
            <w:hideMark/>
          </w:tcPr>
          <w:p w14:paraId="4864FEB0"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300" w:type="dxa"/>
            <w:tcBorders>
              <w:top w:val="nil"/>
              <w:left w:val="nil"/>
              <w:bottom w:val="nil"/>
              <w:right w:val="nil"/>
            </w:tcBorders>
            <w:shd w:val="clear" w:color="auto" w:fill="auto"/>
            <w:noWrap/>
            <w:vAlign w:val="bottom"/>
            <w:hideMark/>
          </w:tcPr>
          <w:p w14:paraId="658B744F"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80" w:type="dxa"/>
            <w:tcBorders>
              <w:top w:val="nil"/>
              <w:left w:val="nil"/>
              <w:bottom w:val="nil"/>
              <w:right w:val="nil"/>
            </w:tcBorders>
            <w:shd w:val="clear" w:color="auto" w:fill="auto"/>
            <w:noWrap/>
            <w:vAlign w:val="bottom"/>
            <w:hideMark/>
          </w:tcPr>
          <w:p w14:paraId="31F9FAC1"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980" w:type="dxa"/>
            <w:tcBorders>
              <w:top w:val="nil"/>
              <w:left w:val="nil"/>
              <w:bottom w:val="nil"/>
              <w:right w:val="nil"/>
            </w:tcBorders>
            <w:shd w:val="clear" w:color="auto" w:fill="auto"/>
            <w:noWrap/>
            <w:vAlign w:val="bottom"/>
            <w:hideMark/>
          </w:tcPr>
          <w:p w14:paraId="5E1581D9"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single" w:sz="4" w:space="0" w:color="auto"/>
            </w:tcBorders>
            <w:shd w:val="clear" w:color="auto" w:fill="auto"/>
            <w:noWrap/>
            <w:vAlign w:val="bottom"/>
            <w:hideMark/>
          </w:tcPr>
          <w:p w14:paraId="7A234376"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r>
      <w:tr w:rsidR="00DF70A7" w:rsidRPr="004242BB" w14:paraId="30538181" w14:textId="77777777" w:rsidTr="00A21264">
        <w:trPr>
          <w:trHeight w:val="320"/>
        </w:trPr>
        <w:tc>
          <w:tcPr>
            <w:tcW w:w="1412" w:type="dxa"/>
            <w:tcBorders>
              <w:top w:val="nil"/>
              <w:left w:val="nil"/>
              <w:bottom w:val="nil"/>
              <w:right w:val="nil"/>
            </w:tcBorders>
            <w:shd w:val="clear" w:color="auto" w:fill="auto"/>
            <w:noWrap/>
            <w:vAlign w:val="bottom"/>
            <w:hideMark/>
          </w:tcPr>
          <w:p w14:paraId="6C7B67B2"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55461ACA"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2017</w:t>
            </w:r>
          </w:p>
        </w:tc>
        <w:tc>
          <w:tcPr>
            <w:tcW w:w="1020" w:type="dxa"/>
            <w:tcBorders>
              <w:top w:val="nil"/>
              <w:left w:val="nil"/>
              <w:bottom w:val="nil"/>
              <w:right w:val="nil"/>
            </w:tcBorders>
            <w:shd w:val="clear" w:color="auto" w:fill="auto"/>
            <w:noWrap/>
            <w:vAlign w:val="bottom"/>
            <w:hideMark/>
          </w:tcPr>
          <w:p w14:paraId="7D7E8C6C"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20" w:type="dxa"/>
            <w:tcBorders>
              <w:top w:val="nil"/>
              <w:left w:val="nil"/>
              <w:bottom w:val="nil"/>
              <w:right w:val="nil"/>
            </w:tcBorders>
            <w:shd w:val="clear" w:color="auto" w:fill="auto"/>
            <w:noWrap/>
            <w:vAlign w:val="bottom"/>
            <w:hideMark/>
          </w:tcPr>
          <w:p w14:paraId="7ADE11A7"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34582EC7"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60" w:type="dxa"/>
            <w:tcBorders>
              <w:top w:val="nil"/>
              <w:left w:val="nil"/>
              <w:bottom w:val="nil"/>
              <w:right w:val="nil"/>
            </w:tcBorders>
            <w:shd w:val="clear" w:color="auto" w:fill="auto"/>
            <w:noWrap/>
            <w:vAlign w:val="bottom"/>
            <w:hideMark/>
          </w:tcPr>
          <w:p w14:paraId="36074C8E"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300" w:type="dxa"/>
            <w:tcBorders>
              <w:top w:val="nil"/>
              <w:left w:val="nil"/>
              <w:bottom w:val="nil"/>
              <w:right w:val="nil"/>
            </w:tcBorders>
            <w:shd w:val="clear" w:color="auto" w:fill="auto"/>
            <w:noWrap/>
            <w:vAlign w:val="bottom"/>
            <w:hideMark/>
          </w:tcPr>
          <w:p w14:paraId="5110A945"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80" w:type="dxa"/>
            <w:tcBorders>
              <w:top w:val="nil"/>
              <w:left w:val="nil"/>
              <w:bottom w:val="nil"/>
              <w:right w:val="nil"/>
            </w:tcBorders>
            <w:shd w:val="clear" w:color="auto" w:fill="auto"/>
            <w:noWrap/>
            <w:vAlign w:val="bottom"/>
            <w:hideMark/>
          </w:tcPr>
          <w:p w14:paraId="073A9310"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6D287BDD"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980" w:type="dxa"/>
            <w:tcBorders>
              <w:top w:val="nil"/>
              <w:left w:val="nil"/>
              <w:bottom w:val="nil"/>
              <w:right w:val="single" w:sz="4" w:space="0" w:color="auto"/>
            </w:tcBorders>
            <w:shd w:val="clear" w:color="auto" w:fill="auto"/>
            <w:noWrap/>
            <w:vAlign w:val="bottom"/>
            <w:hideMark/>
          </w:tcPr>
          <w:p w14:paraId="4524D02F"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r>
      <w:tr w:rsidR="00DF70A7" w:rsidRPr="004242BB" w14:paraId="691994A0" w14:textId="77777777" w:rsidTr="00A21264">
        <w:trPr>
          <w:trHeight w:val="320"/>
        </w:trPr>
        <w:tc>
          <w:tcPr>
            <w:tcW w:w="1412" w:type="dxa"/>
            <w:tcBorders>
              <w:top w:val="nil"/>
              <w:left w:val="nil"/>
              <w:bottom w:val="nil"/>
              <w:right w:val="nil"/>
            </w:tcBorders>
            <w:shd w:val="clear" w:color="auto" w:fill="auto"/>
            <w:noWrap/>
            <w:vAlign w:val="bottom"/>
            <w:hideMark/>
          </w:tcPr>
          <w:p w14:paraId="0E9BF0F5"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0F77983C"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2018</w:t>
            </w:r>
          </w:p>
        </w:tc>
        <w:tc>
          <w:tcPr>
            <w:tcW w:w="1020" w:type="dxa"/>
            <w:tcBorders>
              <w:top w:val="nil"/>
              <w:left w:val="nil"/>
              <w:bottom w:val="single" w:sz="4" w:space="0" w:color="auto"/>
              <w:right w:val="nil"/>
            </w:tcBorders>
            <w:shd w:val="clear" w:color="auto" w:fill="auto"/>
            <w:noWrap/>
            <w:vAlign w:val="bottom"/>
            <w:hideMark/>
          </w:tcPr>
          <w:p w14:paraId="7A17F63B"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20" w:type="dxa"/>
            <w:tcBorders>
              <w:top w:val="nil"/>
              <w:left w:val="nil"/>
              <w:bottom w:val="single" w:sz="4" w:space="0" w:color="auto"/>
              <w:right w:val="nil"/>
            </w:tcBorders>
            <w:shd w:val="clear" w:color="auto" w:fill="auto"/>
            <w:noWrap/>
            <w:vAlign w:val="bottom"/>
            <w:hideMark/>
          </w:tcPr>
          <w:p w14:paraId="044E3DBB"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single" w:sz="4" w:space="0" w:color="auto"/>
              <w:right w:val="nil"/>
            </w:tcBorders>
            <w:shd w:val="clear" w:color="auto" w:fill="auto"/>
            <w:noWrap/>
            <w:vAlign w:val="bottom"/>
            <w:hideMark/>
          </w:tcPr>
          <w:p w14:paraId="48A2F1FF" w14:textId="77777777" w:rsidR="00DF70A7" w:rsidRPr="004242BB" w:rsidRDefault="00DF70A7" w:rsidP="00A21264">
            <w:pPr>
              <w:rPr>
                <w:rFonts w:ascii="Calibri" w:hAnsi="Calibri" w:cs="Calibri"/>
                <w:color w:val="000000"/>
              </w:rPr>
            </w:pPr>
            <w:r w:rsidRPr="004242BB">
              <w:rPr>
                <w:rFonts w:ascii="Calibri" w:hAnsi="Calibri" w:cs="Calibri"/>
                <w:color w:val="000000"/>
              </w:rPr>
              <w:t>&lt;0.01</w:t>
            </w:r>
          </w:p>
        </w:tc>
        <w:tc>
          <w:tcPr>
            <w:tcW w:w="1060" w:type="dxa"/>
            <w:tcBorders>
              <w:top w:val="nil"/>
              <w:left w:val="nil"/>
              <w:bottom w:val="single" w:sz="4" w:space="0" w:color="auto"/>
              <w:right w:val="nil"/>
            </w:tcBorders>
            <w:shd w:val="clear" w:color="auto" w:fill="auto"/>
            <w:noWrap/>
            <w:vAlign w:val="bottom"/>
            <w:hideMark/>
          </w:tcPr>
          <w:p w14:paraId="2E2A8CEB"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300" w:type="dxa"/>
            <w:tcBorders>
              <w:top w:val="nil"/>
              <w:left w:val="nil"/>
              <w:bottom w:val="single" w:sz="4" w:space="0" w:color="auto"/>
              <w:right w:val="nil"/>
            </w:tcBorders>
            <w:shd w:val="clear" w:color="auto" w:fill="auto"/>
            <w:noWrap/>
            <w:vAlign w:val="bottom"/>
            <w:hideMark/>
          </w:tcPr>
          <w:p w14:paraId="316CDF93"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80" w:type="dxa"/>
            <w:tcBorders>
              <w:top w:val="nil"/>
              <w:left w:val="nil"/>
              <w:bottom w:val="single" w:sz="4" w:space="0" w:color="auto"/>
              <w:right w:val="nil"/>
            </w:tcBorders>
            <w:shd w:val="clear" w:color="auto" w:fill="auto"/>
            <w:noWrap/>
            <w:vAlign w:val="bottom"/>
            <w:hideMark/>
          </w:tcPr>
          <w:p w14:paraId="38C9D9D4"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single" w:sz="4" w:space="0" w:color="auto"/>
              <w:right w:val="nil"/>
            </w:tcBorders>
            <w:shd w:val="clear" w:color="auto" w:fill="auto"/>
            <w:noWrap/>
            <w:vAlign w:val="bottom"/>
            <w:hideMark/>
          </w:tcPr>
          <w:p w14:paraId="32B6622C"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single" w:sz="4" w:space="0" w:color="auto"/>
              <w:right w:val="single" w:sz="4" w:space="0" w:color="auto"/>
            </w:tcBorders>
            <w:shd w:val="clear" w:color="auto" w:fill="auto"/>
            <w:noWrap/>
            <w:vAlign w:val="bottom"/>
            <w:hideMark/>
          </w:tcPr>
          <w:p w14:paraId="19E108C1"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r>
    </w:tbl>
    <w:p w14:paraId="1567A707" w14:textId="77777777" w:rsidR="00DF70A7" w:rsidRDefault="00DF70A7" w:rsidP="00DF70A7">
      <w:pPr>
        <w:spacing w:line="360" w:lineRule="auto"/>
        <w:rPr>
          <w:rFonts w:ascii="Cambria" w:hAnsi="Cambria"/>
          <w:i/>
        </w:rPr>
      </w:pPr>
    </w:p>
    <w:p w14:paraId="447F7668" w14:textId="25997C18" w:rsidR="00DF70A7" w:rsidRPr="00FA3DED" w:rsidRDefault="00DF70A7" w:rsidP="00DF70A7">
      <w:pPr>
        <w:rPr>
          <w:rFonts w:ascii="Cambria" w:hAnsi="Cambria"/>
        </w:rPr>
      </w:pPr>
      <w:r w:rsidRPr="009E4585">
        <w:rPr>
          <w:rFonts w:ascii="Cambria" w:hAnsi="Cambria"/>
          <w:sz w:val="20"/>
          <w:szCs w:val="20"/>
        </w:rPr>
        <w:t xml:space="preserve">For both cannabinoids, there is no particular trend in any of the years (Figure S2). </w:t>
      </w:r>
    </w:p>
    <w:p w14:paraId="68EE5CD4" w14:textId="1C1B7A99" w:rsidR="00DF70A7" w:rsidRDefault="00DF70A7" w:rsidP="00DF70A7">
      <w:pPr>
        <w:rPr>
          <w:rFonts w:ascii="Cambria" w:hAnsi="Cambria"/>
        </w:rPr>
      </w:pPr>
    </w:p>
    <w:p w14:paraId="653AF5D4" w14:textId="3620CD01" w:rsidR="003E1AEB" w:rsidRPr="003E1AEB" w:rsidRDefault="003E1AEB" w:rsidP="00DF70A7">
      <w:pPr>
        <w:rPr>
          <w:rFonts w:ascii="Cambria" w:hAnsi="Cambria"/>
        </w:rPr>
      </w:pPr>
      <w:r w:rsidRPr="00887149">
        <w:rPr>
          <w:rFonts w:ascii="Cambria" w:hAnsi="Cambria"/>
          <w:b/>
        </w:rPr>
        <w:t>Table S</w:t>
      </w:r>
      <w:r w:rsidR="00FA627D">
        <w:rPr>
          <w:rFonts w:ascii="Cambria" w:hAnsi="Cambria"/>
          <w:b/>
        </w:rPr>
        <w:t>2</w:t>
      </w:r>
      <w:r w:rsidRPr="00887149">
        <w:rPr>
          <w:rFonts w:ascii="Cambria" w:hAnsi="Cambria"/>
          <w:b/>
        </w:rPr>
        <w:t>.</w:t>
      </w:r>
      <w:r w:rsidRPr="00887149">
        <w:rPr>
          <w:rFonts w:ascii="Cambria" w:hAnsi="Cambria"/>
        </w:rPr>
        <w:t xml:space="preserve"> </w:t>
      </w:r>
      <w:r w:rsidRPr="00887149">
        <w:rPr>
          <w:rFonts w:ascii="Cambria" w:hAnsi="Cambria"/>
          <w:b/>
        </w:rPr>
        <w:t>Pairwise comparison between years for CBD (upper triangle) and CB</w:t>
      </w:r>
      <w:r w:rsidR="00C07D03">
        <w:rPr>
          <w:rFonts w:ascii="Cambria" w:hAnsi="Cambria"/>
          <w:b/>
        </w:rPr>
        <w:t>C</w:t>
      </w:r>
      <w:r w:rsidRPr="00887149">
        <w:rPr>
          <w:rFonts w:ascii="Cambria" w:hAnsi="Cambria"/>
          <w:b/>
        </w:rPr>
        <w:t xml:space="preserve"> (lower triangle).</w:t>
      </w:r>
    </w:p>
    <w:tbl>
      <w:tblPr>
        <w:tblW w:w="10504" w:type="dxa"/>
        <w:tblLook w:val="04A0" w:firstRow="1" w:lastRow="0" w:firstColumn="1" w:lastColumn="0" w:noHBand="0" w:noVBand="1"/>
      </w:tblPr>
      <w:tblGrid>
        <w:gridCol w:w="1404"/>
        <w:gridCol w:w="703"/>
        <w:gridCol w:w="1020"/>
        <w:gridCol w:w="1020"/>
        <w:gridCol w:w="1005"/>
        <w:gridCol w:w="1060"/>
        <w:gridCol w:w="1300"/>
        <w:gridCol w:w="1080"/>
        <w:gridCol w:w="1005"/>
        <w:gridCol w:w="1005"/>
      </w:tblGrid>
      <w:tr w:rsidR="00DF70A7" w:rsidRPr="004242BB" w14:paraId="6F2EA24C" w14:textId="77777777" w:rsidTr="00A21264">
        <w:trPr>
          <w:trHeight w:val="320"/>
        </w:trPr>
        <w:tc>
          <w:tcPr>
            <w:tcW w:w="1404" w:type="dxa"/>
            <w:tcBorders>
              <w:top w:val="nil"/>
              <w:left w:val="nil"/>
              <w:bottom w:val="nil"/>
              <w:right w:val="nil"/>
            </w:tcBorders>
            <w:shd w:val="clear" w:color="auto" w:fill="auto"/>
            <w:noWrap/>
            <w:vAlign w:val="bottom"/>
            <w:hideMark/>
          </w:tcPr>
          <w:p w14:paraId="1B6C242F" w14:textId="77777777" w:rsidR="00DF70A7" w:rsidRPr="004242BB" w:rsidRDefault="00DF70A7" w:rsidP="00A21264"/>
        </w:tc>
        <w:tc>
          <w:tcPr>
            <w:tcW w:w="680" w:type="dxa"/>
            <w:tcBorders>
              <w:top w:val="nil"/>
              <w:left w:val="nil"/>
              <w:bottom w:val="nil"/>
              <w:right w:val="nil"/>
            </w:tcBorders>
            <w:shd w:val="clear" w:color="auto" w:fill="auto"/>
            <w:noWrap/>
            <w:vAlign w:val="bottom"/>
            <w:hideMark/>
          </w:tcPr>
          <w:p w14:paraId="1EB4D985" w14:textId="77777777" w:rsidR="00DF70A7" w:rsidRPr="004242BB" w:rsidRDefault="00DF70A7" w:rsidP="00A21264">
            <w:pPr>
              <w:rPr>
                <w:sz w:val="20"/>
                <w:szCs w:val="20"/>
              </w:rPr>
            </w:pPr>
          </w:p>
        </w:tc>
        <w:tc>
          <w:tcPr>
            <w:tcW w:w="2040" w:type="dxa"/>
            <w:gridSpan w:val="2"/>
            <w:tcBorders>
              <w:top w:val="nil"/>
              <w:left w:val="nil"/>
              <w:bottom w:val="nil"/>
              <w:right w:val="nil"/>
            </w:tcBorders>
            <w:shd w:val="clear" w:color="auto" w:fill="auto"/>
            <w:noWrap/>
            <w:vAlign w:val="bottom"/>
            <w:hideMark/>
          </w:tcPr>
          <w:p w14:paraId="1B0990DF" w14:textId="77777777" w:rsidR="00DF70A7" w:rsidRPr="004242BB" w:rsidRDefault="00DF70A7" w:rsidP="00A21264">
            <w:pPr>
              <w:rPr>
                <w:rFonts w:ascii="Calibri" w:hAnsi="Calibri" w:cs="Calibri"/>
                <w:color w:val="000000"/>
              </w:rPr>
            </w:pPr>
            <w:r w:rsidRPr="004242BB">
              <w:rPr>
                <w:rFonts w:ascii="Calibri" w:hAnsi="Calibri" w:cs="Calibri"/>
                <w:color w:val="000000"/>
              </w:rPr>
              <w:t>CBD California</w:t>
            </w:r>
          </w:p>
        </w:tc>
        <w:tc>
          <w:tcPr>
            <w:tcW w:w="980" w:type="dxa"/>
            <w:tcBorders>
              <w:top w:val="nil"/>
              <w:left w:val="nil"/>
              <w:bottom w:val="nil"/>
              <w:right w:val="nil"/>
            </w:tcBorders>
            <w:shd w:val="clear" w:color="auto" w:fill="auto"/>
            <w:noWrap/>
            <w:vAlign w:val="bottom"/>
            <w:hideMark/>
          </w:tcPr>
          <w:p w14:paraId="59076E69" w14:textId="77777777" w:rsidR="00DF70A7" w:rsidRPr="004242BB" w:rsidRDefault="00DF70A7" w:rsidP="00A21264">
            <w:pPr>
              <w:rPr>
                <w:rFonts w:ascii="Calibri" w:hAnsi="Calibri" w:cs="Calibri"/>
                <w:color w:val="000000"/>
              </w:rPr>
            </w:pPr>
          </w:p>
        </w:tc>
        <w:tc>
          <w:tcPr>
            <w:tcW w:w="1060" w:type="dxa"/>
            <w:tcBorders>
              <w:top w:val="nil"/>
              <w:left w:val="nil"/>
              <w:bottom w:val="nil"/>
              <w:right w:val="nil"/>
            </w:tcBorders>
            <w:shd w:val="clear" w:color="auto" w:fill="auto"/>
            <w:noWrap/>
            <w:vAlign w:val="bottom"/>
            <w:hideMark/>
          </w:tcPr>
          <w:p w14:paraId="0D23A337" w14:textId="77777777" w:rsidR="00DF70A7" w:rsidRPr="004242BB" w:rsidRDefault="00DF70A7" w:rsidP="00A21264">
            <w:pPr>
              <w:rPr>
                <w:sz w:val="20"/>
                <w:szCs w:val="20"/>
              </w:rPr>
            </w:pPr>
          </w:p>
        </w:tc>
        <w:tc>
          <w:tcPr>
            <w:tcW w:w="1300" w:type="dxa"/>
            <w:tcBorders>
              <w:top w:val="nil"/>
              <w:left w:val="nil"/>
              <w:bottom w:val="nil"/>
              <w:right w:val="nil"/>
            </w:tcBorders>
            <w:shd w:val="clear" w:color="auto" w:fill="auto"/>
            <w:noWrap/>
            <w:vAlign w:val="bottom"/>
            <w:hideMark/>
          </w:tcPr>
          <w:p w14:paraId="2B392C21" w14:textId="77777777" w:rsidR="00DF70A7" w:rsidRPr="004242BB" w:rsidRDefault="00DF70A7" w:rsidP="00A21264">
            <w:pPr>
              <w:rPr>
                <w:sz w:val="20"/>
                <w:szCs w:val="20"/>
              </w:rPr>
            </w:pPr>
          </w:p>
        </w:tc>
        <w:tc>
          <w:tcPr>
            <w:tcW w:w="1080" w:type="dxa"/>
            <w:tcBorders>
              <w:top w:val="nil"/>
              <w:left w:val="nil"/>
              <w:bottom w:val="nil"/>
              <w:right w:val="nil"/>
            </w:tcBorders>
            <w:shd w:val="clear" w:color="auto" w:fill="auto"/>
            <w:noWrap/>
            <w:vAlign w:val="bottom"/>
            <w:hideMark/>
          </w:tcPr>
          <w:p w14:paraId="4B5EBBD7" w14:textId="77777777" w:rsidR="00DF70A7" w:rsidRPr="004242BB" w:rsidRDefault="00DF70A7" w:rsidP="00A21264">
            <w:pPr>
              <w:rPr>
                <w:sz w:val="20"/>
                <w:szCs w:val="20"/>
              </w:rPr>
            </w:pPr>
          </w:p>
        </w:tc>
        <w:tc>
          <w:tcPr>
            <w:tcW w:w="980" w:type="dxa"/>
            <w:tcBorders>
              <w:top w:val="nil"/>
              <w:left w:val="nil"/>
              <w:bottom w:val="nil"/>
              <w:right w:val="nil"/>
            </w:tcBorders>
            <w:shd w:val="clear" w:color="auto" w:fill="auto"/>
            <w:noWrap/>
            <w:vAlign w:val="bottom"/>
            <w:hideMark/>
          </w:tcPr>
          <w:p w14:paraId="0C58F662" w14:textId="77777777" w:rsidR="00DF70A7" w:rsidRPr="004242BB" w:rsidRDefault="00DF70A7" w:rsidP="00A21264">
            <w:pPr>
              <w:rPr>
                <w:sz w:val="20"/>
                <w:szCs w:val="20"/>
              </w:rPr>
            </w:pPr>
          </w:p>
        </w:tc>
        <w:tc>
          <w:tcPr>
            <w:tcW w:w="980" w:type="dxa"/>
            <w:tcBorders>
              <w:top w:val="nil"/>
              <w:left w:val="nil"/>
              <w:bottom w:val="nil"/>
              <w:right w:val="nil"/>
            </w:tcBorders>
            <w:shd w:val="clear" w:color="auto" w:fill="auto"/>
            <w:noWrap/>
            <w:vAlign w:val="bottom"/>
            <w:hideMark/>
          </w:tcPr>
          <w:p w14:paraId="4BF0C7D2" w14:textId="77777777" w:rsidR="00DF70A7" w:rsidRPr="004242BB" w:rsidRDefault="00DF70A7" w:rsidP="00A21264">
            <w:pPr>
              <w:rPr>
                <w:sz w:val="20"/>
                <w:szCs w:val="20"/>
              </w:rPr>
            </w:pPr>
          </w:p>
        </w:tc>
      </w:tr>
      <w:tr w:rsidR="00DF70A7" w:rsidRPr="004242BB" w14:paraId="47F1C949" w14:textId="77777777" w:rsidTr="00A21264">
        <w:trPr>
          <w:trHeight w:val="320"/>
        </w:trPr>
        <w:tc>
          <w:tcPr>
            <w:tcW w:w="1404" w:type="dxa"/>
            <w:tcBorders>
              <w:top w:val="nil"/>
              <w:left w:val="nil"/>
              <w:bottom w:val="nil"/>
              <w:right w:val="nil"/>
            </w:tcBorders>
            <w:shd w:val="clear" w:color="auto" w:fill="auto"/>
            <w:noWrap/>
            <w:vAlign w:val="bottom"/>
            <w:hideMark/>
          </w:tcPr>
          <w:p w14:paraId="6B1523BC" w14:textId="77777777" w:rsidR="00DF70A7" w:rsidRPr="004242BB" w:rsidRDefault="00DF70A7" w:rsidP="00A21264">
            <w:pPr>
              <w:rPr>
                <w:sz w:val="20"/>
                <w:szCs w:val="20"/>
              </w:rPr>
            </w:pPr>
          </w:p>
        </w:tc>
        <w:tc>
          <w:tcPr>
            <w:tcW w:w="680" w:type="dxa"/>
            <w:tcBorders>
              <w:top w:val="nil"/>
              <w:left w:val="nil"/>
              <w:bottom w:val="nil"/>
              <w:right w:val="nil"/>
            </w:tcBorders>
            <w:shd w:val="clear" w:color="auto" w:fill="auto"/>
            <w:noWrap/>
            <w:vAlign w:val="bottom"/>
            <w:hideMark/>
          </w:tcPr>
          <w:p w14:paraId="2508D351" w14:textId="77777777" w:rsidR="00DF70A7" w:rsidRPr="004242BB" w:rsidRDefault="00DF70A7" w:rsidP="00A21264">
            <w:pPr>
              <w:rPr>
                <w:sz w:val="20"/>
                <w:szCs w:val="20"/>
              </w:rPr>
            </w:pPr>
          </w:p>
        </w:tc>
        <w:tc>
          <w:tcPr>
            <w:tcW w:w="1020" w:type="dxa"/>
            <w:tcBorders>
              <w:top w:val="single" w:sz="4" w:space="0" w:color="auto"/>
              <w:left w:val="single" w:sz="4" w:space="0" w:color="auto"/>
              <w:bottom w:val="single" w:sz="4" w:space="0" w:color="auto"/>
              <w:right w:val="nil"/>
            </w:tcBorders>
            <w:shd w:val="clear" w:color="auto" w:fill="auto"/>
            <w:noWrap/>
            <w:vAlign w:val="bottom"/>
            <w:hideMark/>
          </w:tcPr>
          <w:p w14:paraId="5E9F932E"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2011</w:t>
            </w:r>
          </w:p>
        </w:tc>
        <w:tc>
          <w:tcPr>
            <w:tcW w:w="1020" w:type="dxa"/>
            <w:tcBorders>
              <w:top w:val="single" w:sz="4" w:space="0" w:color="auto"/>
              <w:left w:val="nil"/>
              <w:bottom w:val="single" w:sz="4" w:space="0" w:color="auto"/>
              <w:right w:val="nil"/>
            </w:tcBorders>
            <w:shd w:val="clear" w:color="auto" w:fill="auto"/>
            <w:noWrap/>
            <w:vAlign w:val="bottom"/>
            <w:hideMark/>
          </w:tcPr>
          <w:p w14:paraId="2ADE33DD"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2012</w:t>
            </w:r>
          </w:p>
        </w:tc>
        <w:tc>
          <w:tcPr>
            <w:tcW w:w="980" w:type="dxa"/>
            <w:tcBorders>
              <w:top w:val="single" w:sz="4" w:space="0" w:color="auto"/>
              <w:left w:val="nil"/>
              <w:bottom w:val="single" w:sz="4" w:space="0" w:color="auto"/>
              <w:right w:val="nil"/>
            </w:tcBorders>
            <w:shd w:val="clear" w:color="auto" w:fill="auto"/>
            <w:noWrap/>
            <w:vAlign w:val="bottom"/>
            <w:hideMark/>
          </w:tcPr>
          <w:p w14:paraId="29786B32"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2013</w:t>
            </w:r>
          </w:p>
        </w:tc>
        <w:tc>
          <w:tcPr>
            <w:tcW w:w="1060" w:type="dxa"/>
            <w:tcBorders>
              <w:top w:val="single" w:sz="4" w:space="0" w:color="auto"/>
              <w:left w:val="nil"/>
              <w:bottom w:val="single" w:sz="4" w:space="0" w:color="auto"/>
              <w:right w:val="nil"/>
            </w:tcBorders>
            <w:shd w:val="clear" w:color="auto" w:fill="auto"/>
            <w:noWrap/>
            <w:vAlign w:val="bottom"/>
            <w:hideMark/>
          </w:tcPr>
          <w:p w14:paraId="0BB522B3"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2014</w:t>
            </w:r>
          </w:p>
        </w:tc>
        <w:tc>
          <w:tcPr>
            <w:tcW w:w="1300" w:type="dxa"/>
            <w:tcBorders>
              <w:top w:val="single" w:sz="4" w:space="0" w:color="auto"/>
              <w:left w:val="nil"/>
              <w:bottom w:val="single" w:sz="4" w:space="0" w:color="auto"/>
              <w:right w:val="nil"/>
            </w:tcBorders>
            <w:shd w:val="clear" w:color="auto" w:fill="auto"/>
            <w:noWrap/>
            <w:vAlign w:val="bottom"/>
            <w:hideMark/>
          </w:tcPr>
          <w:p w14:paraId="3F00F615"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2015</w:t>
            </w:r>
          </w:p>
        </w:tc>
        <w:tc>
          <w:tcPr>
            <w:tcW w:w="1080" w:type="dxa"/>
            <w:tcBorders>
              <w:top w:val="single" w:sz="4" w:space="0" w:color="auto"/>
              <w:left w:val="nil"/>
              <w:bottom w:val="single" w:sz="4" w:space="0" w:color="auto"/>
              <w:right w:val="nil"/>
            </w:tcBorders>
            <w:shd w:val="clear" w:color="auto" w:fill="auto"/>
            <w:noWrap/>
            <w:vAlign w:val="bottom"/>
            <w:hideMark/>
          </w:tcPr>
          <w:p w14:paraId="22ED614B"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2016</w:t>
            </w:r>
          </w:p>
        </w:tc>
        <w:tc>
          <w:tcPr>
            <w:tcW w:w="980" w:type="dxa"/>
            <w:tcBorders>
              <w:top w:val="single" w:sz="4" w:space="0" w:color="auto"/>
              <w:left w:val="nil"/>
              <w:bottom w:val="single" w:sz="4" w:space="0" w:color="auto"/>
              <w:right w:val="nil"/>
            </w:tcBorders>
            <w:shd w:val="clear" w:color="auto" w:fill="auto"/>
            <w:noWrap/>
            <w:vAlign w:val="bottom"/>
            <w:hideMark/>
          </w:tcPr>
          <w:p w14:paraId="07BA2FAC"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2017</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0CC3A085"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2018</w:t>
            </w:r>
          </w:p>
        </w:tc>
      </w:tr>
      <w:tr w:rsidR="00DF70A7" w:rsidRPr="004242BB" w14:paraId="2263FA6B" w14:textId="77777777" w:rsidTr="00A21264">
        <w:trPr>
          <w:trHeight w:val="320"/>
        </w:trPr>
        <w:tc>
          <w:tcPr>
            <w:tcW w:w="1404" w:type="dxa"/>
            <w:tcBorders>
              <w:top w:val="nil"/>
              <w:left w:val="nil"/>
              <w:bottom w:val="nil"/>
              <w:right w:val="nil"/>
            </w:tcBorders>
            <w:shd w:val="clear" w:color="auto" w:fill="auto"/>
            <w:noWrap/>
            <w:vAlign w:val="bottom"/>
            <w:hideMark/>
          </w:tcPr>
          <w:p w14:paraId="21C3CD7D" w14:textId="77777777" w:rsidR="00DF70A7" w:rsidRPr="004242BB" w:rsidRDefault="00DF70A7" w:rsidP="00A21264">
            <w:pPr>
              <w:rPr>
                <w:rFonts w:ascii="Calibri" w:hAnsi="Calibri" w:cs="Calibri"/>
                <w:color w:val="000000"/>
              </w:rPr>
            </w:pPr>
            <w:r w:rsidRPr="004242BB">
              <w:rPr>
                <w:rFonts w:ascii="Calibri" w:hAnsi="Calibri" w:cs="Calibri"/>
                <w:color w:val="000000"/>
              </w:rPr>
              <w:t>CBC California</w:t>
            </w:r>
          </w:p>
        </w:tc>
        <w:tc>
          <w:tcPr>
            <w:tcW w:w="680" w:type="dxa"/>
            <w:tcBorders>
              <w:top w:val="single" w:sz="4" w:space="0" w:color="auto"/>
              <w:left w:val="single" w:sz="4" w:space="0" w:color="auto"/>
              <w:bottom w:val="nil"/>
              <w:right w:val="single" w:sz="4" w:space="0" w:color="auto"/>
            </w:tcBorders>
            <w:shd w:val="clear" w:color="auto" w:fill="auto"/>
            <w:noWrap/>
            <w:vAlign w:val="bottom"/>
            <w:hideMark/>
          </w:tcPr>
          <w:p w14:paraId="6FAEF153"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2011</w:t>
            </w:r>
          </w:p>
        </w:tc>
        <w:tc>
          <w:tcPr>
            <w:tcW w:w="1020" w:type="dxa"/>
            <w:tcBorders>
              <w:top w:val="nil"/>
              <w:left w:val="nil"/>
              <w:bottom w:val="nil"/>
              <w:right w:val="nil"/>
            </w:tcBorders>
            <w:shd w:val="clear" w:color="auto" w:fill="auto"/>
            <w:noWrap/>
            <w:vAlign w:val="bottom"/>
            <w:hideMark/>
          </w:tcPr>
          <w:p w14:paraId="256CF0D8"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1020" w:type="dxa"/>
            <w:tcBorders>
              <w:top w:val="nil"/>
              <w:left w:val="nil"/>
              <w:bottom w:val="nil"/>
              <w:right w:val="nil"/>
            </w:tcBorders>
            <w:shd w:val="clear" w:color="auto" w:fill="auto"/>
            <w:noWrap/>
            <w:vAlign w:val="bottom"/>
            <w:hideMark/>
          </w:tcPr>
          <w:p w14:paraId="5F605354"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0D699496"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60" w:type="dxa"/>
            <w:tcBorders>
              <w:top w:val="nil"/>
              <w:left w:val="nil"/>
              <w:bottom w:val="nil"/>
              <w:right w:val="nil"/>
            </w:tcBorders>
            <w:shd w:val="clear" w:color="auto" w:fill="auto"/>
            <w:noWrap/>
            <w:vAlign w:val="bottom"/>
            <w:hideMark/>
          </w:tcPr>
          <w:p w14:paraId="2675F484"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300" w:type="dxa"/>
            <w:tcBorders>
              <w:top w:val="nil"/>
              <w:left w:val="nil"/>
              <w:bottom w:val="nil"/>
              <w:right w:val="nil"/>
            </w:tcBorders>
            <w:shd w:val="clear" w:color="auto" w:fill="auto"/>
            <w:noWrap/>
            <w:vAlign w:val="bottom"/>
            <w:hideMark/>
          </w:tcPr>
          <w:p w14:paraId="1632445F"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80" w:type="dxa"/>
            <w:tcBorders>
              <w:top w:val="nil"/>
              <w:left w:val="nil"/>
              <w:bottom w:val="nil"/>
              <w:right w:val="nil"/>
            </w:tcBorders>
            <w:shd w:val="clear" w:color="auto" w:fill="auto"/>
            <w:noWrap/>
            <w:vAlign w:val="bottom"/>
            <w:hideMark/>
          </w:tcPr>
          <w:p w14:paraId="2175B0E1"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3B0F5C57"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single" w:sz="4" w:space="0" w:color="auto"/>
            </w:tcBorders>
            <w:shd w:val="clear" w:color="auto" w:fill="auto"/>
            <w:noWrap/>
            <w:vAlign w:val="bottom"/>
            <w:hideMark/>
          </w:tcPr>
          <w:p w14:paraId="57563CB6"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r>
      <w:tr w:rsidR="00DF70A7" w:rsidRPr="004242BB" w14:paraId="05D1068A" w14:textId="77777777" w:rsidTr="00A21264">
        <w:trPr>
          <w:trHeight w:val="320"/>
        </w:trPr>
        <w:tc>
          <w:tcPr>
            <w:tcW w:w="1404" w:type="dxa"/>
            <w:tcBorders>
              <w:top w:val="nil"/>
              <w:left w:val="nil"/>
              <w:bottom w:val="nil"/>
              <w:right w:val="nil"/>
            </w:tcBorders>
            <w:shd w:val="clear" w:color="auto" w:fill="auto"/>
            <w:noWrap/>
            <w:vAlign w:val="bottom"/>
            <w:hideMark/>
          </w:tcPr>
          <w:p w14:paraId="708AAEB7"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135D8623"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2012</w:t>
            </w:r>
          </w:p>
        </w:tc>
        <w:tc>
          <w:tcPr>
            <w:tcW w:w="1020" w:type="dxa"/>
            <w:tcBorders>
              <w:top w:val="nil"/>
              <w:left w:val="nil"/>
              <w:bottom w:val="nil"/>
              <w:right w:val="nil"/>
            </w:tcBorders>
            <w:shd w:val="clear" w:color="auto" w:fill="auto"/>
            <w:noWrap/>
            <w:vAlign w:val="bottom"/>
            <w:hideMark/>
          </w:tcPr>
          <w:p w14:paraId="05EFB6AC"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20" w:type="dxa"/>
            <w:tcBorders>
              <w:top w:val="nil"/>
              <w:left w:val="nil"/>
              <w:bottom w:val="nil"/>
              <w:right w:val="nil"/>
            </w:tcBorders>
            <w:shd w:val="clear" w:color="auto" w:fill="auto"/>
            <w:noWrap/>
            <w:vAlign w:val="bottom"/>
            <w:hideMark/>
          </w:tcPr>
          <w:p w14:paraId="583FA2AC"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980" w:type="dxa"/>
            <w:tcBorders>
              <w:top w:val="nil"/>
              <w:left w:val="nil"/>
              <w:bottom w:val="nil"/>
              <w:right w:val="nil"/>
            </w:tcBorders>
            <w:shd w:val="clear" w:color="auto" w:fill="auto"/>
            <w:noWrap/>
            <w:vAlign w:val="bottom"/>
            <w:hideMark/>
          </w:tcPr>
          <w:p w14:paraId="1C50978C"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60" w:type="dxa"/>
            <w:tcBorders>
              <w:top w:val="nil"/>
              <w:left w:val="nil"/>
              <w:bottom w:val="nil"/>
              <w:right w:val="nil"/>
            </w:tcBorders>
            <w:shd w:val="clear" w:color="auto" w:fill="auto"/>
            <w:noWrap/>
            <w:vAlign w:val="bottom"/>
            <w:hideMark/>
          </w:tcPr>
          <w:p w14:paraId="5AD2A163" w14:textId="77777777" w:rsidR="00DF70A7" w:rsidRPr="004242BB" w:rsidRDefault="00DF70A7" w:rsidP="00A21264">
            <w:pPr>
              <w:rPr>
                <w:rFonts w:ascii="Calibri" w:hAnsi="Calibri" w:cs="Calibri"/>
                <w:color w:val="000000"/>
              </w:rPr>
            </w:pPr>
            <w:r w:rsidRPr="004242BB">
              <w:rPr>
                <w:rFonts w:ascii="Calibri" w:hAnsi="Calibri" w:cs="Calibri"/>
                <w:color w:val="000000"/>
              </w:rPr>
              <w:t>&lt;0.03</w:t>
            </w:r>
          </w:p>
        </w:tc>
        <w:tc>
          <w:tcPr>
            <w:tcW w:w="1300" w:type="dxa"/>
            <w:tcBorders>
              <w:top w:val="nil"/>
              <w:left w:val="nil"/>
              <w:bottom w:val="nil"/>
              <w:right w:val="nil"/>
            </w:tcBorders>
            <w:shd w:val="clear" w:color="auto" w:fill="auto"/>
            <w:noWrap/>
            <w:vAlign w:val="bottom"/>
            <w:hideMark/>
          </w:tcPr>
          <w:p w14:paraId="5D863066"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80" w:type="dxa"/>
            <w:tcBorders>
              <w:top w:val="nil"/>
              <w:left w:val="nil"/>
              <w:bottom w:val="nil"/>
              <w:right w:val="nil"/>
            </w:tcBorders>
            <w:shd w:val="clear" w:color="auto" w:fill="auto"/>
            <w:noWrap/>
            <w:vAlign w:val="bottom"/>
            <w:hideMark/>
          </w:tcPr>
          <w:p w14:paraId="7FFBA64C"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7427AB5D"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single" w:sz="4" w:space="0" w:color="auto"/>
            </w:tcBorders>
            <w:shd w:val="clear" w:color="auto" w:fill="auto"/>
            <w:noWrap/>
            <w:vAlign w:val="bottom"/>
            <w:hideMark/>
          </w:tcPr>
          <w:p w14:paraId="30E6156F"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r>
      <w:tr w:rsidR="00DF70A7" w:rsidRPr="004242BB" w14:paraId="3AF2DAC3" w14:textId="77777777" w:rsidTr="00A21264">
        <w:trPr>
          <w:trHeight w:val="320"/>
        </w:trPr>
        <w:tc>
          <w:tcPr>
            <w:tcW w:w="1404" w:type="dxa"/>
            <w:tcBorders>
              <w:top w:val="nil"/>
              <w:left w:val="nil"/>
              <w:bottom w:val="nil"/>
              <w:right w:val="nil"/>
            </w:tcBorders>
            <w:shd w:val="clear" w:color="auto" w:fill="auto"/>
            <w:noWrap/>
            <w:vAlign w:val="bottom"/>
            <w:hideMark/>
          </w:tcPr>
          <w:p w14:paraId="3EF48CFD"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46D189DF"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2013</w:t>
            </w:r>
          </w:p>
        </w:tc>
        <w:tc>
          <w:tcPr>
            <w:tcW w:w="1020" w:type="dxa"/>
            <w:tcBorders>
              <w:top w:val="nil"/>
              <w:left w:val="nil"/>
              <w:bottom w:val="nil"/>
              <w:right w:val="nil"/>
            </w:tcBorders>
            <w:shd w:val="clear" w:color="auto" w:fill="auto"/>
            <w:noWrap/>
            <w:vAlign w:val="bottom"/>
            <w:hideMark/>
          </w:tcPr>
          <w:p w14:paraId="6FA3002F" w14:textId="77777777" w:rsidR="00DF70A7" w:rsidRPr="004242BB" w:rsidRDefault="00DF70A7" w:rsidP="00A21264">
            <w:pPr>
              <w:rPr>
                <w:rFonts w:ascii="Calibri" w:hAnsi="Calibri" w:cs="Calibri"/>
                <w:color w:val="000000"/>
              </w:rPr>
            </w:pPr>
            <w:r w:rsidRPr="004242BB">
              <w:rPr>
                <w:rFonts w:ascii="Calibri" w:hAnsi="Calibri" w:cs="Calibri"/>
                <w:color w:val="000000"/>
              </w:rPr>
              <w:t>&lt;0.05</w:t>
            </w:r>
          </w:p>
        </w:tc>
        <w:tc>
          <w:tcPr>
            <w:tcW w:w="1020" w:type="dxa"/>
            <w:tcBorders>
              <w:top w:val="nil"/>
              <w:left w:val="nil"/>
              <w:bottom w:val="nil"/>
              <w:right w:val="nil"/>
            </w:tcBorders>
            <w:shd w:val="clear" w:color="auto" w:fill="auto"/>
            <w:noWrap/>
            <w:vAlign w:val="bottom"/>
            <w:hideMark/>
          </w:tcPr>
          <w:p w14:paraId="5B4AF28D"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6547DF37"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1060" w:type="dxa"/>
            <w:tcBorders>
              <w:top w:val="nil"/>
              <w:left w:val="nil"/>
              <w:bottom w:val="nil"/>
              <w:right w:val="nil"/>
            </w:tcBorders>
            <w:shd w:val="clear" w:color="auto" w:fill="auto"/>
            <w:noWrap/>
            <w:vAlign w:val="bottom"/>
            <w:hideMark/>
          </w:tcPr>
          <w:p w14:paraId="114B3293" w14:textId="77777777" w:rsidR="00DF70A7" w:rsidRPr="004242BB" w:rsidRDefault="00DF70A7" w:rsidP="00A21264">
            <w:pPr>
              <w:rPr>
                <w:rFonts w:ascii="Calibri" w:hAnsi="Calibri" w:cs="Calibri"/>
                <w:color w:val="000000"/>
              </w:rPr>
            </w:pPr>
            <w:r w:rsidRPr="004242BB">
              <w:rPr>
                <w:rFonts w:ascii="Calibri" w:hAnsi="Calibri" w:cs="Calibri"/>
                <w:color w:val="000000"/>
              </w:rPr>
              <w:t>&lt;0.003</w:t>
            </w:r>
          </w:p>
        </w:tc>
        <w:tc>
          <w:tcPr>
            <w:tcW w:w="1300" w:type="dxa"/>
            <w:tcBorders>
              <w:top w:val="nil"/>
              <w:left w:val="nil"/>
              <w:bottom w:val="nil"/>
              <w:right w:val="nil"/>
            </w:tcBorders>
            <w:shd w:val="clear" w:color="auto" w:fill="auto"/>
            <w:noWrap/>
            <w:vAlign w:val="bottom"/>
            <w:hideMark/>
          </w:tcPr>
          <w:p w14:paraId="0CDFF2F8" w14:textId="77777777" w:rsidR="00DF70A7" w:rsidRPr="004242BB" w:rsidRDefault="00DF70A7" w:rsidP="00A21264">
            <w:pPr>
              <w:rPr>
                <w:rFonts w:ascii="Calibri" w:hAnsi="Calibri" w:cs="Calibri"/>
                <w:color w:val="000000"/>
              </w:rPr>
            </w:pPr>
            <w:r w:rsidRPr="004242BB">
              <w:rPr>
                <w:rFonts w:ascii="Calibri" w:hAnsi="Calibri" w:cs="Calibri"/>
                <w:color w:val="000000"/>
              </w:rPr>
              <w:t>&lt;0.001</w:t>
            </w:r>
          </w:p>
        </w:tc>
        <w:tc>
          <w:tcPr>
            <w:tcW w:w="1080" w:type="dxa"/>
            <w:tcBorders>
              <w:top w:val="nil"/>
              <w:left w:val="nil"/>
              <w:bottom w:val="nil"/>
              <w:right w:val="nil"/>
            </w:tcBorders>
            <w:shd w:val="clear" w:color="auto" w:fill="auto"/>
            <w:noWrap/>
            <w:vAlign w:val="bottom"/>
            <w:hideMark/>
          </w:tcPr>
          <w:p w14:paraId="0678C51A"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622E21FA"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single" w:sz="4" w:space="0" w:color="auto"/>
            </w:tcBorders>
            <w:shd w:val="clear" w:color="auto" w:fill="auto"/>
            <w:noWrap/>
            <w:vAlign w:val="bottom"/>
            <w:hideMark/>
          </w:tcPr>
          <w:p w14:paraId="1EDA621E"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r>
      <w:tr w:rsidR="00DF70A7" w:rsidRPr="004242BB" w14:paraId="4C2AE42E" w14:textId="77777777" w:rsidTr="00A21264">
        <w:trPr>
          <w:trHeight w:val="320"/>
        </w:trPr>
        <w:tc>
          <w:tcPr>
            <w:tcW w:w="1404" w:type="dxa"/>
            <w:tcBorders>
              <w:top w:val="nil"/>
              <w:left w:val="nil"/>
              <w:bottom w:val="nil"/>
              <w:right w:val="nil"/>
            </w:tcBorders>
            <w:shd w:val="clear" w:color="auto" w:fill="auto"/>
            <w:noWrap/>
            <w:vAlign w:val="bottom"/>
            <w:hideMark/>
          </w:tcPr>
          <w:p w14:paraId="11BF37B8"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6FC94F41"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2014</w:t>
            </w:r>
          </w:p>
        </w:tc>
        <w:tc>
          <w:tcPr>
            <w:tcW w:w="1020" w:type="dxa"/>
            <w:tcBorders>
              <w:top w:val="nil"/>
              <w:left w:val="nil"/>
              <w:bottom w:val="nil"/>
              <w:right w:val="nil"/>
            </w:tcBorders>
            <w:shd w:val="clear" w:color="auto" w:fill="auto"/>
            <w:noWrap/>
            <w:vAlign w:val="bottom"/>
            <w:hideMark/>
          </w:tcPr>
          <w:p w14:paraId="18F26069" w14:textId="77777777" w:rsidR="00DF70A7" w:rsidRPr="004242BB" w:rsidRDefault="00DF70A7" w:rsidP="00A21264">
            <w:pPr>
              <w:rPr>
                <w:rFonts w:ascii="Calibri" w:hAnsi="Calibri" w:cs="Calibri"/>
                <w:color w:val="000000"/>
              </w:rPr>
            </w:pPr>
            <w:r w:rsidRPr="004242BB">
              <w:rPr>
                <w:rFonts w:ascii="Calibri" w:hAnsi="Calibri" w:cs="Calibri"/>
                <w:color w:val="000000"/>
              </w:rPr>
              <w:t>&lt;0.03</w:t>
            </w:r>
          </w:p>
        </w:tc>
        <w:tc>
          <w:tcPr>
            <w:tcW w:w="1020" w:type="dxa"/>
            <w:tcBorders>
              <w:top w:val="nil"/>
              <w:left w:val="nil"/>
              <w:bottom w:val="nil"/>
              <w:right w:val="nil"/>
            </w:tcBorders>
            <w:shd w:val="clear" w:color="auto" w:fill="auto"/>
            <w:noWrap/>
            <w:vAlign w:val="bottom"/>
            <w:hideMark/>
          </w:tcPr>
          <w:p w14:paraId="25694FEC"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nil"/>
            </w:tcBorders>
            <w:shd w:val="clear" w:color="auto" w:fill="auto"/>
            <w:noWrap/>
            <w:vAlign w:val="bottom"/>
            <w:hideMark/>
          </w:tcPr>
          <w:p w14:paraId="542BD7EA"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60" w:type="dxa"/>
            <w:tcBorders>
              <w:top w:val="nil"/>
              <w:left w:val="nil"/>
              <w:bottom w:val="nil"/>
              <w:right w:val="nil"/>
            </w:tcBorders>
            <w:shd w:val="clear" w:color="auto" w:fill="auto"/>
            <w:noWrap/>
            <w:vAlign w:val="bottom"/>
            <w:hideMark/>
          </w:tcPr>
          <w:p w14:paraId="31071B47"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1300" w:type="dxa"/>
            <w:tcBorders>
              <w:top w:val="nil"/>
              <w:left w:val="nil"/>
              <w:bottom w:val="nil"/>
              <w:right w:val="nil"/>
            </w:tcBorders>
            <w:shd w:val="clear" w:color="auto" w:fill="auto"/>
            <w:noWrap/>
            <w:vAlign w:val="bottom"/>
            <w:hideMark/>
          </w:tcPr>
          <w:p w14:paraId="78AE4283"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80" w:type="dxa"/>
            <w:tcBorders>
              <w:top w:val="nil"/>
              <w:left w:val="nil"/>
              <w:bottom w:val="nil"/>
              <w:right w:val="nil"/>
            </w:tcBorders>
            <w:shd w:val="clear" w:color="auto" w:fill="auto"/>
            <w:noWrap/>
            <w:vAlign w:val="bottom"/>
            <w:hideMark/>
          </w:tcPr>
          <w:p w14:paraId="503AA5FB"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74FE7AE7"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single" w:sz="4" w:space="0" w:color="auto"/>
            </w:tcBorders>
            <w:shd w:val="clear" w:color="auto" w:fill="auto"/>
            <w:noWrap/>
            <w:vAlign w:val="bottom"/>
            <w:hideMark/>
          </w:tcPr>
          <w:p w14:paraId="61BDDF42" w14:textId="77777777" w:rsidR="00DF70A7" w:rsidRPr="004242BB" w:rsidRDefault="00DF70A7" w:rsidP="00A21264">
            <w:pPr>
              <w:rPr>
                <w:rFonts w:ascii="Calibri" w:hAnsi="Calibri" w:cs="Calibri"/>
                <w:color w:val="000000"/>
              </w:rPr>
            </w:pPr>
            <w:r w:rsidRPr="004242BB">
              <w:rPr>
                <w:rFonts w:ascii="Calibri" w:hAnsi="Calibri" w:cs="Calibri"/>
                <w:color w:val="000000"/>
              </w:rPr>
              <w:t>&lt;0.001</w:t>
            </w:r>
          </w:p>
        </w:tc>
      </w:tr>
      <w:tr w:rsidR="00DF70A7" w:rsidRPr="004242BB" w14:paraId="11C11250" w14:textId="77777777" w:rsidTr="00A21264">
        <w:trPr>
          <w:trHeight w:val="320"/>
        </w:trPr>
        <w:tc>
          <w:tcPr>
            <w:tcW w:w="1404" w:type="dxa"/>
            <w:tcBorders>
              <w:top w:val="nil"/>
              <w:left w:val="nil"/>
              <w:bottom w:val="nil"/>
              <w:right w:val="nil"/>
            </w:tcBorders>
            <w:shd w:val="clear" w:color="auto" w:fill="auto"/>
            <w:noWrap/>
            <w:vAlign w:val="bottom"/>
            <w:hideMark/>
          </w:tcPr>
          <w:p w14:paraId="2480A68F"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76827A5D"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2015</w:t>
            </w:r>
          </w:p>
        </w:tc>
        <w:tc>
          <w:tcPr>
            <w:tcW w:w="1020" w:type="dxa"/>
            <w:tcBorders>
              <w:top w:val="nil"/>
              <w:left w:val="nil"/>
              <w:bottom w:val="nil"/>
              <w:right w:val="nil"/>
            </w:tcBorders>
            <w:shd w:val="clear" w:color="auto" w:fill="auto"/>
            <w:noWrap/>
            <w:vAlign w:val="bottom"/>
            <w:hideMark/>
          </w:tcPr>
          <w:p w14:paraId="069D2764"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20" w:type="dxa"/>
            <w:tcBorders>
              <w:top w:val="nil"/>
              <w:left w:val="nil"/>
              <w:bottom w:val="nil"/>
              <w:right w:val="nil"/>
            </w:tcBorders>
            <w:shd w:val="clear" w:color="auto" w:fill="auto"/>
            <w:noWrap/>
            <w:vAlign w:val="bottom"/>
            <w:hideMark/>
          </w:tcPr>
          <w:p w14:paraId="55FCE67E"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nil"/>
            </w:tcBorders>
            <w:shd w:val="clear" w:color="auto" w:fill="auto"/>
            <w:noWrap/>
            <w:vAlign w:val="bottom"/>
            <w:hideMark/>
          </w:tcPr>
          <w:p w14:paraId="62234E55"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60" w:type="dxa"/>
            <w:tcBorders>
              <w:top w:val="nil"/>
              <w:left w:val="nil"/>
              <w:bottom w:val="nil"/>
              <w:right w:val="nil"/>
            </w:tcBorders>
            <w:shd w:val="clear" w:color="auto" w:fill="auto"/>
            <w:noWrap/>
            <w:vAlign w:val="bottom"/>
            <w:hideMark/>
          </w:tcPr>
          <w:p w14:paraId="7F80F58E"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300" w:type="dxa"/>
            <w:tcBorders>
              <w:top w:val="nil"/>
              <w:left w:val="nil"/>
              <w:bottom w:val="nil"/>
              <w:right w:val="nil"/>
            </w:tcBorders>
            <w:shd w:val="clear" w:color="auto" w:fill="auto"/>
            <w:noWrap/>
            <w:vAlign w:val="bottom"/>
            <w:hideMark/>
          </w:tcPr>
          <w:p w14:paraId="11595142"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1080" w:type="dxa"/>
            <w:tcBorders>
              <w:top w:val="nil"/>
              <w:left w:val="nil"/>
              <w:bottom w:val="nil"/>
              <w:right w:val="nil"/>
            </w:tcBorders>
            <w:shd w:val="clear" w:color="auto" w:fill="auto"/>
            <w:noWrap/>
            <w:vAlign w:val="bottom"/>
            <w:hideMark/>
          </w:tcPr>
          <w:p w14:paraId="2A8F1071"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4D76931F"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nil"/>
              <w:right w:val="single" w:sz="4" w:space="0" w:color="auto"/>
            </w:tcBorders>
            <w:shd w:val="clear" w:color="auto" w:fill="auto"/>
            <w:noWrap/>
            <w:vAlign w:val="bottom"/>
            <w:hideMark/>
          </w:tcPr>
          <w:p w14:paraId="58F6DE75" w14:textId="77777777" w:rsidR="00DF70A7" w:rsidRPr="004242BB" w:rsidRDefault="00DF70A7" w:rsidP="00A21264">
            <w:pPr>
              <w:rPr>
                <w:rFonts w:ascii="Calibri" w:hAnsi="Calibri" w:cs="Calibri"/>
                <w:color w:val="000000"/>
              </w:rPr>
            </w:pPr>
            <w:r w:rsidRPr="004242BB">
              <w:rPr>
                <w:rFonts w:ascii="Calibri" w:hAnsi="Calibri" w:cs="Calibri"/>
                <w:color w:val="000000"/>
              </w:rPr>
              <w:t>&lt;0.01</w:t>
            </w:r>
          </w:p>
        </w:tc>
      </w:tr>
      <w:tr w:rsidR="00DF70A7" w:rsidRPr="004242BB" w14:paraId="6FC68F43" w14:textId="77777777" w:rsidTr="00A21264">
        <w:trPr>
          <w:trHeight w:val="320"/>
        </w:trPr>
        <w:tc>
          <w:tcPr>
            <w:tcW w:w="1404" w:type="dxa"/>
            <w:tcBorders>
              <w:top w:val="nil"/>
              <w:left w:val="nil"/>
              <w:bottom w:val="nil"/>
              <w:right w:val="nil"/>
            </w:tcBorders>
            <w:shd w:val="clear" w:color="auto" w:fill="auto"/>
            <w:noWrap/>
            <w:vAlign w:val="bottom"/>
            <w:hideMark/>
          </w:tcPr>
          <w:p w14:paraId="36E83871"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05CA156E"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2016</w:t>
            </w:r>
          </w:p>
        </w:tc>
        <w:tc>
          <w:tcPr>
            <w:tcW w:w="1020" w:type="dxa"/>
            <w:tcBorders>
              <w:top w:val="nil"/>
              <w:left w:val="nil"/>
              <w:bottom w:val="nil"/>
              <w:right w:val="nil"/>
            </w:tcBorders>
            <w:shd w:val="clear" w:color="auto" w:fill="auto"/>
            <w:noWrap/>
            <w:vAlign w:val="bottom"/>
            <w:hideMark/>
          </w:tcPr>
          <w:p w14:paraId="34A4D04A"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20" w:type="dxa"/>
            <w:tcBorders>
              <w:top w:val="nil"/>
              <w:left w:val="nil"/>
              <w:bottom w:val="nil"/>
              <w:right w:val="nil"/>
            </w:tcBorders>
            <w:shd w:val="clear" w:color="auto" w:fill="auto"/>
            <w:noWrap/>
            <w:vAlign w:val="bottom"/>
            <w:hideMark/>
          </w:tcPr>
          <w:p w14:paraId="31D76A9F"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30221108"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60" w:type="dxa"/>
            <w:tcBorders>
              <w:top w:val="nil"/>
              <w:left w:val="nil"/>
              <w:bottom w:val="nil"/>
              <w:right w:val="nil"/>
            </w:tcBorders>
            <w:shd w:val="clear" w:color="auto" w:fill="auto"/>
            <w:noWrap/>
            <w:vAlign w:val="bottom"/>
            <w:hideMark/>
          </w:tcPr>
          <w:p w14:paraId="25F42D62"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300" w:type="dxa"/>
            <w:tcBorders>
              <w:top w:val="nil"/>
              <w:left w:val="nil"/>
              <w:bottom w:val="nil"/>
              <w:right w:val="nil"/>
            </w:tcBorders>
            <w:shd w:val="clear" w:color="auto" w:fill="auto"/>
            <w:noWrap/>
            <w:vAlign w:val="bottom"/>
            <w:hideMark/>
          </w:tcPr>
          <w:p w14:paraId="237DDB66"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80" w:type="dxa"/>
            <w:tcBorders>
              <w:top w:val="nil"/>
              <w:left w:val="nil"/>
              <w:bottom w:val="nil"/>
              <w:right w:val="nil"/>
            </w:tcBorders>
            <w:shd w:val="clear" w:color="auto" w:fill="auto"/>
            <w:noWrap/>
            <w:vAlign w:val="bottom"/>
            <w:hideMark/>
          </w:tcPr>
          <w:p w14:paraId="2E56A6E1"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980" w:type="dxa"/>
            <w:tcBorders>
              <w:top w:val="nil"/>
              <w:left w:val="nil"/>
              <w:bottom w:val="nil"/>
              <w:right w:val="nil"/>
            </w:tcBorders>
            <w:shd w:val="clear" w:color="auto" w:fill="auto"/>
            <w:noWrap/>
            <w:vAlign w:val="bottom"/>
            <w:hideMark/>
          </w:tcPr>
          <w:p w14:paraId="4D4CE2E0"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single" w:sz="4" w:space="0" w:color="auto"/>
            </w:tcBorders>
            <w:shd w:val="clear" w:color="auto" w:fill="auto"/>
            <w:noWrap/>
            <w:vAlign w:val="bottom"/>
            <w:hideMark/>
          </w:tcPr>
          <w:p w14:paraId="19A87CC0"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r>
      <w:tr w:rsidR="00DF70A7" w:rsidRPr="004242BB" w14:paraId="43503D23" w14:textId="77777777" w:rsidTr="00A21264">
        <w:trPr>
          <w:trHeight w:val="320"/>
        </w:trPr>
        <w:tc>
          <w:tcPr>
            <w:tcW w:w="1404" w:type="dxa"/>
            <w:tcBorders>
              <w:top w:val="nil"/>
              <w:left w:val="nil"/>
              <w:bottom w:val="nil"/>
              <w:right w:val="nil"/>
            </w:tcBorders>
            <w:shd w:val="clear" w:color="auto" w:fill="auto"/>
            <w:noWrap/>
            <w:vAlign w:val="bottom"/>
            <w:hideMark/>
          </w:tcPr>
          <w:p w14:paraId="2F73026A"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nil"/>
              <w:right w:val="single" w:sz="4" w:space="0" w:color="auto"/>
            </w:tcBorders>
            <w:shd w:val="clear" w:color="auto" w:fill="auto"/>
            <w:noWrap/>
            <w:vAlign w:val="bottom"/>
            <w:hideMark/>
          </w:tcPr>
          <w:p w14:paraId="6A3066C2"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2017</w:t>
            </w:r>
          </w:p>
        </w:tc>
        <w:tc>
          <w:tcPr>
            <w:tcW w:w="1020" w:type="dxa"/>
            <w:tcBorders>
              <w:top w:val="nil"/>
              <w:left w:val="nil"/>
              <w:bottom w:val="nil"/>
              <w:right w:val="nil"/>
            </w:tcBorders>
            <w:shd w:val="clear" w:color="auto" w:fill="auto"/>
            <w:noWrap/>
            <w:vAlign w:val="bottom"/>
            <w:hideMark/>
          </w:tcPr>
          <w:p w14:paraId="5DE320E7"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020" w:type="dxa"/>
            <w:tcBorders>
              <w:top w:val="nil"/>
              <w:left w:val="nil"/>
              <w:bottom w:val="nil"/>
              <w:right w:val="nil"/>
            </w:tcBorders>
            <w:shd w:val="clear" w:color="auto" w:fill="auto"/>
            <w:noWrap/>
            <w:vAlign w:val="bottom"/>
            <w:hideMark/>
          </w:tcPr>
          <w:p w14:paraId="6D72247E" w14:textId="77777777" w:rsidR="00DF70A7" w:rsidRPr="004242BB" w:rsidRDefault="00DF70A7" w:rsidP="00A21264">
            <w:pPr>
              <w:rPr>
                <w:rFonts w:ascii="Calibri" w:hAnsi="Calibri" w:cs="Calibri"/>
                <w:color w:val="000000"/>
              </w:rPr>
            </w:pPr>
            <w:r w:rsidRPr="004242BB">
              <w:rPr>
                <w:rFonts w:ascii="Calibri" w:hAnsi="Calibri" w:cs="Calibri"/>
                <w:color w:val="000000"/>
              </w:rPr>
              <w:t>&lt;0.001</w:t>
            </w:r>
          </w:p>
        </w:tc>
        <w:tc>
          <w:tcPr>
            <w:tcW w:w="980" w:type="dxa"/>
            <w:tcBorders>
              <w:top w:val="nil"/>
              <w:left w:val="nil"/>
              <w:bottom w:val="nil"/>
              <w:right w:val="nil"/>
            </w:tcBorders>
            <w:shd w:val="clear" w:color="auto" w:fill="auto"/>
            <w:noWrap/>
            <w:vAlign w:val="bottom"/>
            <w:hideMark/>
          </w:tcPr>
          <w:p w14:paraId="4EEEE92A"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60" w:type="dxa"/>
            <w:tcBorders>
              <w:top w:val="nil"/>
              <w:left w:val="nil"/>
              <w:bottom w:val="nil"/>
              <w:right w:val="nil"/>
            </w:tcBorders>
            <w:shd w:val="clear" w:color="auto" w:fill="auto"/>
            <w:noWrap/>
            <w:vAlign w:val="bottom"/>
            <w:hideMark/>
          </w:tcPr>
          <w:p w14:paraId="3E73BF9B"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1300" w:type="dxa"/>
            <w:tcBorders>
              <w:top w:val="nil"/>
              <w:left w:val="nil"/>
              <w:bottom w:val="nil"/>
              <w:right w:val="nil"/>
            </w:tcBorders>
            <w:shd w:val="clear" w:color="auto" w:fill="auto"/>
            <w:noWrap/>
            <w:vAlign w:val="bottom"/>
            <w:hideMark/>
          </w:tcPr>
          <w:p w14:paraId="798A84DB" w14:textId="77777777" w:rsidR="00DF70A7" w:rsidRPr="004242BB" w:rsidRDefault="00DF70A7" w:rsidP="00A21264">
            <w:pPr>
              <w:rPr>
                <w:rFonts w:ascii="Calibri" w:hAnsi="Calibri" w:cs="Calibri"/>
                <w:color w:val="000000"/>
              </w:rPr>
            </w:pPr>
            <w:r w:rsidRPr="004242BB">
              <w:rPr>
                <w:rFonts w:ascii="Calibri" w:hAnsi="Calibri" w:cs="Calibri"/>
                <w:color w:val="000000"/>
              </w:rPr>
              <w:t>&lt;0.003</w:t>
            </w:r>
          </w:p>
        </w:tc>
        <w:tc>
          <w:tcPr>
            <w:tcW w:w="1080" w:type="dxa"/>
            <w:tcBorders>
              <w:top w:val="nil"/>
              <w:left w:val="nil"/>
              <w:bottom w:val="nil"/>
              <w:right w:val="nil"/>
            </w:tcBorders>
            <w:shd w:val="clear" w:color="auto" w:fill="auto"/>
            <w:noWrap/>
            <w:vAlign w:val="bottom"/>
            <w:hideMark/>
          </w:tcPr>
          <w:p w14:paraId="5217C6CF"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nil"/>
              <w:right w:val="nil"/>
            </w:tcBorders>
            <w:shd w:val="clear" w:color="auto" w:fill="auto"/>
            <w:noWrap/>
            <w:vAlign w:val="bottom"/>
            <w:hideMark/>
          </w:tcPr>
          <w:p w14:paraId="7532D9C6"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c>
          <w:tcPr>
            <w:tcW w:w="980" w:type="dxa"/>
            <w:tcBorders>
              <w:top w:val="nil"/>
              <w:left w:val="nil"/>
              <w:bottom w:val="nil"/>
              <w:right w:val="single" w:sz="4" w:space="0" w:color="auto"/>
            </w:tcBorders>
            <w:shd w:val="clear" w:color="auto" w:fill="auto"/>
            <w:noWrap/>
            <w:vAlign w:val="bottom"/>
            <w:hideMark/>
          </w:tcPr>
          <w:p w14:paraId="3AD97452" w14:textId="77777777" w:rsidR="00DF70A7" w:rsidRPr="004242BB" w:rsidRDefault="00DF70A7" w:rsidP="00A21264">
            <w:pPr>
              <w:rPr>
                <w:rFonts w:ascii="Calibri" w:hAnsi="Calibri" w:cs="Calibri"/>
                <w:color w:val="000000"/>
              </w:rPr>
            </w:pPr>
            <w:r w:rsidRPr="004242BB">
              <w:rPr>
                <w:rFonts w:ascii="Calibri" w:hAnsi="Calibri" w:cs="Calibri"/>
                <w:color w:val="000000"/>
              </w:rPr>
              <w:t>&lt;0.01</w:t>
            </w:r>
          </w:p>
        </w:tc>
      </w:tr>
      <w:tr w:rsidR="00DF70A7" w:rsidRPr="004242BB" w14:paraId="6E0F7DFF" w14:textId="77777777" w:rsidTr="00A21264">
        <w:trPr>
          <w:trHeight w:val="320"/>
        </w:trPr>
        <w:tc>
          <w:tcPr>
            <w:tcW w:w="1404" w:type="dxa"/>
            <w:tcBorders>
              <w:top w:val="nil"/>
              <w:left w:val="nil"/>
              <w:bottom w:val="nil"/>
              <w:right w:val="nil"/>
            </w:tcBorders>
            <w:shd w:val="clear" w:color="auto" w:fill="auto"/>
            <w:noWrap/>
            <w:vAlign w:val="bottom"/>
            <w:hideMark/>
          </w:tcPr>
          <w:p w14:paraId="78464F43" w14:textId="77777777" w:rsidR="00DF70A7" w:rsidRPr="004242BB" w:rsidRDefault="00DF70A7" w:rsidP="00A21264">
            <w:pPr>
              <w:rPr>
                <w:rFonts w:ascii="Calibri" w:hAnsi="Calibri" w:cs="Calibri"/>
                <w:color w:val="000000"/>
              </w:rPr>
            </w:pPr>
          </w:p>
        </w:tc>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3C5BBE97" w14:textId="77777777" w:rsidR="00DF70A7" w:rsidRPr="004242BB" w:rsidRDefault="00DF70A7" w:rsidP="00A21264">
            <w:pPr>
              <w:jc w:val="right"/>
              <w:rPr>
                <w:rFonts w:ascii="Calibri" w:hAnsi="Calibri" w:cs="Calibri"/>
                <w:color w:val="000000"/>
              </w:rPr>
            </w:pPr>
            <w:r w:rsidRPr="004242BB">
              <w:rPr>
                <w:rFonts w:ascii="Calibri" w:hAnsi="Calibri" w:cs="Calibri"/>
                <w:color w:val="000000"/>
              </w:rPr>
              <w:t>2018</w:t>
            </w:r>
          </w:p>
        </w:tc>
        <w:tc>
          <w:tcPr>
            <w:tcW w:w="1020" w:type="dxa"/>
            <w:tcBorders>
              <w:top w:val="nil"/>
              <w:left w:val="nil"/>
              <w:bottom w:val="single" w:sz="4" w:space="0" w:color="auto"/>
              <w:right w:val="nil"/>
            </w:tcBorders>
            <w:shd w:val="clear" w:color="auto" w:fill="auto"/>
            <w:noWrap/>
            <w:vAlign w:val="bottom"/>
            <w:hideMark/>
          </w:tcPr>
          <w:p w14:paraId="26AB8D6F"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20" w:type="dxa"/>
            <w:tcBorders>
              <w:top w:val="nil"/>
              <w:left w:val="nil"/>
              <w:bottom w:val="single" w:sz="4" w:space="0" w:color="auto"/>
              <w:right w:val="nil"/>
            </w:tcBorders>
            <w:shd w:val="clear" w:color="auto" w:fill="auto"/>
            <w:noWrap/>
            <w:vAlign w:val="bottom"/>
            <w:hideMark/>
          </w:tcPr>
          <w:p w14:paraId="1E5DA85A"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single" w:sz="4" w:space="0" w:color="auto"/>
              <w:right w:val="nil"/>
            </w:tcBorders>
            <w:shd w:val="clear" w:color="auto" w:fill="auto"/>
            <w:noWrap/>
            <w:vAlign w:val="bottom"/>
            <w:hideMark/>
          </w:tcPr>
          <w:p w14:paraId="0A10540C"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60" w:type="dxa"/>
            <w:tcBorders>
              <w:top w:val="nil"/>
              <w:left w:val="nil"/>
              <w:bottom w:val="single" w:sz="4" w:space="0" w:color="auto"/>
              <w:right w:val="nil"/>
            </w:tcBorders>
            <w:shd w:val="clear" w:color="auto" w:fill="auto"/>
            <w:noWrap/>
            <w:vAlign w:val="bottom"/>
            <w:hideMark/>
          </w:tcPr>
          <w:p w14:paraId="2F75118C"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300" w:type="dxa"/>
            <w:tcBorders>
              <w:top w:val="nil"/>
              <w:left w:val="nil"/>
              <w:bottom w:val="single" w:sz="4" w:space="0" w:color="auto"/>
              <w:right w:val="nil"/>
            </w:tcBorders>
            <w:shd w:val="clear" w:color="auto" w:fill="auto"/>
            <w:noWrap/>
            <w:vAlign w:val="bottom"/>
            <w:hideMark/>
          </w:tcPr>
          <w:p w14:paraId="392F02C0"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1080" w:type="dxa"/>
            <w:tcBorders>
              <w:top w:val="nil"/>
              <w:left w:val="nil"/>
              <w:bottom w:val="single" w:sz="4" w:space="0" w:color="auto"/>
              <w:right w:val="nil"/>
            </w:tcBorders>
            <w:shd w:val="clear" w:color="auto" w:fill="auto"/>
            <w:noWrap/>
            <w:vAlign w:val="bottom"/>
            <w:hideMark/>
          </w:tcPr>
          <w:p w14:paraId="5B893FE3" w14:textId="77777777" w:rsidR="00DF70A7" w:rsidRPr="004242BB" w:rsidRDefault="00DF70A7" w:rsidP="00A21264">
            <w:pPr>
              <w:rPr>
                <w:rFonts w:ascii="Calibri" w:hAnsi="Calibri" w:cs="Calibri"/>
                <w:color w:val="000000"/>
              </w:rPr>
            </w:pPr>
            <w:r w:rsidRPr="004242BB">
              <w:rPr>
                <w:rFonts w:ascii="Calibri" w:hAnsi="Calibri" w:cs="Calibri"/>
                <w:color w:val="000000"/>
              </w:rPr>
              <w:t>NS</w:t>
            </w:r>
          </w:p>
        </w:tc>
        <w:tc>
          <w:tcPr>
            <w:tcW w:w="980" w:type="dxa"/>
            <w:tcBorders>
              <w:top w:val="nil"/>
              <w:left w:val="nil"/>
              <w:bottom w:val="single" w:sz="4" w:space="0" w:color="auto"/>
              <w:right w:val="nil"/>
            </w:tcBorders>
            <w:shd w:val="clear" w:color="auto" w:fill="auto"/>
            <w:noWrap/>
            <w:vAlign w:val="bottom"/>
            <w:hideMark/>
          </w:tcPr>
          <w:p w14:paraId="3B64D3E3" w14:textId="77777777" w:rsidR="00DF70A7" w:rsidRPr="004242BB" w:rsidRDefault="00DF70A7" w:rsidP="00A21264">
            <w:pPr>
              <w:rPr>
                <w:rFonts w:ascii="Calibri" w:hAnsi="Calibri" w:cs="Calibri"/>
                <w:color w:val="000000"/>
              </w:rPr>
            </w:pPr>
            <w:r w:rsidRPr="004242BB">
              <w:rPr>
                <w:rFonts w:ascii="Calibri" w:hAnsi="Calibri" w:cs="Calibri"/>
                <w:color w:val="000000"/>
              </w:rPr>
              <w:t>&lt;0.0001</w:t>
            </w:r>
          </w:p>
        </w:tc>
        <w:tc>
          <w:tcPr>
            <w:tcW w:w="980" w:type="dxa"/>
            <w:tcBorders>
              <w:top w:val="nil"/>
              <w:left w:val="nil"/>
              <w:bottom w:val="single" w:sz="4" w:space="0" w:color="auto"/>
              <w:right w:val="single" w:sz="4" w:space="0" w:color="auto"/>
            </w:tcBorders>
            <w:shd w:val="clear" w:color="auto" w:fill="auto"/>
            <w:noWrap/>
            <w:vAlign w:val="bottom"/>
            <w:hideMark/>
          </w:tcPr>
          <w:p w14:paraId="26217EF0" w14:textId="77777777" w:rsidR="00DF70A7" w:rsidRPr="004242BB" w:rsidRDefault="00DF70A7" w:rsidP="00A21264">
            <w:pPr>
              <w:rPr>
                <w:rFonts w:ascii="Calibri" w:hAnsi="Calibri" w:cs="Calibri"/>
                <w:color w:val="000000"/>
              </w:rPr>
            </w:pPr>
            <w:r w:rsidRPr="004242BB">
              <w:rPr>
                <w:rFonts w:ascii="Calibri" w:hAnsi="Calibri" w:cs="Calibri"/>
                <w:color w:val="000000"/>
              </w:rPr>
              <w:t>-</w:t>
            </w:r>
          </w:p>
        </w:tc>
      </w:tr>
    </w:tbl>
    <w:p w14:paraId="6361A468" w14:textId="77777777" w:rsidR="00DF70A7" w:rsidRDefault="00DF70A7" w:rsidP="00DF70A7">
      <w:pPr>
        <w:rPr>
          <w:rFonts w:ascii="Cambria" w:hAnsi="Cambria"/>
        </w:rPr>
      </w:pPr>
    </w:p>
    <w:p w14:paraId="33ED24E4" w14:textId="4282C949" w:rsidR="00DF70A7" w:rsidRPr="00FA3DED" w:rsidRDefault="00DF70A7" w:rsidP="00DF70A7">
      <w:pPr>
        <w:rPr>
          <w:rFonts w:ascii="Cambria" w:hAnsi="Cambria"/>
        </w:rPr>
      </w:pPr>
      <w:r w:rsidRPr="009E4585">
        <w:rPr>
          <w:rFonts w:ascii="Cambria" w:hAnsi="Cambria"/>
          <w:sz w:val="20"/>
          <w:szCs w:val="20"/>
        </w:rPr>
        <w:t xml:space="preserve">For both cannabinoids, there is no particular trend in any of the years (Figure S2). </w:t>
      </w:r>
    </w:p>
    <w:p w14:paraId="02692332" w14:textId="77777777" w:rsidR="00BA3D69" w:rsidRDefault="00BA3D69" w:rsidP="00BA3D69">
      <w:pPr>
        <w:spacing w:line="360" w:lineRule="auto"/>
        <w:ind w:firstLine="720"/>
        <w:rPr>
          <w:rFonts w:ascii="Cambria" w:hAnsi="Cambria"/>
        </w:rPr>
      </w:pPr>
    </w:p>
    <w:p w14:paraId="3A0B6A0D" w14:textId="77777777" w:rsidR="00CC6729" w:rsidRPr="00887149" w:rsidRDefault="00CC6729" w:rsidP="00CC6729">
      <w:pPr>
        <w:spacing w:line="360" w:lineRule="auto"/>
        <w:rPr>
          <w:rFonts w:ascii="Cambria" w:hAnsi="Cambria"/>
          <w:b/>
          <w:sz w:val="32"/>
          <w:szCs w:val="32"/>
        </w:rPr>
      </w:pPr>
      <w:r w:rsidRPr="00887149">
        <w:rPr>
          <w:rFonts w:ascii="Cambria" w:hAnsi="Cambria"/>
          <w:b/>
          <w:sz w:val="32"/>
          <w:szCs w:val="32"/>
        </w:rPr>
        <w:t xml:space="preserve">Dimensionality reduction </w:t>
      </w:r>
    </w:p>
    <w:p w14:paraId="67E69BFC" w14:textId="7EFF3664" w:rsidR="00794FC7" w:rsidRDefault="00794FC7" w:rsidP="00794FC7">
      <w:pPr>
        <w:spacing w:line="360" w:lineRule="auto"/>
        <w:ind w:firstLine="720"/>
        <w:rPr>
          <w:rFonts w:ascii="Cambria" w:hAnsi="Cambria"/>
        </w:rPr>
      </w:pPr>
      <w:r w:rsidRPr="00FA3DED">
        <w:rPr>
          <w:rFonts w:ascii="Cambria" w:hAnsi="Cambria"/>
        </w:rPr>
        <w:t>Figure S</w:t>
      </w:r>
      <w:r w:rsidR="001E61A5">
        <w:rPr>
          <w:rFonts w:ascii="Cambria" w:hAnsi="Cambria"/>
        </w:rPr>
        <w:t>4</w:t>
      </w:r>
      <w:r w:rsidRPr="00FA3DED">
        <w:rPr>
          <w:rFonts w:ascii="Cambria" w:hAnsi="Cambria"/>
        </w:rPr>
        <w:t xml:space="preserve"> is a projection of each of the four imputation methods using the t-SNE technique. The cluster labels using only the CBD and THC relationships in Figure </w:t>
      </w:r>
      <w:r w:rsidR="008F3D5B">
        <w:rPr>
          <w:rFonts w:ascii="Cambria" w:hAnsi="Cambria"/>
        </w:rPr>
        <w:t>3</w:t>
      </w:r>
      <w:r w:rsidRPr="00FA3DED">
        <w:rPr>
          <w:rFonts w:ascii="Cambria" w:hAnsi="Cambria"/>
        </w:rPr>
        <w:t xml:space="preserve"> again capture the same clusters in these projections. The relative proximity of the four clusters in these projections appears to be dominated more by similarity in CBD than in THC: the high-CBD, high-THC (blue) is close to the high-CBD, low-THC (red) cluster while the low-CBD, high-THC (orange) and low-CBD, low-THC (purple) clusters are proximate. The iterative method (upper left) projected by t-SNE locates imputed values both in the high-THC, low-CBD (orange) cluster as well as a new cluster closer to the high-THC, high-CBD (blue) cluster. The multiple imputation method (upper right) creates two new distinctive clusters beyond the high-THC, low-CBD (orange) cluster. The k-nearest neighbors (lower left) again locates most of the imputed values inside the high-THC, low-CBD (orange) cluster. Finally, the values imputed from the soft imputation method (lower right) again have minimal overlap with any of the other clusters and form an entirely new cluster between the high-THC and low-CBD (orange) cluster and the high-THC and high-CBD (blue) cluster.</w:t>
      </w:r>
    </w:p>
    <w:p w14:paraId="631914FC" w14:textId="69230689" w:rsidR="00D040F2" w:rsidRPr="00FA3DED" w:rsidRDefault="00406BCC" w:rsidP="00D040F2">
      <w:pPr>
        <w:rPr>
          <w:rFonts w:ascii="Cambria" w:hAnsi="Cambria"/>
        </w:rPr>
      </w:pPr>
      <w:r>
        <w:rPr>
          <w:rFonts w:ascii="Cambria" w:hAnsi="Cambria"/>
          <w:noProof/>
        </w:rPr>
        <w:lastRenderedPageBreak/>
        <w:drawing>
          <wp:inline distT="0" distB="0" distL="0" distR="0" wp14:anchorId="62BE8F7C" wp14:editId="214E3377">
            <wp:extent cx="5943600" cy="48920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S4_dimred_tsne.pdf"/>
                    <pic:cNvPicPr/>
                  </pic:nvPicPr>
                  <pic:blipFill>
                    <a:blip r:embed="rId9">
                      <a:extLst>
                        <a:ext uri="{28A0092B-C50C-407E-A947-70E740481C1C}">
                          <a14:useLocalDpi xmlns:a14="http://schemas.microsoft.com/office/drawing/2010/main" val="0"/>
                        </a:ext>
                      </a:extLst>
                    </a:blip>
                    <a:stretch>
                      <a:fillRect/>
                    </a:stretch>
                  </pic:blipFill>
                  <pic:spPr>
                    <a:xfrm>
                      <a:off x="0" y="0"/>
                      <a:ext cx="5943600" cy="4892040"/>
                    </a:xfrm>
                    <a:prstGeom prst="rect">
                      <a:avLst/>
                    </a:prstGeom>
                  </pic:spPr>
                </pic:pic>
              </a:graphicData>
            </a:graphic>
          </wp:inline>
        </w:drawing>
      </w:r>
      <w:r w:rsidR="00D040F2" w:rsidRPr="00D040F2">
        <w:rPr>
          <w:rFonts w:ascii="Cambria" w:hAnsi="Cambria"/>
          <w:b/>
          <w:sz w:val="20"/>
          <w:szCs w:val="20"/>
        </w:rPr>
        <w:t xml:space="preserve"> </w:t>
      </w:r>
      <w:r w:rsidR="00D040F2" w:rsidRPr="00FA3DED">
        <w:rPr>
          <w:rFonts w:ascii="Cambria" w:hAnsi="Cambria"/>
          <w:b/>
          <w:sz w:val="20"/>
          <w:szCs w:val="20"/>
        </w:rPr>
        <w:t>S</w:t>
      </w:r>
      <w:r w:rsidR="00D040F2">
        <w:rPr>
          <w:rFonts w:ascii="Cambria" w:hAnsi="Cambria"/>
          <w:b/>
          <w:sz w:val="20"/>
          <w:szCs w:val="20"/>
        </w:rPr>
        <w:t>4</w:t>
      </w:r>
      <w:r w:rsidR="007976E3">
        <w:rPr>
          <w:rFonts w:ascii="Cambria" w:hAnsi="Cambria"/>
          <w:b/>
          <w:sz w:val="20"/>
          <w:szCs w:val="20"/>
        </w:rPr>
        <w:t xml:space="preserve"> Fig</w:t>
      </w:r>
      <w:r w:rsidR="00D040F2" w:rsidRPr="00FA3DED">
        <w:rPr>
          <w:rFonts w:ascii="Cambria" w:hAnsi="Cambria"/>
          <w:b/>
          <w:sz w:val="20"/>
          <w:szCs w:val="20"/>
        </w:rPr>
        <w:t>.</w:t>
      </w:r>
      <w:r w:rsidR="00D040F2" w:rsidRPr="00FA3DED">
        <w:rPr>
          <w:rFonts w:ascii="Cambria" w:hAnsi="Cambria"/>
          <w:sz w:val="20"/>
          <w:szCs w:val="20"/>
        </w:rPr>
        <w:t xml:space="preserve"> </w:t>
      </w:r>
      <w:r w:rsidR="00D040F2" w:rsidRPr="00FA3DED">
        <w:rPr>
          <w:rFonts w:ascii="Cambria" w:hAnsi="Cambria"/>
          <w:b/>
          <w:sz w:val="20"/>
          <w:szCs w:val="20"/>
        </w:rPr>
        <w:t xml:space="preserve">Projection of each of the four imputation methods using the t-SNE </w:t>
      </w:r>
    </w:p>
    <w:p w14:paraId="1FD6955D" w14:textId="3437FBAB" w:rsidR="001937DA" w:rsidRPr="00FA3DED" w:rsidRDefault="001937DA" w:rsidP="001937DA">
      <w:pPr>
        <w:spacing w:line="360" w:lineRule="auto"/>
        <w:rPr>
          <w:rFonts w:ascii="Cambria" w:hAnsi="Cambria"/>
        </w:rPr>
      </w:pPr>
    </w:p>
    <w:p w14:paraId="2426A9BF" w14:textId="77777777" w:rsidR="001A23AB" w:rsidRDefault="001A23AB" w:rsidP="00C30118">
      <w:pPr>
        <w:spacing w:line="360" w:lineRule="auto"/>
        <w:rPr>
          <w:rFonts w:ascii="Cambria" w:hAnsi="Cambria"/>
          <w:b/>
          <w:sz w:val="20"/>
          <w:szCs w:val="20"/>
        </w:rPr>
      </w:pPr>
    </w:p>
    <w:p w14:paraId="0C9F8117" w14:textId="7FBEA363" w:rsidR="000F2814" w:rsidRPr="00FA3DED" w:rsidRDefault="00C30118" w:rsidP="000F2814">
      <w:pPr>
        <w:rPr>
          <w:rFonts w:ascii="Cambria" w:hAnsi="Cambria"/>
        </w:rPr>
      </w:pPr>
      <w:r>
        <w:rPr>
          <w:rFonts w:ascii="Cambria" w:hAnsi="Cambria"/>
        </w:rPr>
        <w:t>Even though Principal Component Analysis is the most</w:t>
      </w:r>
      <w:r w:rsidR="00B12624">
        <w:rPr>
          <w:rFonts w:ascii="Cambria" w:hAnsi="Cambria"/>
        </w:rPr>
        <w:t xml:space="preserve"> common visualization technique</w:t>
      </w:r>
      <w:r>
        <w:rPr>
          <w:rFonts w:ascii="Cambria" w:hAnsi="Cambria"/>
        </w:rPr>
        <w:t xml:space="preserve">  in biology </w:t>
      </w:r>
      <w:r>
        <w:rPr>
          <w:rFonts w:ascii="Cambria" w:hAnsi="Cambria"/>
        </w:rPr>
        <w:fldChar w:fldCharType="begin"/>
      </w:r>
      <w:r w:rsidR="001B1317">
        <w:rPr>
          <w:rFonts w:ascii="Cambria" w:hAnsi="Cambria"/>
        </w:rPr>
        <w:instrText xml:space="preserve"> ADDIN EN.CITE &lt;EndNote&gt;&lt;Cite&gt;&lt;Author&gt;Ringnér&lt;/Author&gt;&lt;Year&gt;2008&lt;/Year&gt;&lt;RecNum&gt;1152&lt;/RecNum&gt;&lt;DisplayText&gt;(5)&lt;/DisplayText&gt;&lt;record&gt;&lt;rec-number&gt;1152&lt;/rec-number&gt;&lt;foreign-keys&gt;&lt;key app="EN" db-id="t2svff0p7frxtxepwrw5rxxnresw5vpxwwv9" timestamp="1537394240"&gt;1152&lt;/key&gt;&lt;/foreign-keys&gt;&lt;ref-type name="Journal Article"&gt;17&lt;/ref-type&gt;&lt;contributors&gt;&lt;authors&gt;&lt;author&gt;Ringnér, Markus&lt;/author&gt;&lt;/authors&gt;&lt;/contributors&gt;&lt;titles&gt;&lt;title&gt;What is principal component analysis?&lt;/title&gt;&lt;secondary-title&gt;Nature biotechnology&lt;/secondary-title&gt;&lt;/titles&gt;&lt;periodical&gt;&lt;full-title&gt;Nature Biotechnology&lt;/full-title&gt;&lt;/periodical&gt;&lt;pages&gt;303&lt;/pages&gt;&lt;volume&gt;26&lt;/volume&gt;&lt;number&gt;3&lt;/number&gt;&lt;dates&gt;&lt;year&gt;2008&lt;/year&gt;&lt;/dates&gt;&lt;isbn&gt;1546-1696&lt;/isbn&gt;&lt;urls&gt;&lt;/urls&gt;&lt;/record&gt;&lt;/Cite&gt;&lt;/EndNote&gt;</w:instrText>
      </w:r>
      <w:r>
        <w:rPr>
          <w:rFonts w:ascii="Cambria" w:hAnsi="Cambria"/>
        </w:rPr>
        <w:fldChar w:fldCharType="separate"/>
      </w:r>
      <w:r w:rsidR="001B1317">
        <w:rPr>
          <w:rFonts w:ascii="Cambria" w:hAnsi="Cambria"/>
          <w:noProof/>
        </w:rPr>
        <w:t>(5)</w:t>
      </w:r>
      <w:r>
        <w:rPr>
          <w:rFonts w:ascii="Cambria" w:hAnsi="Cambria"/>
        </w:rPr>
        <w:fldChar w:fldCharType="end"/>
      </w:r>
      <w:r>
        <w:rPr>
          <w:rFonts w:ascii="Cambria" w:hAnsi="Cambria"/>
        </w:rPr>
        <w:t>,</w:t>
      </w:r>
      <w:r w:rsidR="00554E9A">
        <w:rPr>
          <w:rFonts w:ascii="Cambria" w:hAnsi="Cambria"/>
        </w:rPr>
        <w:t xml:space="preserve"> </w:t>
      </w:r>
      <w:r w:rsidR="0045641D">
        <w:rPr>
          <w:rFonts w:ascii="Cambria" w:hAnsi="Cambria"/>
        </w:rPr>
        <w:t>PCA</w:t>
      </w:r>
      <w:r w:rsidR="00554E9A">
        <w:rPr>
          <w:rFonts w:ascii="Cambria" w:hAnsi="Cambria"/>
        </w:rPr>
        <w:t xml:space="preserve"> dimensional reduction </w:t>
      </w:r>
      <w:r w:rsidR="009036E1">
        <w:rPr>
          <w:rFonts w:ascii="Cambria" w:hAnsi="Cambria"/>
        </w:rPr>
        <w:t>leads to</w:t>
      </w:r>
      <w:r w:rsidR="00A3188D">
        <w:rPr>
          <w:rFonts w:ascii="Cambria" w:hAnsi="Cambria"/>
        </w:rPr>
        <w:t xml:space="preserve"> little</w:t>
      </w:r>
      <w:r w:rsidR="00FA7FAA">
        <w:rPr>
          <w:rFonts w:ascii="Cambria" w:hAnsi="Cambria"/>
        </w:rPr>
        <w:t xml:space="preserve"> </w:t>
      </w:r>
      <w:r w:rsidR="0045641D">
        <w:rPr>
          <w:rFonts w:ascii="Cambria" w:hAnsi="Cambria"/>
        </w:rPr>
        <w:t>or</w:t>
      </w:r>
      <w:r w:rsidR="00FA7FAA">
        <w:rPr>
          <w:rFonts w:ascii="Cambria" w:hAnsi="Cambria"/>
        </w:rPr>
        <w:t xml:space="preserve"> no</w:t>
      </w:r>
      <w:r w:rsidR="00A3188D">
        <w:rPr>
          <w:rFonts w:ascii="Cambria" w:hAnsi="Cambria"/>
        </w:rPr>
        <w:t xml:space="preserve"> differentiation between</w:t>
      </w:r>
      <w:r w:rsidR="00FA7FAA">
        <w:rPr>
          <w:rFonts w:ascii="Cambria" w:hAnsi="Cambria"/>
        </w:rPr>
        <w:t xml:space="preserve"> possible</w:t>
      </w:r>
      <w:r w:rsidR="00A3188D">
        <w:rPr>
          <w:rFonts w:ascii="Cambria" w:hAnsi="Cambria"/>
        </w:rPr>
        <w:t xml:space="preserve"> </w:t>
      </w:r>
      <w:r w:rsidR="00FA7FAA">
        <w:rPr>
          <w:rFonts w:ascii="Cambria" w:hAnsi="Cambria"/>
        </w:rPr>
        <w:t>groups</w:t>
      </w:r>
      <w:r w:rsidR="00D22697">
        <w:rPr>
          <w:rFonts w:ascii="Cambria" w:hAnsi="Cambria"/>
        </w:rPr>
        <w:t xml:space="preserve"> </w:t>
      </w:r>
      <w:r w:rsidR="0087090F">
        <w:rPr>
          <w:rFonts w:ascii="Cambria" w:hAnsi="Cambria"/>
        </w:rPr>
        <w:t xml:space="preserve">in </w:t>
      </w:r>
      <w:r w:rsidR="00D22697">
        <w:rPr>
          <w:rFonts w:ascii="Cambria" w:hAnsi="Cambria"/>
        </w:rPr>
        <w:t xml:space="preserve"> these two dimensional mappings</w:t>
      </w:r>
      <w:r w:rsidR="00F035B4">
        <w:rPr>
          <w:rFonts w:ascii="Cambria" w:hAnsi="Cambria"/>
        </w:rPr>
        <w:t xml:space="preserve"> (Figure S</w:t>
      </w:r>
      <w:r w:rsidR="00C00089">
        <w:rPr>
          <w:rFonts w:ascii="Cambria" w:hAnsi="Cambria"/>
        </w:rPr>
        <w:t>5</w:t>
      </w:r>
      <w:r w:rsidR="00F035B4">
        <w:rPr>
          <w:rFonts w:ascii="Cambria" w:hAnsi="Cambria"/>
        </w:rPr>
        <w:t>)</w:t>
      </w:r>
      <w:r w:rsidR="00FA7FAA">
        <w:rPr>
          <w:rFonts w:ascii="Cambria" w:hAnsi="Cambria"/>
        </w:rPr>
        <w:t xml:space="preserve">. </w:t>
      </w:r>
      <w:r w:rsidR="00B01634">
        <w:rPr>
          <w:rFonts w:ascii="Cambria" w:hAnsi="Cambria"/>
        </w:rPr>
        <w:t xml:space="preserve"> </w:t>
      </w:r>
      <w:r w:rsidR="007E4C21">
        <w:rPr>
          <w:rFonts w:ascii="Cambria" w:hAnsi="Cambria"/>
          <w:noProof/>
        </w:rPr>
        <w:lastRenderedPageBreak/>
        <w:drawing>
          <wp:inline distT="0" distB="0" distL="0" distR="0" wp14:anchorId="537D0B6B" wp14:editId="0FA9092E">
            <wp:extent cx="5943600" cy="49676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S5_dimred_pca.pdf"/>
                    <pic:cNvPicPr/>
                  </pic:nvPicPr>
                  <pic:blipFill>
                    <a:blip r:embed="rId10">
                      <a:extLst>
                        <a:ext uri="{28A0092B-C50C-407E-A947-70E740481C1C}">
                          <a14:useLocalDpi xmlns:a14="http://schemas.microsoft.com/office/drawing/2010/main" val="0"/>
                        </a:ext>
                      </a:extLst>
                    </a:blip>
                    <a:stretch>
                      <a:fillRect/>
                    </a:stretch>
                  </pic:blipFill>
                  <pic:spPr>
                    <a:xfrm>
                      <a:off x="0" y="0"/>
                      <a:ext cx="5943600" cy="4967605"/>
                    </a:xfrm>
                    <a:prstGeom prst="rect">
                      <a:avLst/>
                    </a:prstGeom>
                  </pic:spPr>
                </pic:pic>
              </a:graphicData>
            </a:graphic>
          </wp:inline>
        </w:drawing>
      </w:r>
      <w:r w:rsidR="000F2814" w:rsidRPr="000F2814">
        <w:rPr>
          <w:rFonts w:ascii="Cambria" w:hAnsi="Cambria"/>
          <w:b/>
          <w:sz w:val="20"/>
          <w:szCs w:val="20"/>
        </w:rPr>
        <w:t xml:space="preserve"> </w:t>
      </w:r>
      <w:r w:rsidR="000F2814" w:rsidRPr="00FA3DED">
        <w:rPr>
          <w:rFonts w:ascii="Cambria" w:hAnsi="Cambria"/>
          <w:b/>
          <w:sz w:val="20"/>
          <w:szCs w:val="20"/>
        </w:rPr>
        <w:t>S</w:t>
      </w:r>
      <w:r w:rsidR="000F2814">
        <w:rPr>
          <w:rFonts w:ascii="Cambria" w:hAnsi="Cambria"/>
          <w:b/>
          <w:sz w:val="20"/>
          <w:szCs w:val="20"/>
        </w:rPr>
        <w:t>5</w:t>
      </w:r>
      <w:r w:rsidR="007976E3">
        <w:rPr>
          <w:rFonts w:ascii="Cambria" w:hAnsi="Cambria"/>
          <w:b/>
          <w:sz w:val="20"/>
          <w:szCs w:val="20"/>
        </w:rPr>
        <w:t xml:space="preserve"> Fig</w:t>
      </w:r>
      <w:r w:rsidR="000F2814" w:rsidRPr="00FA3DED">
        <w:rPr>
          <w:rFonts w:ascii="Cambria" w:hAnsi="Cambria"/>
          <w:b/>
          <w:sz w:val="20"/>
          <w:szCs w:val="20"/>
        </w:rPr>
        <w:t>.</w:t>
      </w:r>
      <w:r w:rsidR="000F2814" w:rsidRPr="00FA3DED">
        <w:rPr>
          <w:rFonts w:ascii="Cambria" w:hAnsi="Cambria"/>
          <w:sz w:val="20"/>
          <w:szCs w:val="20"/>
        </w:rPr>
        <w:t xml:space="preserve"> </w:t>
      </w:r>
      <w:r w:rsidR="000F2814" w:rsidRPr="00FA3DED">
        <w:rPr>
          <w:rFonts w:ascii="Cambria" w:hAnsi="Cambria"/>
          <w:b/>
          <w:sz w:val="20"/>
          <w:szCs w:val="20"/>
        </w:rPr>
        <w:t xml:space="preserve">Projection of each of the four imputation methods using PCA </w:t>
      </w:r>
    </w:p>
    <w:p w14:paraId="6AA743EE" w14:textId="77777777" w:rsidR="00C30118" w:rsidRDefault="00C30118">
      <w:pPr>
        <w:rPr>
          <w:rFonts w:ascii="Cambria" w:hAnsi="Cambria"/>
        </w:rPr>
      </w:pPr>
    </w:p>
    <w:p w14:paraId="4016540E" w14:textId="5369C544" w:rsidR="008A76FF" w:rsidRPr="00887149" w:rsidRDefault="001A23AB" w:rsidP="00887149">
      <w:pPr>
        <w:spacing w:line="360" w:lineRule="auto"/>
        <w:rPr>
          <w:rFonts w:ascii="Cambria" w:hAnsi="Cambria"/>
          <w:b/>
          <w:sz w:val="36"/>
          <w:szCs w:val="36"/>
        </w:rPr>
      </w:pPr>
      <w:r w:rsidRPr="00887149">
        <w:rPr>
          <w:rFonts w:ascii="Cambria" w:hAnsi="Cambria"/>
          <w:b/>
          <w:sz w:val="36"/>
          <w:szCs w:val="36"/>
        </w:rPr>
        <w:t>References</w:t>
      </w:r>
    </w:p>
    <w:p w14:paraId="4526C69B" w14:textId="77777777" w:rsidR="001B1317" w:rsidRPr="001B1317" w:rsidRDefault="00D66FB7" w:rsidP="001B1317">
      <w:pPr>
        <w:pStyle w:val="EndNoteBibliography"/>
        <w:rPr>
          <w:noProof/>
        </w:rPr>
      </w:pPr>
      <w:r w:rsidRPr="00FA3DED">
        <w:rPr>
          <w:rFonts w:ascii="Cambria" w:hAnsi="Cambria"/>
        </w:rPr>
        <w:fldChar w:fldCharType="begin"/>
      </w:r>
      <w:r w:rsidRPr="00FA3DED">
        <w:rPr>
          <w:rFonts w:ascii="Cambria" w:hAnsi="Cambria"/>
        </w:rPr>
        <w:instrText xml:space="preserve"> ADDIN EN.REFLIST </w:instrText>
      </w:r>
      <w:r w:rsidRPr="00FA3DED">
        <w:rPr>
          <w:rFonts w:ascii="Cambria" w:hAnsi="Cambria"/>
        </w:rPr>
        <w:fldChar w:fldCharType="separate"/>
      </w:r>
      <w:r w:rsidR="001B1317" w:rsidRPr="001B1317">
        <w:rPr>
          <w:noProof/>
        </w:rPr>
        <w:t>1.</w:t>
      </w:r>
      <w:r w:rsidR="001B1317" w:rsidRPr="001B1317">
        <w:rPr>
          <w:noProof/>
        </w:rPr>
        <w:tab/>
        <w:t>Ester M, Kriegel H-P, Sander J, Xu X, editors. A density-based algorithm for discovering clusters in large spatial databases with noise. Kdd; 1996.</w:t>
      </w:r>
    </w:p>
    <w:p w14:paraId="64D44ADC" w14:textId="77777777" w:rsidR="001B1317" w:rsidRPr="001B1317" w:rsidRDefault="001B1317" w:rsidP="001B1317">
      <w:pPr>
        <w:pStyle w:val="EndNoteBibliography"/>
        <w:rPr>
          <w:noProof/>
        </w:rPr>
      </w:pPr>
      <w:r w:rsidRPr="001B1317">
        <w:rPr>
          <w:noProof/>
        </w:rPr>
        <w:t>2.</w:t>
      </w:r>
      <w:r w:rsidRPr="001B1317">
        <w:rPr>
          <w:noProof/>
        </w:rPr>
        <w:tab/>
        <w:t>Ross SA, ElSohly MA. CBN and∆ 9-THC concentration ratio as an indicator of the age of stored marijuana samples. Bulletin on Narcotics. 1997;49(50):139-.</w:t>
      </w:r>
    </w:p>
    <w:p w14:paraId="63810D5F" w14:textId="77777777" w:rsidR="001B1317" w:rsidRPr="001B1317" w:rsidRDefault="001B1317" w:rsidP="001B1317">
      <w:pPr>
        <w:pStyle w:val="EndNoteBibliography"/>
        <w:rPr>
          <w:noProof/>
        </w:rPr>
      </w:pPr>
      <w:r w:rsidRPr="001B1317">
        <w:rPr>
          <w:noProof/>
        </w:rPr>
        <w:t>3.</w:t>
      </w:r>
      <w:r w:rsidRPr="001B1317">
        <w:rPr>
          <w:noProof/>
        </w:rPr>
        <w:tab/>
        <w:t>Trofin IG, Dabija G, Vaireanu DI, Filipescu L. The influence of long-term storage conditions on the stability of cannabinoids derived from cannabis resin. Rev Chim Bucharest. 2012;63(4):422-7.</w:t>
      </w:r>
    </w:p>
    <w:p w14:paraId="00FD71B6" w14:textId="77777777" w:rsidR="001B1317" w:rsidRPr="001B1317" w:rsidRDefault="001B1317" w:rsidP="001B1317">
      <w:pPr>
        <w:pStyle w:val="EndNoteBibliography"/>
        <w:rPr>
          <w:noProof/>
        </w:rPr>
      </w:pPr>
      <w:r w:rsidRPr="001B1317">
        <w:rPr>
          <w:noProof/>
        </w:rPr>
        <w:t>4.</w:t>
      </w:r>
      <w:r w:rsidRPr="001B1317">
        <w:rPr>
          <w:noProof/>
        </w:rPr>
        <w:tab/>
        <w:t>Turner CE, Elsohly MA. Constituents of cannabis sativa L. XVI. A possible decomposition pathway of Δ9</w:t>
      </w:r>
      <w:r w:rsidRPr="001B1317">
        <w:rPr>
          <w:rFonts w:ascii="Cambria Math" w:hAnsi="Cambria Math" w:cs="Cambria Math"/>
          <w:noProof/>
        </w:rPr>
        <w:t>‐</w:t>
      </w:r>
      <w:r w:rsidRPr="001B1317">
        <w:rPr>
          <w:noProof/>
        </w:rPr>
        <w:t>tetrahydrocannabinol to cannabinol. Journal of heterocyclic chemistry. 1979;16(8):1667-8.</w:t>
      </w:r>
    </w:p>
    <w:p w14:paraId="78D5C271" w14:textId="77777777" w:rsidR="001B1317" w:rsidRPr="001B1317" w:rsidRDefault="001B1317" w:rsidP="001B1317">
      <w:pPr>
        <w:pStyle w:val="EndNoteBibliography"/>
        <w:rPr>
          <w:noProof/>
        </w:rPr>
      </w:pPr>
      <w:r w:rsidRPr="001B1317">
        <w:rPr>
          <w:noProof/>
        </w:rPr>
        <w:t>5.</w:t>
      </w:r>
      <w:r w:rsidRPr="001B1317">
        <w:rPr>
          <w:noProof/>
        </w:rPr>
        <w:tab/>
        <w:t>Ringnér M. What is principal component analysis? Nature biotechnology. 2008;26(3):303.</w:t>
      </w:r>
    </w:p>
    <w:p w14:paraId="7869DA37" w14:textId="16E20B3C" w:rsidR="008C57B7" w:rsidRPr="00FA3DED" w:rsidRDefault="00D66FB7">
      <w:pPr>
        <w:rPr>
          <w:rFonts w:ascii="Cambria" w:hAnsi="Cambria"/>
        </w:rPr>
      </w:pPr>
      <w:r w:rsidRPr="00FA3DED">
        <w:rPr>
          <w:rFonts w:ascii="Cambria" w:hAnsi="Cambria"/>
        </w:rPr>
        <w:fldChar w:fldCharType="end"/>
      </w:r>
    </w:p>
    <w:sectPr w:rsidR="008C57B7" w:rsidRPr="00FA3DED" w:rsidSect="00D5159E">
      <w:footerReference w:type="even" r:id="rId11"/>
      <w:footerReference w:type="default" r:id="rId12"/>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F82E06" w14:textId="77777777" w:rsidR="00240CF2" w:rsidRDefault="00240CF2" w:rsidP="00F14CC3">
      <w:r>
        <w:separator/>
      </w:r>
    </w:p>
  </w:endnote>
  <w:endnote w:type="continuationSeparator" w:id="0">
    <w:p w14:paraId="090AE7BB" w14:textId="77777777" w:rsidR="00240CF2" w:rsidRDefault="00240CF2" w:rsidP="00F14C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13076016"/>
      <w:docPartObj>
        <w:docPartGallery w:val="Page Numbers (Bottom of Page)"/>
        <w:docPartUnique/>
      </w:docPartObj>
    </w:sdtPr>
    <w:sdtEndPr>
      <w:rPr>
        <w:rStyle w:val="PageNumber"/>
      </w:rPr>
    </w:sdtEndPr>
    <w:sdtContent>
      <w:p w14:paraId="4A12BDA1" w14:textId="7473AFBD" w:rsidR="00F14CC3" w:rsidRDefault="00F14CC3" w:rsidP="0081230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CB58096" w14:textId="77777777" w:rsidR="00F14CC3" w:rsidRDefault="00F14CC3" w:rsidP="00F14CC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0062912"/>
      <w:docPartObj>
        <w:docPartGallery w:val="Page Numbers (Bottom of Page)"/>
        <w:docPartUnique/>
      </w:docPartObj>
    </w:sdtPr>
    <w:sdtEndPr>
      <w:rPr>
        <w:rStyle w:val="PageNumber"/>
      </w:rPr>
    </w:sdtEndPr>
    <w:sdtContent>
      <w:p w14:paraId="532D990F" w14:textId="0D3EF355" w:rsidR="00F14CC3" w:rsidRDefault="00F14CC3" w:rsidP="0081230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B52D121" w14:textId="77777777" w:rsidR="00F14CC3" w:rsidRDefault="00F14CC3" w:rsidP="00F14CC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6AA8BB" w14:textId="77777777" w:rsidR="00240CF2" w:rsidRDefault="00240CF2" w:rsidP="00F14CC3">
      <w:r>
        <w:separator/>
      </w:r>
    </w:p>
  </w:footnote>
  <w:footnote w:type="continuationSeparator" w:id="0">
    <w:p w14:paraId="349212AC" w14:textId="77777777" w:rsidR="00240CF2" w:rsidRDefault="00240CF2" w:rsidP="00F14CC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1"/>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2svff0p7frxtxepwrw5rxxnresw5vpxwwv9&quot;&gt;My EndNote Library&lt;record-ids&gt;&lt;item&gt;973&lt;/item&gt;&lt;item&gt;974&lt;/item&gt;&lt;item&gt;975&lt;/item&gt;&lt;item&gt;1152&lt;/item&gt;&lt;item&gt;1167&lt;/item&gt;&lt;/record-ids&gt;&lt;/item&gt;&lt;/Libraries&gt;"/>
  </w:docVars>
  <w:rsids>
    <w:rsidRoot w:val="00FA3D23"/>
    <w:rsid w:val="000001C8"/>
    <w:rsid w:val="00037F04"/>
    <w:rsid w:val="00040B4B"/>
    <w:rsid w:val="000424EA"/>
    <w:rsid w:val="000472D9"/>
    <w:rsid w:val="0005314D"/>
    <w:rsid w:val="00092F99"/>
    <w:rsid w:val="000A1666"/>
    <w:rsid w:val="000C498E"/>
    <w:rsid w:val="000C744D"/>
    <w:rsid w:val="000D21D7"/>
    <w:rsid w:val="000D47DA"/>
    <w:rsid w:val="000E574A"/>
    <w:rsid w:val="000E73BD"/>
    <w:rsid w:val="000F2814"/>
    <w:rsid w:val="00100C5B"/>
    <w:rsid w:val="00104AF2"/>
    <w:rsid w:val="001072E5"/>
    <w:rsid w:val="001350D2"/>
    <w:rsid w:val="00135EAD"/>
    <w:rsid w:val="00140233"/>
    <w:rsid w:val="00156BD9"/>
    <w:rsid w:val="00164563"/>
    <w:rsid w:val="00165A0F"/>
    <w:rsid w:val="0017454F"/>
    <w:rsid w:val="00180CFE"/>
    <w:rsid w:val="00187490"/>
    <w:rsid w:val="001937DA"/>
    <w:rsid w:val="001A23AB"/>
    <w:rsid w:val="001A342C"/>
    <w:rsid w:val="001A4509"/>
    <w:rsid w:val="001A47C7"/>
    <w:rsid w:val="001B1317"/>
    <w:rsid w:val="001C3D08"/>
    <w:rsid w:val="001D6A26"/>
    <w:rsid w:val="001E1FF6"/>
    <w:rsid w:val="001E61A5"/>
    <w:rsid w:val="0022538F"/>
    <w:rsid w:val="00240CF2"/>
    <w:rsid w:val="0024160A"/>
    <w:rsid w:val="00243BFB"/>
    <w:rsid w:val="0026067D"/>
    <w:rsid w:val="0028313A"/>
    <w:rsid w:val="002B33B0"/>
    <w:rsid w:val="002C10C7"/>
    <w:rsid w:val="002F0538"/>
    <w:rsid w:val="002F1946"/>
    <w:rsid w:val="002F4C0F"/>
    <w:rsid w:val="002F630C"/>
    <w:rsid w:val="00313945"/>
    <w:rsid w:val="00317853"/>
    <w:rsid w:val="00340FD7"/>
    <w:rsid w:val="0034508B"/>
    <w:rsid w:val="003540D8"/>
    <w:rsid w:val="003561C0"/>
    <w:rsid w:val="0036536C"/>
    <w:rsid w:val="003666E4"/>
    <w:rsid w:val="003B715B"/>
    <w:rsid w:val="003D0D4E"/>
    <w:rsid w:val="003E1AEB"/>
    <w:rsid w:val="003E3C50"/>
    <w:rsid w:val="003E3E7E"/>
    <w:rsid w:val="003E7712"/>
    <w:rsid w:val="00406BCC"/>
    <w:rsid w:val="00412E05"/>
    <w:rsid w:val="00413F0E"/>
    <w:rsid w:val="00414F85"/>
    <w:rsid w:val="0041688E"/>
    <w:rsid w:val="00420A32"/>
    <w:rsid w:val="004242BB"/>
    <w:rsid w:val="00431D54"/>
    <w:rsid w:val="004357D9"/>
    <w:rsid w:val="00446165"/>
    <w:rsid w:val="00454DE8"/>
    <w:rsid w:val="0045641D"/>
    <w:rsid w:val="00463A7D"/>
    <w:rsid w:val="004A1D60"/>
    <w:rsid w:val="004B76F0"/>
    <w:rsid w:val="004C3861"/>
    <w:rsid w:val="004C737C"/>
    <w:rsid w:val="004D2802"/>
    <w:rsid w:val="004D3C43"/>
    <w:rsid w:val="004E5EFA"/>
    <w:rsid w:val="004F4234"/>
    <w:rsid w:val="005034F5"/>
    <w:rsid w:val="00506E1C"/>
    <w:rsid w:val="00522EC4"/>
    <w:rsid w:val="00527F58"/>
    <w:rsid w:val="00545758"/>
    <w:rsid w:val="00550247"/>
    <w:rsid w:val="00554479"/>
    <w:rsid w:val="00554E9A"/>
    <w:rsid w:val="00566EC1"/>
    <w:rsid w:val="0057517C"/>
    <w:rsid w:val="005804B4"/>
    <w:rsid w:val="00586BD6"/>
    <w:rsid w:val="005D1FEC"/>
    <w:rsid w:val="005F00B6"/>
    <w:rsid w:val="00614800"/>
    <w:rsid w:val="00616A7F"/>
    <w:rsid w:val="0062019C"/>
    <w:rsid w:val="00631213"/>
    <w:rsid w:val="00640169"/>
    <w:rsid w:val="006405EF"/>
    <w:rsid w:val="00644F5B"/>
    <w:rsid w:val="00663969"/>
    <w:rsid w:val="0067262F"/>
    <w:rsid w:val="0067316F"/>
    <w:rsid w:val="0068273C"/>
    <w:rsid w:val="006A0F23"/>
    <w:rsid w:val="006A6C36"/>
    <w:rsid w:val="006B3064"/>
    <w:rsid w:val="006B416F"/>
    <w:rsid w:val="006B768F"/>
    <w:rsid w:val="006C646F"/>
    <w:rsid w:val="006C66F0"/>
    <w:rsid w:val="006C757C"/>
    <w:rsid w:val="006C7FFC"/>
    <w:rsid w:val="006D3AF8"/>
    <w:rsid w:val="006D6CC4"/>
    <w:rsid w:val="006D74C9"/>
    <w:rsid w:val="006F11A4"/>
    <w:rsid w:val="006F4B94"/>
    <w:rsid w:val="007044D4"/>
    <w:rsid w:val="00722C15"/>
    <w:rsid w:val="00753013"/>
    <w:rsid w:val="00777912"/>
    <w:rsid w:val="00784F0A"/>
    <w:rsid w:val="00784F7F"/>
    <w:rsid w:val="00794FC7"/>
    <w:rsid w:val="007969B7"/>
    <w:rsid w:val="007976E3"/>
    <w:rsid w:val="007C0F66"/>
    <w:rsid w:val="007C5039"/>
    <w:rsid w:val="007E1ED7"/>
    <w:rsid w:val="007E4C21"/>
    <w:rsid w:val="007F0F25"/>
    <w:rsid w:val="00800213"/>
    <w:rsid w:val="00805074"/>
    <w:rsid w:val="008069B9"/>
    <w:rsid w:val="008149FA"/>
    <w:rsid w:val="0081543D"/>
    <w:rsid w:val="00821A2E"/>
    <w:rsid w:val="00837A04"/>
    <w:rsid w:val="00842B89"/>
    <w:rsid w:val="00855B53"/>
    <w:rsid w:val="0087090F"/>
    <w:rsid w:val="00882F4E"/>
    <w:rsid w:val="00887149"/>
    <w:rsid w:val="00892A53"/>
    <w:rsid w:val="00894A14"/>
    <w:rsid w:val="008A3173"/>
    <w:rsid w:val="008A76FF"/>
    <w:rsid w:val="008B1B01"/>
    <w:rsid w:val="008C5784"/>
    <w:rsid w:val="008C57B7"/>
    <w:rsid w:val="008C6BAB"/>
    <w:rsid w:val="008D3685"/>
    <w:rsid w:val="008E325E"/>
    <w:rsid w:val="008E615C"/>
    <w:rsid w:val="008F3D5B"/>
    <w:rsid w:val="009032B9"/>
    <w:rsid w:val="009036E1"/>
    <w:rsid w:val="00911451"/>
    <w:rsid w:val="0091242E"/>
    <w:rsid w:val="00926456"/>
    <w:rsid w:val="009313E3"/>
    <w:rsid w:val="009477B0"/>
    <w:rsid w:val="00947BA0"/>
    <w:rsid w:val="00956E19"/>
    <w:rsid w:val="009703F7"/>
    <w:rsid w:val="0097260E"/>
    <w:rsid w:val="00972D7C"/>
    <w:rsid w:val="00976C9C"/>
    <w:rsid w:val="00980AD8"/>
    <w:rsid w:val="00980FCC"/>
    <w:rsid w:val="009858EF"/>
    <w:rsid w:val="00993456"/>
    <w:rsid w:val="009A1497"/>
    <w:rsid w:val="009A27F8"/>
    <w:rsid w:val="009B0D12"/>
    <w:rsid w:val="009B3FA7"/>
    <w:rsid w:val="009C457E"/>
    <w:rsid w:val="009D331A"/>
    <w:rsid w:val="009E4585"/>
    <w:rsid w:val="00A00919"/>
    <w:rsid w:val="00A023CF"/>
    <w:rsid w:val="00A06447"/>
    <w:rsid w:val="00A101DB"/>
    <w:rsid w:val="00A105DA"/>
    <w:rsid w:val="00A20485"/>
    <w:rsid w:val="00A23E41"/>
    <w:rsid w:val="00A3188D"/>
    <w:rsid w:val="00A570DD"/>
    <w:rsid w:val="00A607EE"/>
    <w:rsid w:val="00A67482"/>
    <w:rsid w:val="00A94A0F"/>
    <w:rsid w:val="00AB1F3C"/>
    <w:rsid w:val="00AB6EA1"/>
    <w:rsid w:val="00AD0BE2"/>
    <w:rsid w:val="00AD2E75"/>
    <w:rsid w:val="00AF3338"/>
    <w:rsid w:val="00AF4981"/>
    <w:rsid w:val="00B01634"/>
    <w:rsid w:val="00B0447D"/>
    <w:rsid w:val="00B10B8A"/>
    <w:rsid w:val="00B12624"/>
    <w:rsid w:val="00B21856"/>
    <w:rsid w:val="00B35357"/>
    <w:rsid w:val="00B40BE1"/>
    <w:rsid w:val="00B4657F"/>
    <w:rsid w:val="00B567C8"/>
    <w:rsid w:val="00B66466"/>
    <w:rsid w:val="00B75019"/>
    <w:rsid w:val="00BA3D69"/>
    <w:rsid w:val="00BA4327"/>
    <w:rsid w:val="00BB205E"/>
    <w:rsid w:val="00BB602A"/>
    <w:rsid w:val="00BB751D"/>
    <w:rsid w:val="00BC39FF"/>
    <w:rsid w:val="00BE147A"/>
    <w:rsid w:val="00BE257C"/>
    <w:rsid w:val="00BE3454"/>
    <w:rsid w:val="00BE66C1"/>
    <w:rsid w:val="00C00089"/>
    <w:rsid w:val="00C004E8"/>
    <w:rsid w:val="00C02525"/>
    <w:rsid w:val="00C06948"/>
    <w:rsid w:val="00C07D03"/>
    <w:rsid w:val="00C11A51"/>
    <w:rsid w:val="00C30118"/>
    <w:rsid w:val="00C45E25"/>
    <w:rsid w:val="00C56FB5"/>
    <w:rsid w:val="00C604CE"/>
    <w:rsid w:val="00C63CFD"/>
    <w:rsid w:val="00C6732D"/>
    <w:rsid w:val="00C7035A"/>
    <w:rsid w:val="00C76C30"/>
    <w:rsid w:val="00C779EF"/>
    <w:rsid w:val="00C77D2D"/>
    <w:rsid w:val="00C860A6"/>
    <w:rsid w:val="00C905CD"/>
    <w:rsid w:val="00C94C9E"/>
    <w:rsid w:val="00CA5E82"/>
    <w:rsid w:val="00CB59FB"/>
    <w:rsid w:val="00CB7D93"/>
    <w:rsid w:val="00CC0618"/>
    <w:rsid w:val="00CC0AA4"/>
    <w:rsid w:val="00CC6729"/>
    <w:rsid w:val="00CD0AED"/>
    <w:rsid w:val="00CD58E7"/>
    <w:rsid w:val="00CE3D92"/>
    <w:rsid w:val="00CE5CAE"/>
    <w:rsid w:val="00CE7BB6"/>
    <w:rsid w:val="00CF0C09"/>
    <w:rsid w:val="00D040F2"/>
    <w:rsid w:val="00D22697"/>
    <w:rsid w:val="00D3369B"/>
    <w:rsid w:val="00D37E8D"/>
    <w:rsid w:val="00D47688"/>
    <w:rsid w:val="00D5159E"/>
    <w:rsid w:val="00D51B34"/>
    <w:rsid w:val="00D52899"/>
    <w:rsid w:val="00D5527D"/>
    <w:rsid w:val="00D55772"/>
    <w:rsid w:val="00D62D57"/>
    <w:rsid w:val="00D66DCA"/>
    <w:rsid w:val="00D66FB7"/>
    <w:rsid w:val="00D71863"/>
    <w:rsid w:val="00D76A53"/>
    <w:rsid w:val="00D83843"/>
    <w:rsid w:val="00D91571"/>
    <w:rsid w:val="00D9316F"/>
    <w:rsid w:val="00D93F21"/>
    <w:rsid w:val="00D97E9F"/>
    <w:rsid w:val="00DB3C9E"/>
    <w:rsid w:val="00DB576A"/>
    <w:rsid w:val="00DB6806"/>
    <w:rsid w:val="00DD4DF6"/>
    <w:rsid w:val="00DF70A7"/>
    <w:rsid w:val="00E411D6"/>
    <w:rsid w:val="00E608A1"/>
    <w:rsid w:val="00E64492"/>
    <w:rsid w:val="00E6491D"/>
    <w:rsid w:val="00EA173B"/>
    <w:rsid w:val="00EB2C61"/>
    <w:rsid w:val="00EB3605"/>
    <w:rsid w:val="00EB6327"/>
    <w:rsid w:val="00EE05AE"/>
    <w:rsid w:val="00EE2E84"/>
    <w:rsid w:val="00EF10BB"/>
    <w:rsid w:val="00F00829"/>
    <w:rsid w:val="00F03226"/>
    <w:rsid w:val="00F035B4"/>
    <w:rsid w:val="00F108CD"/>
    <w:rsid w:val="00F14CC3"/>
    <w:rsid w:val="00F169B4"/>
    <w:rsid w:val="00F20BAF"/>
    <w:rsid w:val="00F21A5F"/>
    <w:rsid w:val="00F32136"/>
    <w:rsid w:val="00F3305E"/>
    <w:rsid w:val="00F335B4"/>
    <w:rsid w:val="00F36447"/>
    <w:rsid w:val="00F43F2D"/>
    <w:rsid w:val="00F510F4"/>
    <w:rsid w:val="00F65C2E"/>
    <w:rsid w:val="00F65D33"/>
    <w:rsid w:val="00F67F89"/>
    <w:rsid w:val="00F71DDE"/>
    <w:rsid w:val="00F73BB9"/>
    <w:rsid w:val="00F9668B"/>
    <w:rsid w:val="00FA072B"/>
    <w:rsid w:val="00FA3D23"/>
    <w:rsid w:val="00FA3DED"/>
    <w:rsid w:val="00FA627D"/>
    <w:rsid w:val="00FA694C"/>
    <w:rsid w:val="00FA7FAA"/>
    <w:rsid w:val="00FB2953"/>
    <w:rsid w:val="00FB6AEF"/>
    <w:rsid w:val="00FC25E1"/>
    <w:rsid w:val="00FC6A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32CBDD"/>
  <w15:chartTrackingRefBased/>
  <w15:docId w15:val="{63C4BE90-27EA-F04C-947F-9A0DAB96DE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F11A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D5159E"/>
  </w:style>
  <w:style w:type="paragraph" w:customStyle="1" w:styleId="EndNoteBibliographyTitle">
    <w:name w:val="EndNote Bibliography Title"/>
    <w:basedOn w:val="Normal"/>
    <w:link w:val="EndNoteBibliographyTitleChar"/>
    <w:rsid w:val="00D66FB7"/>
    <w:pPr>
      <w:jc w:val="center"/>
    </w:pPr>
    <w:rPr>
      <w:rFonts w:ascii="Calibri" w:eastAsiaTheme="minorHAnsi" w:hAnsi="Calibri" w:cs="Calibri"/>
    </w:rPr>
  </w:style>
  <w:style w:type="character" w:customStyle="1" w:styleId="EndNoteBibliographyTitleChar">
    <w:name w:val="EndNote Bibliography Title Char"/>
    <w:basedOn w:val="DefaultParagraphFont"/>
    <w:link w:val="EndNoteBibliographyTitle"/>
    <w:rsid w:val="00D66FB7"/>
    <w:rPr>
      <w:rFonts w:ascii="Calibri" w:hAnsi="Calibri" w:cs="Calibri"/>
    </w:rPr>
  </w:style>
  <w:style w:type="paragraph" w:customStyle="1" w:styleId="EndNoteBibliography">
    <w:name w:val="EndNote Bibliography"/>
    <w:basedOn w:val="Normal"/>
    <w:link w:val="EndNoteBibliographyChar"/>
    <w:rsid w:val="00D66FB7"/>
    <w:rPr>
      <w:rFonts w:ascii="Calibri" w:eastAsiaTheme="minorHAnsi" w:hAnsi="Calibri" w:cs="Calibri"/>
    </w:rPr>
  </w:style>
  <w:style w:type="character" w:customStyle="1" w:styleId="EndNoteBibliographyChar">
    <w:name w:val="EndNote Bibliography Char"/>
    <w:basedOn w:val="DefaultParagraphFont"/>
    <w:link w:val="EndNoteBibliography"/>
    <w:rsid w:val="00D66FB7"/>
    <w:rPr>
      <w:rFonts w:ascii="Calibri" w:hAnsi="Calibri" w:cs="Calibri"/>
    </w:rPr>
  </w:style>
  <w:style w:type="character" w:styleId="CommentReference">
    <w:name w:val="annotation reference"/>
    <w:basedOn w:val="DefaultParagraphFont"/>
    <w:uiPriority w:val="99"/>
    <w:semiHidden/>
    <w:unhideWhenUsed/>
    <w:rsid w:val="00976C9C"/>
    <w:rPr>
      <w:sz w:val="16"/>
      <w:szCs w:val="16"/>
    </w:rPr>
  </w:style>
  <w:style w:type="paragraph" w:styleId="CommentText">
    <w:name w:val="annotation text"/>
    <w:basedOn w:val="Normal"/>
    <w:link w:val="CommentTextChar"/>
    <w:uiPriority w:val="99"/>
    <w:semiHidden/>
    <w:unhideWhenUsed/>
    <w:rsid w:val="00976C9C"/>
    <w:rPr>
      <w:sz w:val="20"/>
      <w:szCs w:val="20"/>
    </w:rPr>
  </w:style>
  <w:style w:type="character" w:customStyle="1" w:styleId="CommentTextChar">
    <w:name w:val="Comment Text Char"/>
    <w:basedOn w:val="DefaultParagraphFont"/>
    <w:link w:val="CommentText"/>
    <w:uiPriority w:val="99"/>
    <w:semiHidden/>
    <w:rsid w:val="00976C9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76C9C"/>
    <w:rPr>
      <w:b/>
      <w:bCs/>
    </w:rPr>
  </w:style>
  <w:style w:type="character" w:customStyle="1" w:styleId="CommentSubjectChar">
    <w:name w:val="Comment Subject Char"/>
    <w:basedOn w:val="CommentTextChar"/>
    <w:link w:val="CommentSubject"/>
    <w:uiPriority w:val="99"/>
    <w:semiHidden/>
    <w:rsid w:val="00976C9C"/>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976C9C"/>
    <w:rPr>
      <w:sz w:val="18"/>
      <w:szCs w:val="18"/>
    </w:rPr>
  </w:style>
  <w:style w:type="character" w:customStyle="1" w:styleId="BalloonTextChar">
    <w:name w:val="Balloon Text Char"/>
    <w:basedOn w:val="DefaultParagraphFont"/>
    <w:link w:val="BalloonText"/>
    <w:uiPriority w:val="99"/>
    <w:semiHidden/>
    <w:rsid w:val="00976C9C"/>
    <w:rPr>
      <w:rFonts w:ascii="Times New Roman" w:eastAsia="Times New Roman" w:hAnsi="Times New Roman" w:cs="Times New Roman"/>
      <w:sz w:val="18"/>
      <w:szCs w:val="18"/>
    </w:rPr>
  </w:style>
  <w:style w:type="paragraph" w:styleId="Revision">
    <w:name w:val="Revision"/>
    <w:hidden/>
    <w:uiPriority w:val="99"/>
    <w:semiHidden/>
    <w:rsid w:val="00F510F4"/>
    <w:rPr>
      <w:rFonts w:ascii="Times New Roman" w:eastAsia="Times New Roman" w:hAnsi="Times New Roman" w:cs="Times New Roman"/>
    </w:rPr>
  </w:style>
  <w:style w:type="paragraph" w:styleId="Footer">
    <w:name w:val="footer"/>
    <w:basedOn w:val="Normal"/>
    <w:link w:val="FooterChar"/>
    <w:uiPriority w:val="99"/>
    <w:unhideWhenUsed/>
    <w:rsid w:val="00F14CC3"/>
    <w:pPr>
      <w:tabs>
        <w:tab w:val="center" w:pos="4680"/>
        <w:tab w:val="right" w:pos="9360"/>
      </w:tabs>
    </w:pPr>
  </w:style>
  <w:style w:type="character" w:customStyle="1" w:styleId="FooterChar">
    <w:name w:val="Footer Char"/>
    <w:basedOn w:val="DefaultParagraphFont"/>
    <w:link w:val="Footer"/>
    <w:uiPriority w:val="99"/>
    <w:rsid w:val="00F14CC3"/>
    <w:rPr>
      <w:rFonts w:ascii="Times New Roman" w:eastAsia="Times New Roman" w:hAnsi="Times New Roman" w:cs="Times New Roman"/>
    </w:rPr>
  </w:style>
  <w:style w:type="character" w:styleId="PageNumber">
    <w:name w:val="page number"/>
    <w:basedOn w:val="DefaultParagraphFont"/>
    <w:uiPriority w:val="99"/>
    <w:semiHidden/>
    <w:unhideWhenUsed/>
    <w:rsid w:val="00F14C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0118521">
      <w:bodyDiv w:val="1"/>
      <w:marLeft w:val="0"/>
      <w:marRight w:val="0"/>
      <w:marTop w:val="0"/>
      <w:marBottom w:val="0"/>
      <w:divBdr>
        <w:top w:val="none" w:sz="0" w:space="0" w:color="auto"/>
        <w:left w:val="none" w:sz="0" w:space="0" w:color="auto"/>
        <w:bottom w:val="none" w:sz="0" w:space="0" w:color="auto"/>
        <w:right w:val="none" w:sz="0" w:space="0" w:color="auto"/>
      </w:divBdr>
    </w:div>
    <w:div w:id="520701254">
      <w:bodyDiv w:val="1"/>
      <w:marLeft w:val="0"/>
      <w:marRight w:val="0"/>
      <w:marTop w:val="0"/>
      <w:marBottom w:val="0"/>
      <w:divBdr>
        <w:top w:val="none" w:sz="0" w:space="0" w:color="auto"/>
        <w:left w:val="none" w:sz="0" w:space="0" w:color="auto"/>
        <w:bottom w:val="none" w:sz="0" w:space="0" w:color="auto"/>
        <w:right w:val="none" w:sz="0" w:space="0" w:color="auto"/>
      </w:divBdr>
      <w:divsChild>
        <w:div w:id="984119248">
          <w:marLeft w:val="0"/>
          <w:marRight w:val="0"/>
          <w:marTop w:val="0"/>
          <w:marBottom w:val="0"/>
          <w:divBdr>
            <w:top w:val="none" w:sz="0" w:space="0" w:color="auto"/>
            <w:left w:val="none" w:sz="0" w:space="0" w:color="auto"/>
            <w:bottom w:val="none" w:sz="0" w:space="0" w:color="auto"/>
            <w:right w:val="none" w:sz="0" w:space="0" w:color="auto"/>
          </w:divBdr>
          <w:divsChild>
            <w:div w:id="2017465437">
              <w:marLeft w:val="0"/>
              <w:marRight w:val="0"/>
              <w:marTop w:val="0"/>
              <w:marBottom w:val="0"/>
              <w:divBdr>
                <w:top w:val="none" w:sz="0" w:space="0" w:color="auto"/>
                <w:left w:val="none" w:sz="0" w:space="0" w:color="auto"/>
                <w:bottom w:val="none" w:sz="0" w:space="0" w:color="auto"/>
                <w:right w:val="none" w:sz="0" w:space="0" w:color="auto"/>
              </w:divBdr>
              <w:divsChild>
                <w:div w:id="1633748965">
                  <w:marLeft w:val="0"/>
                  <w:marRight w:val="0"/>
                  <w:marTop w:val="0"/>
                  <w:marBottom w:val="0"/>
                  <w:divBdr>
                    <w:top w:val="none" w:sz="0" w:space="0" w:color="auto"/>
                    <w:left w:val="none" w:sz="0" w:space="0" w:color="auto"/>
                    <w:bottom w:val="none" w:sz="0" w:space="0" w:color="auto"/>
                    <w:right w:val="none" w:sz="0" w:space="0" w:color="auto"/>
                  </w:divBdr>
                  <w:divsChild>
                    <w:div w:id="44165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136062">
      <w:bodyDiv w:val="1"/>
      <w:marLeft w:val="0"/>
      <w:marRight w:val="0"/>
      <w:marTop w:val="0"/>
      <w:marBottom w:val="0"/>
      <w:divBdr>
        <w:top w:val="none" w:sz="0" w:space="0" w:color="auto"/>
        <w:left w:val="none" w:sz="0" w:space="0" w:color="auto"/>
        <w:bottom w:val="none" w:sz="0" w:space="0" w:color="auto"/>
        <w:right w:val="none" w:sz="0" w:space="0" w:color="auto"/>
      </w:divBdr>
      <w:divsChild>
        <w:div w:id="1014724354">
          <w:marLeft w:val="0"/>
          <w:marRight w:val="0"/>
          <w:marTop w:val="0"/>
          <w:marBottom w:val="0"/>
          <w:divBdr>
            <w:top w:val="none" w:sz="0" w:space="0" w:color="auto"/>
            <w:left w:val="none" w:sz="0" w:space="0" w:color="auto"/>
            <w:bottom w:val="none" w:sz="0" w:space="0" w:color="auto"/>
            <w:right w:val="none" w:sz="0" w:space="0" w:color="auto"/>
          </w:divBdr>
          <w:divsChild>
            <w:div w:id="153692972">
              <w:marLeft w:val="0"/>
              <w:marRight w:val="0"/>
              <w:marTop w:val="0"/>
              <w:marBottom w:val="0"/>
              <w:divBdr>
                <w:top w:val="none" w:sz="0" w:space="0" w:color="auto"/>
                <w:left w:val="none" w:sz="0" w:space="0" w:color="auto"/>
                <w:bottom w:val="none" w:sz="0" w:space="0" w:color="auto"/>
                <w:right w:val="none" w:sz="0" w:space="0" w:color="auto"/>
              </w:divBdr>
              <w:divsChild>
                <w:div w:id="2007248502">
                  <w:marLeft w:val="0"/>
                  <w:marRight w:val="0"/>
                  <w:marTop w:val="0"/>
                  <w:marBottom w:val="0"/>
                  <w:divBdr>
                    <w:top w:val="none" w:sz="0" w:space="0" w:color="auto"/>
                    <w:left w:val="none" w:sz="0" w:space="0" w:color="auto"/>
                    <w:bottom w:val="none" w:sz="0" w:space="0" w:color="auto"/>
                    <w:right w:val="none" w:sz="0" w:space="0" w:color="auto"/>
                  </w:divBdr>
                  <w:divsChild>
                    <w:div w:id="30790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344538">
      <w:bodyDiv w:val="1"/>
      <w:marLeft w:val="0"/>
      <w:marRight w:val="0"/>
      <w:marTop w:val="0"/>
      <w:marBottom w:val="0"/>
      <w:divBdr>
        <w:top w:val="none" w:sz="0" w:space="0" w:color="auto"/>
        <w:left w:val="none" w:sz="0" w:space="0" w:color="auto"/>
        <w:bottom w:val="none" w:sz="0" w:space="0" w:color="auto"/>
        <w:right w:val="none" w:sz="0" w:space="0" w:color="auto"/>
      </w:divBdr>
    </w:div>
    <w:div w:id="1201866967">
      <w:bodyDiv w:val="1"/>
      <w:marLeft w:val="0"/>
      <w:marRight w:val="0"/>
      <w:marTop w:val="0"/>
      <w:marBottom w:val="0"/>
      <w:divBdr>
        <w:top w:val="none" w:sz="0" w:space="0" w:color="auto"/>
        <w:left w:val="none" w:sz="0" w:space="0" w:color="auto"/>
        <w:bottom w:val="none" w:sz="0" w:space="0" w:color="auto"/>
        <w:right w:val="none" w:sz="0" w:space="0" w:color="auto"/>
      </w:divBdr>
    </w:div>
    <w:div w:id="1273827828">
      <w:bodyDiv w:val="1"/>
      <w:marLeft w:val="0"/>
      <w:marRight w:val="0"/>
      <w:marTop w:val="0"/>
      <w:marBottom w:val="0"/>
      <w:divBdr>
        <w:top w:val="none" w:sz="0" w:space="0" w:color="auto"/>
        <w:left w:val="none" w:sz="0" w:space="0" w:color="auto"/>
        <w:bottom w:val="none" w:sz="0" w:space="0" w:color="auto"/>
        <w:right w:val="none" w:sz="0" w:space="0" w:color="auto"/>
      </w:divBdr>
      <w:divsChild>
        <w:div w:id="569970914">
          <w:marLeft w:val="0"/>
          <w:marRight w:val="0"/>
          <w:marTop w:val="0"/>
          <w:marBottom w:val="0"/>
          <w:divBdr>
            <w:top w:val="none" w:sz="0" w:space="0" w:color="auto"/>
            <w:left w:val="none" w:sz="0" w:space="0" w:color="auto"/>
            <w:bottom w:val="none" w:sz="0" w:space="0" w:color="auto"/>
            <w:right w:val="none" w:sz="0" w:space="0" w:color="auto"/>
          </w:divBdr>
          <w:divsChild>
            <w:div w:id="140511824">
              <w:marLeft w:val="0"/>
              <w:marRight w:val="0"/>
              <w:marTop w:val="0"/>
              <w:marBottom w:val="0"/>
              <w:divBdr>
                <w:top w:val="none" w:sz="0" w:space="0" w:color="auto"/>
                <w:left w:val="none" w:sz="0" w:space="0" w:color="auto"/>
                <w:bottom w:val="none" w:sz="0" w:space="0" w:color="auto"/>
                <w:right w:val="none" w:sz="0" w:space="0" w:color="auto"/>
              </w:divBdr>
              <w:divsChild>
                <w:div w:id="1396313569">
                  <w:marLeft w:val="0"/>
                  <w:marRight w:val="0"/>
                  <w:marTop w:val="0"/>
                  <w:marBottom w:val="0"/>
                  <w:divBdr>
                    <w:top w:val="none" w:sz="0" w:space="0" w:color="auto"/>
                    <w:left w:val="none" w:sz="0" w:space="0" w:color="auto"/>
                    <w:bottom w:val="none" w:sz="0" w:space="0" w:color="auto"/>
                    <w:right w:val="none" w:sz="0" w:space="0" w:color="auto"/>
                  </w:divBdr>
                  <w:divsChild>
                    <w:div w:id="88475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681041">
      <w:bodyDiv w:val="1"/>
      <w:marLeft w:val="0"/>
      <w:marRight w:val="0"/>
      <w:marTop w:val="0"/>
      <w:marBottom w:val="0"/>
      <w:divBdr>
        <w:top w:val="none" w:sz="0" w:space="0" w:color="auto"/>
        <w:left w:val="none" w:sz="0" w:space="0" w:color="auto"/>
        <w:bottom w:val="none" w:sz="0" w:space="0" w:color="auto"/>
        <w:right w:val="none" w:sz="0" w:space="0" w:color="auto"/>
      </w:divBdr>
      <w:divsChild>
        <w:div w:id="527379464">
          <w:marLeft w:val="0"/>
          <w:marRight w:val="0"/>
          <w:marTop w:val="0"/>
          <w:marBottom w:val="0"/>
          <w:divBdr>
            <w:top w:val="none" w:sz="0" w:space="0" w:color="auto"/>
            <w:left w:val="none" w:sz="0" w:space="0" w:color="auto"/>
            <w:bottom w:val="none" w:sz="0" w:space="0" w:color="auto"/>
            <w:right w:val="none" w:sz="0" w:space="0" w:color="auto"/>
          </w:divBdr>
          <w:divsChild>
            <w:div w:id="492374491">
              <w:marLeft w:val="0"/>
              <w:marRight w:val="0"/>
              <w:marTop w:val="0"/>
              <w:marBottom w:val="0"/>
              <w:divBdr>
                <w:top w:val="none" w:sz="0" w:space="0" w:color="auto"/>
                <w:left w:val="none" w:sz="0" w:space="0" w:color="auto"/>
                <w:bottom w:val="none" w:sz="0" w:space="0" w:color="auto"/>
                <w:right w:val="none" w:sz="0" w:space="0" w:color="auto"/>
              </w:divBdr>
              <w:divsChild>
                <w:div w:id="1446191841">
                  <w:marLeft w:val="0"/>
                  <w:marRight w:val="0"/>
                  <w:marTop w:val="0"/>
                  <w:marBottom w:val="0"/>
                  <w:divBdr>
                    <w:top w:val="none" w:sz="0" w:space="0" w:color="auto"/>
                    <w:left w:val="none" w:sz="0" w:space="0" w:color="auto"/>
                    <w:bottom w:val="none" w:sz="0" w:space="0" w:color="auto"/>
                    <w:right w:val="none" w:sz="0" w:space="0" w:color="auto"/>
                  </w:divBdr>
                  <w:divsChild>
                    <w:div w:id="17630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507215">
      <w:bodyDiv w:val="1"/>
      <w:marLeft w:val="0"/>
      <w:marRight w:val="0"/>
      <w:marTop w:val="0"/>
      <w:marBottom w:val="0"/>
      <w:divBdr>
        <w:top w:val="none" w:sz="0" w:space="0" w:color="auto"/>
        <w:left w:val="none" w:sz="0" w:space="0" w:color="auto"/>
        <w:bottom w:val="none" w:sz="0" w:space="0" w:color="auto"/>
        <w:right w:val="none" w:sz="0" w:space="0" w:color="auto"/>
      </w:divBdr>
    </w:div>
    <w:div w:id="1862160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footer" Target="foot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8</Pages>
  <Words>1595</Words>
  <Characters>9098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2020-07-08T23:05:00Z</dcterms:created>
  <dcterms:modified xsi:type="dcterms:W3CDTF">2020-07-08T23:05:00Z</dcterms:modified>
</cp:coreProperties>
</file>