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D7" w:rsidRPr="002E5494" w:rsidRDefault="00E21AD7" w:rsidP="00E21AD7">
      <w:pPr>
        <w:rPr>
          <w:rFonts w:eastAsia="Times New Roman" w:cs="Times New Roman"/>
          <w:bCs/>
          <w:color w:val="000000"/>
          <w:szCs w:val="24"/>
          <w:lang w:eastAsia="en-CA"/>
        </w:rPr>
      </w:pPr>
      <w:r>
        <w:rPr>
          <w:rFonts w:eastAsia="Calibri" w:cs="Times New Roman"/>
          <w:b/>
          <w:szCs w:val="24"/>
        </w:rPr>
        <w:t>Supplementary Table 2. Standardized r</w:t>
      </w:r>
      <w:r w:rsidRPr="006B7D66">
        <w:rPr>
          <w:rFonts w:eastAsia="Calibri" w:cs="Times New Roman"/>
          <w:b/>
          <w:szCs w:val="24"/>
        </w:rPr>
        <w:t xml:space="preserve">esults from the sex- and obesity-stratified linear regression </w:t>
      </w:r>
      <w:r>
        <w:rPr>
          <w:rFonts w:eastAsia="Calibri" w:cs="Times New Roman"/>
          <w:b/>
          <w:szCs w:val="24"/>
        </w:rPr>
        <w:t xml:space="preserve">sensitivity </w:t>
      </w:r>
      <w:r w:rsidRPr="006B7D66">
        <w:rPr>
          <w:rFonts w:eastAsia="Calibri" w:cs="Times New Roman"/>
          <w:b/>
          <w:szCs w:val="24"/>
        </w:rPr>
        <w:t xml:space="preserve">analyses (outcome: </w:t>
      </w:r>
      <w:r>
        <w:rPr>
          <w:rFonts w:eastAsia="Calibri" w:cs="Times New Roman"/>
          <w:b/>
          <w:szCs w:val="24"/>
        </w:rPr>
        <w:t>restricted discordance score</w:t>
      </w:r>
      <w:r w:rsidRPr="006B7D66">
        <w:rPr>
          <w:rFonts w:eastAsia="Calibri" w:cs="Times New Roman"/>
          <w:b/>
          <w:szCs w:val="24"/>
        </w:rPr>
        <w:t>).</w:t>
      </w:r>
    </w:p>
    <w:p w:rsidR="00E21AD7" w:rsidRDefault="00E21AD7"/>
    <w:tbl>
      <w:tblPr>
        <w:tblStyle w:val="TableGrid"/>
        <w:tblW w:w="5433" w:type="pct"/>
        <w:tblLayout w:type="fixed"/>
        <w:tblLook w:val="04A0" w:firstRow="1" w:lastRow="0" w:firstColumn="1" w:lastColumn="0" w:noHBand="0" w:noVBand="1"/>
      </w:tblPr>
      <w:tblGrid>
        <w:gridCol w:w="1885"/>
        <w:gridCol w:w="720"/>
        <w:gridCol w:w="1351"/>
        <w:gridCol w:w="722"/>
        <w:gridCol w:w="1349"/>
        <w:gridCol w:w="720"/>
        <w:gridCol w:w="1351"/>
        <w:gridCol w:w="722"/>
        <w:gridCol w:w="1351"/>
      </w:tblGrid>
      <w:tr w:rsidR="00F40757" w:rsidRPr="001205FF" w:rsidTr="00E17F1C">
        <w:trPr>
          <w:trHeight w:val="300"/>
        </w:trPr>
        <w:tc>
          <w:tcPr>
            <w:tcW w:w="927" w:type="pct"/>
            <w:tcBorders>
              <w:left w:val="nil"/>
              <w:bottom w:val="nil"/>
              <w:right w:val="nil"/>
            </w:tcBorders>
            <w:noWrap/>
          </w:tcPr>
          <w:p w:rsidR="00F40757" w:rsidRPr="001205FF" w:rsidRDefault="00F40757" w:rsidP="00E17F1C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2036" w:type="pct"/>
            <w:gridSpan w:val="4"/>
            <w:tcBorders>
              <w:left w:val="nil"/>
              <w:bottom w:val="nil"/>
              <w:right w:val="nil"/>
            </w:tcBorders>
            <w:noWrap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Obese</w:t>
            </w:r>
          </w:p>
        </w:tc>
        <w:tc>
          <w:tcPr>
            <w:tcW w:w="2037" w:type="pct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F40757" w:rsidRPr="008C271A" w:rsidRDefault="00F40757" w:rsidP="00E17F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Non-obese</w:t>
            </w:r>
          </w:p>
        </w:tc>
      </w:tr>
      <w:tr w:rsidR="00F40757" w:rsidRPr="001205FF" w:rsidTr="00E17F1C">
        <w:trPr>
          <w:trHeight w:val="300"/>
        </w:trPr>
        <w:tc>
          <w:tcPr>
            <w:tcW w:w="927" w:type="pct"/>
            <w:tcBorders>
              <w:left w:val="nil"/>
              <w:bottom w:val="nil"/>
              <w:right w:val="nil"/>
            </w:tcBorders>
            <w:noWrap/>
            <w:hideMark/>
          </w:tcPr>
          <w:p w:rsidR="00F40757" w:rsidRPr="001205FF" w:rsidRDefault="00F40757" w:rsidP="00E17F1C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1018" w:type="pct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Men</w:t>
            </w:r>
          </w:p>
        </w:tc>
        <w:tc>
          <w:tcPr>
            <w:tcW w:w="1018" w:type="pct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Women</w:t>
            </w:r>
          </w:p>
        </w:tc>
        <w:tc>
          <w:tcPr>
            <w:tcW w:w="1018" w:type="pct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Men</w:t>
            </w:r>
          </w:p>
        </w:tc>
        <w:tc>
          <w:tcPr>
            <w:tcW w:w="1019" w:type="pct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40757" w:rsidRPr="008C271A" w:rsidRDefault="00F40757" w:rsidP="00E17F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8C271A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Women</w:t>
            </w:r>
          </w:p>
        </w:tc>
      </w:tr>
      <w:tr w:rsidR="00F40757" w:rsidRPr="001205FF" w:rsidTr="00E17F1C">
        <w:trPr>
          <w:trHeight w:val="315"/>
        </w:trPr>
        <w:tc>
          <w:tcPr>
            <w:tcW w:w="927" w:type="pct"/>
            <w:tcBorders>
              <w:top w:val="single" w:sz="4" w:space="0" w:color="auto"/>
              <w:left w:val="nil"/>
              <w:right w:val="nil"/>
            </w:tcBorders>
            <w:noWrap/>
          </w:tcPr>
          <w:p w:rsidR="00F40757" w:rsidRPr="001205FF" w:rsidRDefault="00F40757" w:rsidP="00E17F1C">
            <w:pPr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1205FF" w:rsidRDefault="00673FE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Std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 w:rsidR="00F40757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Est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95% CI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1205FF" w:rsidRDefault="00673FE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Std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 w:rsidR="00F40757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Est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95% CI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1205FF" w:rsidRDefault="00673FE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Std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r w:rsidR="00F40757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Est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95% CI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1205FF" w:rsidRDefault="00673FE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Std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 xml:space="preserve"> </w:t>
            </w:r>
            <w:bookmarkStart w:id="0" w:name="_GoBack"/>
            <w:bookmarkEnd w:id="0"/>
            <w:r w:rsidR="00F40757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Est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1205FF" w:rsidRDefault="00F40757" w:rsidP="00E17F1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95% CI</w:t>
            </w:r>
          </w:p>
        </w:tc>
      </w:tr>
      <w:tr w:rsidR="00F40757" w:rsidRPr="001205FF" w:rsidTr="00E21AD7">
        <w:trPr>
          <w:trHeight w:val="1068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0757" w:rsidRPr="001205FF" w:rsidRDefault="00F40757" w:rsidP="00E17F1C">
            <w:pPr>
              <w:spacing w:before="120" w:after="120"/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A</w:t>
            </w:r>
            <w:r w:rsidRPr="001205FF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ge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-0.28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-0.45, -0.12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-0.32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-0.47, -0.17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-0.22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-0.35, -0.1</w:t>
            </w:r>
            <w:r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-0.37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-0.5</w:t>
            </w:r>
            <w:r>
              <w:rPr>
                <w:rFonts w:cs="Times New Roman"/>
                <w:b/>
                <w:color w:val="000000"/>
                <w:szCs w:val="24"/>
              </w:rPr>
              <w:t>0</w:t>
            </w:r>
            <w:r w:rsidRPr="004E58EE">
              <w:rPr>
                <w:rFonts w:cs="Times New Roman"/>
                <w:b/>
                <w:color w:val="000000"/>
                <w:szCs w:val="24"/>
              </w:rPr>
              <w:t>, -0.24</w:t>
            </w:r>
          </w:p>
        </w:tc>
      </w:tr>
      <w:tr w:rsidR="00F40757" w:rsidRPr="001205FF" w:rsidTr="00E21AD7">
        <w:trPr>
          <w:trHeight w:val="1068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40757" w:rsidRPr="001205FF" w:rsidRDefault="00F40757" w:rsidP="00E17F1C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 w:rsidRPr="001205FF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Education</w:t>
            </w:r>
            <w:r w:rsidRPr="001205FF"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(p</w:t>
            </w:r>
            <w:r w:rsidRPr="001205FF">
              <w:rPr>
                <w:rFonts w:eastAsia="Times New Roman" w:cs="Times New Roman"/>
                <w:color w:val="000000"/>
                <w:szCs w:val="24"/>
                <w:lang w:eastAsia="en-CA"/>
              </w:rPr>
              <w:t>ost-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>s</w:t>
            </w:r>
            <w:r w:rsidRPr="001205FF">
              <w:rPr>
                <w:rFonts w:eastAsia="Times New Roman" w:cs="Times New Roman"/>
                <w:color w:val="000000"/>
                <w:szCs w:val="24"/>
                <w:lang w:eastAsia="en-CA"/>
              </w:rPr>
              <w:t>econdary</w:t>
            </w:r>
            <w:r>
              <w:rPr>
                <w:rFonts w:eastAsia="Times New Roman" w:cs="Times New Roman"/>
                <w:color w:val="000000"/>
                <w:szCs w:val="24"/>
                <w:lang w:eastAsia="en-CA"/>
              </w:rPr>
              <w:t xml:space="preserve"> vs. less)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0.09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-0.05, 0.23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0.06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-0.07, 0.2</w:t>
            </w: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-0.1</w:t>
            </w:r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-0.22, 0.02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-0.18, 0.09</w:t>
            </w:r>
          </w:p>
        </w:tc>
      </w:tr>
      <w:tr w:rsidR="00F40757" w:rsidRPr="001205FF" w:rsidTr="00E21AD7">
        <w:trPr>
          <w:trHeight w:val="1068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1205FF" w:rsidRDefault="00F40757" w:rsidP="00E17F1C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Knee pain intensity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0.09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-0.06, 0.25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-0.08, 0.23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0.29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0.15, 0.42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0.31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0.16, 0.46</w:t>
            </w:r>
          </w:p>
        </w:tc>
      </w:tr>
      <w:tr w:rsidR="00F40757" w:rsidRPr="001205FF" w:rsidTr="00E21AD7">
        <w:trPr>
          <w:trHeight w:val="1068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1205FF" w:rsidRDefault="00F40757" w:rsidP="00E17F1C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Pain catastrophizing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0.13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-0.03, 0.29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0.17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0.03, 0.31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0.18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0.02, 0.34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-0.22, 0.09</w:t>
            </w:r>
          </w:p>
        </w:tc>
      </w:tr>
      <w:tr w:rsidR="00F40757" w:rsidRPr="001205FF" w:rsidTr="00E21AD7">
        <w:trPr>
          <w:trHeight w:val="1068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1205FF" w:rsidRDefault="00F40757" w:rsidP="00E17F1C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Symptomatic j</w:t>
            </w:r>
            <w:r w:rsidRPr="001205FF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oint site count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-0.21, 0.14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0.16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0.03, 0.29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-0.05, 0.22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-0.02, 0.25</w:t>
            </w:r>
          </w:p>
        </w:tc>
      </w:tr>
      <w:tr w:rsidR="00F40757" w:rsidRPr="001205FF" w:rsidTr="00E21AD7">
        <w:trPr>
          <w:trHeight w:val="1068"/>
        </w:trPr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1205FF" w:rsidRDefault="00F40757" w:rsidP="00E17F1C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C</w:t>
            </w:r>
            <w:r w:rsidRPr="001205FF">
              <w:rPr>
                <w:rFonts w:eastAsia="Times New Roman" w:cs="Times New Roman"/>
                <w:b/>
                <w:bCs/>
                <w:color w:val="000000"/>
                <w:szCs w:val="24"/>
                <w:lang w:eastAsia="en-CA"/>
              </w:rPr>
              <w:t>omorbidity count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0.16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.00</w:t>
            </w:r>
            <w:r w:rsidRPr="004E58EE">
              <w:rPr>
                <w:rFonts w:cs="Times New Roman"/>
                <w:color w:val="000000"/>
                <w:szCs w:val="24"/>
              </w:rPr>
              <w:t>, 0.32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4E58EE">
              <w:rPr>
                <w:rFonts w:cs="Times New Roman"/>
                <w:b/>
                <w:color w:val="000000"/>
                <w:szCs w:val="24"/>
              </w:rPr>
              <w:t>-0.27, -0.03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-0.25, 0.07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-0.05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757" w:rsidRPr="004E58EE" w:rsidRDefault="00F40757" w:rsidP="00E21AD7">
            <w:pPr>
              <w:spacing w:before="120"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4E58EE">
              <w:rPr>
                <w:rFonts w:cs="Times New Roman"/>
                <w:color w:val="000000"/>
                <w:szCs w:val="24"/>
              </w:rPr>
              <w:t>-0.19, 0.1</w:t>
            </w:r>
          </w:p>
        </w:tc>
      </w:tr>
    </w:tbl>
    <w:p w:rsidR="00E21AD7" w:rsidRPr="00DB2145" w:rsidRDefault="00E21AD7" w:rsidP="00E21AD7">
      <w:pPr>
        <w:spacing w:line="480" w:lineRule="auto"/>
        <w:rPr>
          <w:rFonts w:cs="Times New Roman"/>
          <w:szCs w:val="24"/>
        </w:rPr>
      </w:pPr>
      <w:r w:rsidRPr="00D10748">
        <w:rPr>
          <w:rFonts w:eastAsia="Calibri" w:cs="Times New Roman"/>
          <w:szCs w:val="24"/>
        </w:rPr>
        <w:t xml:space="preserve">Statistically significant (p&lt;0.05) </w:t>
      </w:r>
      <w:r w:rsidRPr="00D10748">
        <w:rPr>
          <w:rFonts w:eastAsia="Calibri" w:cs="Times New Roman"/>
          <w:i/>
          <w:szCs w:val="24"/>
        </w:rPr>
        <w:t>P</w:t>
      </w:r>
      <w:r w:rsidRPr="00D10748">
        <w:rPr>
          <w:rFonts w:eastAsia="Calibri" w:cs="Times New Roman"/>
          <w:szCs w:val="24"/>
        </w:rPr>
        <w:t>-values are indicated in bold.</w:t>
      </w:r>
    </w:p>
    <w:p w:rsidR="0039266E" w:rsidRDefault="00673FE7"/>
    <w:sectPr w:rsidR="00392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57"/>
    <w:rsid w:val="005C58C0"/>
    <w:rsid w:val="00673FE7"/>
    <w:rsid w:val="00BD7770"/>
    <w:rsid w:val="00E21AD7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E991"/>
  <w15:chartTrackingRefBased/>
  <w15:docId w15:val="{AACE5133-1BE5-47C6-BF0D-59C5EBB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5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Wilfong, Jessica</dc:creator>
  <cp:keywords/>
  <dc:description/>
  <cp:lastModifiedBy>Wilfong, Jessica</cp:lastModifiedBy>
  <cp:revision>2</cp:revision>
  <dcterms:created xsi:type="dcterms:W3CDTF">2020-05-20T16:01:00Z</dcterms:created>
  <dcterms:modified xsi:type="dcterms:W3CDTF">2020-05-20T20:29:00Z</dcterms:modified>
</cp:coreProperties>
</file>