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1904" w14:textId="77777777" w:rsidR="00873E20" w:rsidRPr="00BC6A3A" w:rsidRDefault="00873E20" w:rsidP="00873E20">
      <w:pPr>
        <w:pStyle w:val="Caption"/>
        <w:keepNext/>
        <w:rPr>
          <w:rFonts w:cstheme="minorHAnsi"/>
          <w:smallCaps w:val="0"/>
          <w:color w:val="auto"/>
        </w:rPr>
      </w:pPr>
      <w:r>
        <w:rPr>
          <w:rFonts w:cstheme="minorHAnsi"/>
          <w:smallCaps w:val="0"/>
          <w:color w:val="auto"/>
        </w:rPr>
        <w:t>Table S5. Baseline and o</w:t>
      </w:r>
      <w:r w:rsidRPr="00BC6A3A">
        <w:rPr>
          <w:rFonts w:cstheme="minorHAnsi"/>
          <w:smallCaps w:val="0"/>
          <w:color w:val="auto"/>
        </w:rPr>
        <w:t xml:space="preserve">ptimised </w:t>
      </w:r>
      <w:r>
        <w:rPr>
          <w:rFonts w:cstheme="minorHAnsi"/>
          <w:smallCaps w:val="0"/>
          <w:color w:val="auto"/>
        </w:rPr>
        <w:t xml:space="preserve">HIV </w:t>
      </w:r>
      <w:r w:rsidRPr="00BC6A3A">
        <w:rPr>
          <w:rFonts w:cstheme="minorHAnsi"/>
          <w:smallCaps w:val="0"/>
          <w:color w:val="auto"/>
        </w:rPr>
        <w:t xml:space="preserve">budget </w:t>
      </w:r>
      <w:r>
        <w:rPr>
          <w:rFonts w:cstheme="minorHAnsi"/>
          <w:smallCaps w:val="0"/>
          <w:color w:val="auto"/>
        </w:rPr>
        <w:t xml:space="preserve">allocations </w:t>
      </w:r>
      <w:r w:rsidRPr="00BC6A3A">
        <w:rPr>
          <w:rFonts w:cstheme="minorHAnsi"/>
          <w:smallCaps w:val="0"/>
          <w:color w:val="auto"/>
        </w:rPr>
        <w:t>and coverage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1100"/>
        <w:gridCol w:w="1100"/>
        <w:gridCol w:w="875"/>
        <w:gridCol w:w="811"/>
        <w:gridCol w:w="920"/>
        <w:gridCol w:w="875"/>
      </w:tblGrid>
      <w:tr w:rsidR="00873E20" w:rsidRPr="009D5022" w14:paraId="41E8407E" w14:textId="77777777" w:rsidTr="001D632B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2447257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  <w:lang w:val="en-CA"/>
              </w:rPr>
              <w:t>HIV p</w:t>
            </w: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rogram</w:t>
            </w:r>
            <w:r>
              <w:rPr>
                <w:rFonts w:cstheme="minorHAnsi"/>
                <w:b/>
                <w:bCs/>
                <w:sz w:val="20"/>
                <w:lang w:val="en-CA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6E33CD0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Baseline</w:t>
            </w:r>
          </w:p>
          <w:p w14:paraId="56A0BCCC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F77B1A7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Optimised</w:t>
            </w:r>
          </w:p>
          <w:p w14:paraId="5DE741D0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BD4A301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% change</w:t>
            </w:r>
          </w:p>
          <w:p w14:paraId="777E1A0D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in budget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BBA69DF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Baseline</w:t>
            </w:r>
          </w:p>
          <w:p w14:paraId="797C614E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coverage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3ADF09D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Optimised</w:t>
            </w:r>
          </w:p>
          <w:p w14:paraId="32F47381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coverage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6FFE5BE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% change</w:t>
            </w:r>
          </w:p>
          <w:p w14:paraId="021D879D" w14:textId="77777777" w:rsidR="00873E20" w:rsidRPr="000B24D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0B24D9">
              <w:rPr>
                <w:rFonts w:cstheme="minorHAnsi"/>
                <w:b/>
                <w:bCs/>
                <w:sz w:val="20"/>
                <w:lang w:val="en-CA"/>
              </w:rPr>
              <w:t>in coverage</w:t>
            </w:r>
          </w:p>
        </w:tc>
      </w:tr>
      <w:tr w:rsidR="00873E20" w:rsidRPr="009D5022" w14:paraId="1CE52EA6" w14:textId="77777777" w:rsidTr="001D632B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05FEECEF" w14:textId="77777777" w:rsidR="00873E20" w:rsidRPr="000A4C39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 xml:space="preserve">Antiretroviral </w:t>
            </w:r>
            <w:r>
              <w:rPr>
                <w:rFonts w:cs="Arial"/>
                <w:sz w:val="20"/>
              </w:rPr>
              <w:t>therapy</w:t>
            </w:r>
            <w:r w:rsidRPr="009E2F30">
              <w:rPr>
                <w:rFonts w:cs="Arial"/>
                <w:sz w:val="20"/>
              </w:rPr>
              <w:t xml:space="preserve"> </w:t>
            </w:r>
            <w:r w:rsidRPr="000A4C39">
              <w:rPr>
                <w:rFonts w:cs="Arial"/>
                <w:sz w:val="20"/>
              </w:rPr>
              <w:t>(ART)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4380F" w14:textId="77777777" w:rsidR="00873E20" w:rsidRPr="000A4C39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0A4C39">
              <w:rPr>
                <w:sz w:val="20"/>
              </w:rPr>
              <w:t>$39,521,381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769DF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$39,521,381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5625C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B2ECC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174,107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F3DF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174,107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948A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0%</w:t>
            </w:r>
          </w:p>
        </w:tc>
      </w:tr>
      <w:tr w:rsidR="00873E20" w:rsidRPr="009D5022" w14:paraId="7D29B546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F3B5313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HIV testing</w:t>
            </w:r>
            <w:r>
              <w:rPr>
                <w:rFonts w:cs="Arial"/>
                <w:sz w:val="20"/>
              </w:rPr>
              <w:t xml:space="preserve"> services (HTS)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EBF4B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$4,190,502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D6D5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$7,295,083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8C5A7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354BD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347,654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68B8F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536,410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4CFE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54%</w:t>
            </w:r>
          </w:p>
        </w:tc>
      </w:tr>
      <w:tr w:rsidR="00873E20" w:rsidRPr="009D5022" w14:paraId="4DFD879D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441C3A23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 xml:space="preserve">Prevention of mother-to-child </w:t>
            </w:r>
            <w:r>
              <w:rPr>
                <w:rFonts w:cs="Arial"/>
                <w:sz w:val="20"/>
              </w:rPr>
              <w:t xml:space="preserve">transmission </w:t>
            </w:r>
            <w:r w:rsidRPr="009D5022">
              <w:rPr>
                <w:rFonts w:cs="Arial"/>
                <w:sz w:val="20"/>
              </w:rPr>
              <w:t>(PMTCT)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F265D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$7,232,881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F6280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$7,232,881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2A27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0750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9,202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611F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9,202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BFFB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0%</w:t>
            </w:r>
          </w:p>
        </w:tc>
      </w:tr>
      <w:tr w:rsidR="00873E20" w:rsidRPr="009D5022" w14:paraId="29E728A1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248691B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Voluntary medical male circumcision (</w:t>
            </w:r>
            <w:r w:rsidRPr="009D5022">
              <w:rPr>
                <w:rFonts w:cs="Arial"/>
                <w:sz w:val="20"/>
              </w:rPr>
              <w:t>VMMC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4E6D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$6,374,449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851CC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$5,766,208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6BF79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C5FEC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17,884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8A7D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43,942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BCB69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145%</w:t>
            </w:r>
          </w:p>
        </w:tc>
      </w:tr>
      <w:tr w:rsidR="00873E20" w:rsidRPr="009D5022" w14:paraId="31046E98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240E65C8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Condom programs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3737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$2,893,393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14C7D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$3,914,852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009FC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BF9B0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427,981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6B96B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487,500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40799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14%</w:t>
            </w:r>
          </w:p>
        </w:tc>
      </w:tr>
      <w:tr w:rsidR="00873E20" w:rsidRPr="009D5022" w14:paraId="365AEB41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2139A5C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HIV prevention and testing p</w:t>
            </w:r>
            <w:r w:rsidRPr="009D5022">
              <w:rPr>
                <w:rFonts w:cs="Arial"/>
                <w:sz w:val="20"/>
              </w:rPr>
              <w:t>rograms targeting female sex workers (FSW)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5666F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$573,413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76DD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$719,794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DAFD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EAF2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3,199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351C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3,399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4FF8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6%</w:t>
            </w:r>
          </w:p>
        </w:tc>
      </w:tr>
      <w:tr w:rsidR="00873E20" w:rsidRPr="009D5022" w14:paraId="0EE33A98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58FFEBF6" w14:textId="77777777" w:rsidR="00873E20" w:rsidRDefault="00873E20" w:rsidP="001D632B">
            <w:pPr>
              <w:spacing w:after="0" w:line="240" w:lineRule="auto"/>
              <w:ind w:left="57"/>
              <w:rPr>
                <w:rFonts w:cs="Arial"/>
                <w:sz w:val="20"/>
              </w:rPr>
            </w:pPr>
            <w:r w:rsidRPr="009D5022">
              <w:rPr>
                <w:rFonts w:cs="Arial"/>
                <w:sz w:val="20"/>
              </w:rPr>
              <w:t>Antiretroviral-based prophylaxis</w:t>
            </w:r>
            <w:r>
              <w:rPr>
                <w:rFonts w:cs="Arial"/>
                <w:sz w:val="20"/>
              </w:rPr>
              <w:t xml:space="preserve"> </w:t>
            </w:r>
          </w:p>
          <w:p w14:paraId="6D0C23EA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 xml:space="preserve">(PEP, </w:t>
            </w:r>
            <w:proofErr w:type="spellStart"/>
            <w:r>
              <w:rPr>
                <w:rFonts w:cs="Arial"/>
                <w:sz w:val="20"/>
              </w:rPr>
              <w:t>PrEP</w:t>
            </w:r>
            <w:proofErr w:type="spellEnd"/>
            <w:r>
              <w:rPr>
                <w:rFonts w:cs="Arial"/>
                <w:sz w:val="20"/>
              </w:rPr>
              <w:t>)</w:t>
            </w:r>
            <w:r w:rsidRPr="009D502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AC943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$78,840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7CF8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$533,571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2479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577%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22163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7942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22,880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B770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5,675%</w:t>
            </w:r>
          </w:p>
        </w:tc>
      </w:tr>
      <w:tr w:rsidR="00873E20" w:rsidRPr="009D5022" w14:paraId="0072F017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3E4B8FFE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Text messaging adherence</w:t>
            </w:r>
            <w:r>
              <w:rPr>
                <w:rFonts w:cs="Arial"/>
                <w:sz w:val="20"/>
              </w:rPr>
              <w:t xml:space="preserve"> support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FD4A5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DA1D2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$140,154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5D412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Increased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5AE3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8B78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107,392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5066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Increased</w:t>
            </w:r>
          </w:p>
        </w:tc>
      </w:tr>
      <w:tr w:rsidR="00873E20" w:rsidRPr="009D5022" w14:paraId="1BFB803A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547159F4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Efforts to keep girls in school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4B6F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$61,083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AFD90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$118,275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E581F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7A329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2,002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B262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3,873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359D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93%</w:t>
            </w:r>
          </w:p>
        </w:tc>
      </w:tr>
      <w:tr w:rsidR="00873E20" w:rsidRPr="009D5022" w14:paraId="27C577AC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1A72FE19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Text messaging</w:t>
            </w:r>
            <w:r w:rsidRPr="009D5022">
              <w:rPr>
                <w:rFonts w:cs="Arial"/>
                <w:sz w:val="20"/>
              </w:rPr>
              <w:t xml:space="preserve"> appointment reminder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AD46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$6,160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4678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$92,525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3E77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1,402%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419D3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19,450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F79B7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146,790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D0E9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655%</w:t>
            </w:r>
          </w:p>
        </w:tc>
      </w:tr>
      <w:tr w:rsidR="00873E20" w:rsidRPr="009D5022" w14:paraId="4350D2A2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5D8CB987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Enhanced adherence counselling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66B2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$2,247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97B5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$62,590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E10ED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2,685%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C16C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1,170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2E9D2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31,976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0FE1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2,632%</w:t>
            </w:r>
          </w:p>
        </w:tc>
      </w:tr>
      <w:tr w:rsidR="00873E20" w:rsidRPr="009D5022" w14:paraId="7886E000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0EAD6A9E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Linkage to care - appointment support (escorted/met for appointment/transport)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FA1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$2,090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A94F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$53,628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148DB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2,466%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4C8D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973F5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12,825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2836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2,324%</w:t>
            </w:r>
          </w:p>
        </w:tc>
      </w:tr>
      <w:tr w:rsidR="00873E20" w:rsidRPr="009D5022" w14:paraId="2C2AA704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694C4FF1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 xml:space="preserve">Social and </w:t>
            </w:r>
            <w:proofErr w:type="spellStart"/>
            <w:r w:rsidRPr="009D5022">
              <w:rPr>
                <w:rFonts w:cs="Arial"/>
                <w:sz w:val="20"/>
              </w:rPr>
              <w:t>behavior</w:t>
            </w:r>
            <w:proofErr w:type="spellEnd"/>
            <w:r w:rsidRPr="009D5022">
              <w:rPr>
                <w:rFonts w:cs="Arial"/>
                <w:sz w:val="20"/>
              </w:rPr>
              <w:t xml:space="preserve"> change communication (SBCC)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3C704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$4,226,272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69E99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F2BA0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95D03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285,280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2054C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1F9D7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</w:tr>
      <w:tr w:rsidR="00873E20" w:rsidRPr="009D5022" w14:paraId="3A939045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7B560C3B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HIV prevention and testing p</w:t>
            </w:r>
            <w:r w:rsidRPr="009D5022">
              <w:rPr>
                <w:rFonts w:cs="Arial"/>
                <w:sz w:val="20"/>
              </w:rPr>
              <w:t>rograms targeting men who have sex with men (MSM)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03416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$155,140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B053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2CA1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EE0E5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821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673A7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FABED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</w:tr>
      <w:tr w:rsidR="00873E20" w:rsidRPr="009D5022" w14:paraId="43466F5A" w14:textId="77777777" w:rsidTr="001D63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4A12737E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 w:rsidRPr="009D5022">
              <w:rPr>
                <w:rFonts w:cs="Arial"/>
                <w:sz w:val="20"/>
              </w:rPr>
              <w:t>Linkage to care - telephone 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58D1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$1,140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3009A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AEBD7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64D0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6E38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3C34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</w:tr>
      <w:tr w:rsidR="00873E20" w:rsidRPr="009D5022" w14:paraId="39D867CD" w14:textId="77777777" w:rsidTr="001D632B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hideMark/>
          </w:tcPr>
          <w:p w14:paraId="002AA844" w14:textId="77777777" w:rsidR="00873E20" w:rsidRPr="009D5022" w:rsidRDefault="00873E20" w:rsidP="001D632B">
            <w:pPr>
              <w:spacing w:after="0" w:line="240" w:lineRule="auto"/>
              <w:ind w:left="57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>Pre-ART t</w:t>
            </w:r>
            <w:r w:rsidRPr="009D5022">
              <w:rPr>
                <w:rFonts w:cs="Arial"/>
                <w:sz w:val="20"/>
              </w:rPr>
              <w:t>racing missed appointments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5E0A3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$132,170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7C64D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F4E38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87071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43,453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E7E6F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54AEE" w14:textId="77777777" w:rsidR="00873E20" w:rsidRPr="009D5022" w:rsidRDefault="00873E20" w:rsidP="001D632B">
            <w:pPr>
              <w:spacing w:after="0" w:line="240" w:lineRule="auto"/>
              <w:ind w:left="57"/>
              <w:jc w:val="center"/>
              <w:rPr>
                <w:rFonts w:cstheme="minorHAnsi"/>
                <w:sz w:val="20"/>
              </w:rPr>
            </w:pPr>
            <w:r w:rsidRPr="009D5022">
              <w:rPr>
                <w:sz w:val="20"/>
              </w:rPr>
              <w:t>-100%</w:t>
            </w:r>
          </w:p>
        </w:tc>
      </w:tr>
    </w:tbl>
    <w:p w14:paraId="3E12E70F" w14:textId="77777777" w:rsidR="00873E20" w:rsidRDefault="00873E20" w:rsidP="00873E20">
      <w:pPr>
        <w:spacing w:after="0" w:line="240" w:lineRule="auto"/>
      </w:pPr>
      <w:r w:rsidRPr="008E4995">
        <w:t>Source:</w:t>
      </w:r>
      <w:r w:rsidRPr="003A3205">
        <w:t xml:space="preserve"> </w:t>
      </w:r>
      <w:r>
        <w:t>Optima HIV model, 2018</w:t>
      </w:r>
    </w:p>
    <w:p w14:paraId="0E23A0E6" w14:textId="77777777" w:rsidR="00726955" w:rsidRDefault="00726955"/>
    <w:sectPr w:rsidR="0072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44AD"/>
    <w:rsid w:val="00726955"/>
    <w:rsid w:val="00873E20"/>
    <w:rsid w:val="00E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28E0D-E612-4970-986F-5FB0C7B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20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73E20"/>
    <w:pPr>
      <w:spacing w:line="240" w:lineRule="auto"/>
      <w:jc w:val="both"/>
    </w:pPr>
    <w:rPr>
      <w:rFonts w:eastAsiaTheme="minorEastAsia"/>
      <w:b/>
      <w:bCs/>
      <w:smallCap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2020-07-10T08:31:00Z</dcterms:created>
  <dcterms:modified xsi:type="dcterms:W3CDTF">2020-07-10T08:31:00Z</dcterms:modified>
</cp:coreProperties>
</file>