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C4C" w:rsidRPr="001B1F8C" w:rsidRDefault="00AD5C4C" w:rsidP="00AD5C4C">
      <w:pPr>
        <w:pBdr>
          <w:bottom w:val="single" w:sz="4" w:space="1" w:color="auto"/>
        </w:pBdr>
        <w:spacing w:line="240" w:lineRule="auto"/>
        <w:rPr>
          <w:b/>
          <w:bCs/>
          <w:sz w:val="28"/>
          <w:szCs w:val="28"/>
          <w:lang w:val="en-US"/>
        </w:rPr>
      </w:pPr>
      <w:bookmarkStart w:id="0" w:name="_Hlk28561982"/>
      <w:bookmarkEnd w:id="0"/>
      <w:r w:rsidRPr="001B1F8C">
        <w:rPr>
          <w:sz w:val="28"/>
          <w:szCs w:val="28"/>
          <w:lang w:val="en-US"/>
        </w:rPr>
        <w:t>Title</w:t>
      </w:r>
      <w:r w:rsidRPr="001B1F8C">
        <w:rPr>
          <w:b/>
          <w:lang w:val="en-US"/>
        </w:rPr>
        <w:t xml:space="preserve">: </w:t>
      </w:r>
      <w:r w:rsidRPr="00382EA8">
        <w:rPr>
          <w:rFonts w:cs="Arial"/>
          <w:b/>
          <w:bCs/>
          <w:sz w:val="24"/>
          <w:szCs w:val="24"/>
          <w:lang w:val="en-US"/>
        </w:rPr>
        <w:t>α</w:t>
      </w:r>
      <w:r w:rsidRPr="00382EA8">
        <w:rPr>
          <w:b/>
          <w:bCs/>
          <w:sz w:val="24"/>
          <w:szCs w:val="24"/>
          <w:lang w:val="en-US"/>
        </w:rPr>
        <w:t>IIb</w:t>
      </w:r>
      <w:r w:rsidRPr="00382EA8">
        <w:rPr>
          <w:rFonts w:cs="Arial"/>
          <w:b/>
          <w:bCs/>
          <w:sz w:val="24"/>
          <w:szCs w:val="24"/>
          <w:lang w:val="en-US"/>
        </w:rPr>
        <w:t>β</w:t>
      </w:r>
      <w:r w:rsidRPr="00382EA8">
        <w:rPr>
          <w:b/>
          <w:bCs/>
          <w:sz w:val="24"/>
          <w:szCs w:val="24"/>
          <w:lang w:val="en-US"/>
        </w:rPr>
        <w:t>3 variants in ten families with autosomal dominant macrothrombocytopenia: expanding the mutational and clinical spectrum</w:t>
      </w:r>
    </w:p>
    <w:p w:rsidR="00AD5C4C" w:rsidRDefault="00AD5C4C" w:rsidP="00AD5C4C">
      <w:pPr>
        <w:pBdr>
          <w:bottom w:val="single" w:sz="4" w:space="1" w:color="auto"/>
        </w:pBdr>
        <w:spacing w:after="0"/>
        <w:rPr>
          <w:b/>
          <w:lang w:val="en-US"/>
        </w:rPr>
      </w:pPr>
      <w:r w:rsidRPr="001B1F8C">
        <w:rPr>
          <w:lang w:val="en-US"/>
        </w:rPr>
        <w:t xml:space="preserve">Short title: </w:t>
      </w:r>
      <w:r w:rsidRPr="001B1F8C">
        <w:rPr>
          <w:b/>
          <w:lang w:val="en-US"/>
        </w:rPr>
        <w:t>Familial macrothrombocytopenia with</w:t>
      </w:r>
      <w:r w:rsidRPr="001B1F8C">
        <w:rPr>
          <w:b/>
          <w:bCs/>
          <w:lang w:val="en-US"/>
        </w:rPr>
        <w:t xml:space="preserve"> </w:t>
      </w:r>
      <w:r w:rsidRPr="00795F65">
        <w:rPr>
          <w:rFonts w:cs="Arial"/>
          <w:b/>
          <w:bCs/>
          <w:lang w:val="en-US"/>
        </w:rPr>
        <w:t>αIIbβ3</w:t>
      </w:r>
      <w:r w:rsidRPr="00795F65">
        <w:rPr>
          <w:rFonts w:cs="Arial"/>
          <w:b/>
          <w:lang w:val="en-US"/>
        </w:rPr>
        <w:t xml:space="preserve"> </w:t>
      </w:r>
      <w:r w:rsidRPr="001B1F8C">
        <w:rPr>
          <w:b/>
          <w:lang w:val="en-US"/>
        </w:rPr>
        <w:t>integrin deficiency</w:t>
      </w:r>
    </w:p>
    <w:p w:rsidR="00AD5C4C" w:rsidRPr="00733182" w:rsidRDefault="00AD5C4C" w:rsidP="00AD5C4C">
      <w:pPr>
        <w:pBdr>
          <w:bottom w:val="single" w:sz="4" w:space="1" w:color="auto"/>
        </w:pBdr>
        <w:spacing w:line="240" w:lineRule="auto"/>
        <w:rPr>
          <w:rFonts w:ascii="Times New Roman" w:eastAsia="Times New Roman" w:hAnsi="Times New Roman" w:cs="Times New Roman"/>
          <w:szCs w:val="24"/>
        </w:rPr>
      </w:pPr>
      <w:r w:rsidRPr="00946EBA">
        <w:rPr>
          <w:b/>
        </w:rPr>
        <w:t xml:space="preserve">AUTHORS: </w:t>
      </w:r>
      <w:r w:rsidRPr="00946EBA">
        <w:rPr>
          <w:bCs/>
        </w:rPr>
        <w:t xml:space="preserve">Sara Morais, Jorge Oliveira, Catarina </w:t>
      </w:r>
      <w:proofErr w:type="spellStart"/>
      <w:r w:rsidRPr="00946EBA">
        <w:rPr>
          <w:bCs/>
        </w:rPr>
        <w:t>Lau</w:t>
      </w:r>
      <w:proofErr w:type="spellEnd"/>
      <w:r w:rsidRPr="00946EBA">
        <w:rPr>
          <w:bCs/>
        </w:rPr>
        <w:t>, Mónica Pereira, Marta Gonçalves, Catarina</w:t>
      </w:r>
      <w:r w:rsidRPr="00733182">
        <w:rPr>
          <w:bCs/>
        </w:rPr>
        <w:t xml:space="preserve"> Monteiro, Ana Rita Gonçalves, Rui Matos, Marco Sampaio, Eugénia Cruz, </w:t>
      </w:r>
      <w:r>
        <w:rPr>
          <w:bCs/>
        </w:rPr>
        <w:t xml:space="preserve">Inês Freitas, </w:t>
      </w:r>
      <w:r w:rsidRPr="00733182">
        <w:rPr>
          <w:bCs/>
        </w:rPr>
        <w:t>Rosário Santos, Margarida Lima</w:t>
      </w:r>
      <w:r w:rsidRPr="00733182">
        <w:rPr>
          <w:rFonts w:ascii="Times New Roman" w:eastAsia="Times New Roman" w:hAnsi="Times New Roman" w:cs="Times New Roman"/>
          <w:bCs/>
          <w:szCs w:val="24"/>
        </w:rPr>
        <w:tab/>
      </w:r>
    </w:p>
    <w:p w:rsidR="00AD5C4C" w:rsidRPr="00857C13" w:rsidRDefault="00AD5C4C" w:rsidP="00857C13">
      <w:pPr>
        <w:rPr>
          <w:b/>
          <w:bCs/>
          <w:lang w:val="en-US"/>
        </w:rPr>
      </w:pPr>
      <w:r w:rsidRPr="00857C13">
        <w:rPr>
          <w:b/>
          <w:bCs/>
          <w:lang w:val="en-GB"/>
        </w:rPr>
        <w:t>S</w:t>
      </w:r>
      <w:r w:rsidR="00290950">
        <w:rPr>
          <w:b/>
          <w:bCs/>
          <w:lang w:val="en-GB"/>
        </w:rPr>
        <w:t xml:space="preserve">UPPLENTARY FILE </w:t>
      </w:r>
      <w:r w:rsidRPr="00857C13">
        <w:rPr>
          <w:b/>
          <w:bCs/>
          <w:lang w:val="en-GB"/>
        </w:rPr>
        <w:t xml:space="preserve">1 </w:t>
      </w:r>
      <w:r w:rsidR="00290950">
        <w:rPr>
          <w:b/>
          <w:bCs/>
          <w:lang w:val="en-GB"/>
        </w:rPr>
        <w:t xml:space="preserve">(S1 </w:t>
      </w:r>
      <w:r w:rsidRPr="00857C13">
        <w:rPr>
          <w:b/>
          <w:bCs/>
          <w:lang w:val="en-GB"/>
        </w:rPr>
        <w:t>FILE</w:t>
      </w:r>
      <w:r w:rsidR="00290950">
        <w:rPr>
          <w:b/>
          <w:bCs/>
          <w:lang w:val="en-GB"/>
        </w:rPr>
        <w:t>)</w:t>
      </w:r>
      <w:r w:rsidR="00426FC1">
        <w:rPr>
          <w:b/>
          <w:bCs/>
          <w:lang w:val="en-GB"/>
        </w:rPr>
        <w:t xml:space="preserve"> HOSTED IN ZENODO</w:t>
      </w:r>
      <w:r w:rsidR="005D7D8B">
        <w:rPr>
          <w:b/>
          <w:bCs/>
          <w:lang w:val="en-GB"/>
        </w:rPr>
        <w:t>:</w:t>
      </w:r>
      <w:bookmarkStart w:id="1" w:name="_GoBack"/>
      <w:bookmarkEnd w:id="1"/>
      <w:r w:rsidR="005D7D8B">
        <w:rPr>
          <w:b/>
          <w:bCs/>
          <w:lang w:val="en-GB"/>
        </w:rPr>
        <w:t xml:space="preserve"> </w:t>
      </w:r>
      <w:r w:rsidR="005D7D8B">
        <w:rPr>
          <w:color w:val="000000" w:themeColor="text1"/>
          <w:highlight w:val="lightGray"/>
          <w:lang w:val="en-US"/>
        </w:rPr>
        <w:t>http://doi.org/10.5281/zenodo.3660449</w:t>
      </w:r>
      <w:r w:rsidRPr="00857C13">
        <w:rPr>
          <w:b/>
          <w:bCs/>
          <w:lang w:val="en-US"/>
        </w:rPr>
        <w:br w:type="page"/>
      </w:r>
    </w:p>
    <w:p w:rsidR="00DB1C92" w:rsidRDefault="002E4692" w:rsidP="00247B90">
      <w:pPr>
        <w:pStyle w:val="Ttulo2"/>
        <w:rPr>
          <w:lang w:val="en-GB"/>
        </w:rPr>
      </w:pPr>
      <w:r>
        <w:rPr>
          <w:lang w:val="en-GB"/>
        </w:rPr>
        <w:lastRenderedPageBreak/>
        <w:t xml:space="preserve">S1 FILE </w:t>
      </w:r>
      <w:r>
        <w:rPr>
          <w:rFonts w:cstheme="majorHAnsi"/>
          <w:lang w:val="en-GB"/>
        </w:rPr>
        <w:t>|</w:t>
      </w:r>
      <w:r>
        <w:rPr>
          <w:lang w:val="en-GB"/>
        </w:rPr>
        <w:t xml:space="preserve"> </w:t>
      </w:r>
      <w:r w:rsidR="00014B26">
        <w:rPr>
          <w:lang w:val="en-GB"/>
        </w:rPr>
        <w:t xml:space="preserve">METHODS: </w:t>
      </w:r>
      <w:r w:rsidR="00DB1C92">
        <w:rPr>
          <w:lang w:val="en-GB"/>
        </w:rPr>
        <w:t>FLOW CYTOMETRY PROTOCOLS FOR THE STUDY OF PATIENTS SUSPECTED OF HAVING G</w:t>
      </w:r>
      <w:r w:rsidR="00F84CD8">
        <w:rPr>
          <w:lang w:val="en-GB"/>
        </w:rPr>
        <w:t>TLS</w:t>
      </w:r>
      <w:r w:rsidR="00DB1C92">
        <w:rPr>
          <w:lang w:val="en-GB"/>
        </w:rPr>
        <w:t xml:space="preserve"> / </w:t>
      </w:r>
      <w:bookmarkStart w:id="2" w:name="_Hlk28538677"/>
      <w:r w:rsidR="00DB1C92" w:rsidRPr="00203741">
        <w:rPr>
          <w:rFonts w:cs="Arial"/>
          <w:iCs/>
          <w:lang w:val="en-US"/>
        </w:rPr>
        <w:t>ITGA2B/ITGB3</w:t>
      </w:r>
      <w:r w:rsidR="00DB1C92" w:rsidRPr="00203741">
        <w:rPr>
          <w:rFonts w:cs="Arial"/>
          <w:lang w:val="en-US"/>
        </w:rPr>
        <w:t>-RELATED THROMBOCYTOPENIA</w:t>
      </w:r>
      <w:bookmarkEnd w:id="2"/>
    </w:p>
    <w:p w:rsidR="00DB1C92" w:rsidRPr="00BE4109" w:rsidRDefault="00F84CD8" w:rsidP="00247B90">
      <w:pPr>
        <w:pStyle w:val="Ttulo3"/>
        <w:rPr>
          <w:rFonts w:eastAsia="Times New Roman"/>
          <w:lang w:val="en-US"/>
        </w:rPr>
      </w:pPr>
      <w:r>
        <w:rPr>
          <w:lang w:val="en-US"/>
        </w:rPr>
        <w:t>Background</w:t>
      </w:r>
    </w:p>
    <w:p w:rsidR="00F84CD8" w:rsidRPr="00702ACD" w:rsidRDefault="00DB1C92" w:rsidP="00DB1C92">
      <w:pPr>
        <w:rPr>
          <w:szCs w:val="24"/>
          <w:shd w:val="clear" w:color="auto" w:fill="FFFFFF"/>
          <w:lang w:val="en-US"/>
        </w:rPr>
      </w:pPr>
      <w:r w:rsidRPr="00702ACD">
        <w:rPr>
          <w:rFonts w:cstheme="minorHAnsi"/>
          <w:szCs w:val="24"/>
          <w:shd w:val="clear" w:color="auto" w:fill="FFFFFF"/>
          <w:lang w:val="en-US"/>
        </w:rPr>
        <w:t xml:space="preserve">Pathogenic variants in </w:t>
      </w:r>
      <w:r w:rsidRPr="00702ACD">
        <w:rPr>
          <w:rFonts w:cstheme="minorHAnsi"/>
          <w:i/>
          <w:szCs w:val="24"/>
          <w:lang w:val="en-US"/>
        </w:rPr>
        <w:t>ITGA2B</w:t>
      </w:r>
      <w:r w:rsidRPr="00702ACD">
        <w:rPr>
          <w:rFonts w:cstheme="minorHAnsi"/>
          <w:szCs w:val="24"/>
          <w:lang w:val="en-US"/>
        </w:rPr>
        <w:t xml:space="preserve"> and </w:t>
      </w:r>
      <w:r w:rsidRPr="00702ACD">
        <w:rPr>
          <w:rFonts w:cstheme="minorHAnsi"/>
          <w:i/>
          <w:szCs w:val="24"/>
          <w:lang w:val="en-US"/>
        </w:rPr>
        <w:t>ITGB3</w:t>
      </w:r>
      <w:r w:rsidRPr="00702ACD">
        <w:rPr>
          <w:rFonts w:cstheme="minorHAnsi"/>
          <w:szCs w:val="24"/>
          <w:shd w:val="clear" w:color="auto" w:fill="FFFFFF"/>
          <w:lang w:val="en-US"/>
        </w:rPr>
        <w:t xml:space="preserve">, the genes coding for the </w:t>
      </w:r>
      <w:r w:rsidRPr="00702ACD">
        <w:rPr>
          <w:rFonts w:cs="Arial"/>
          <w:lang w:val="en-US"/>
        </w:rPr>
        <w:t>α</w:t>
      </w:r>
      <w:r w:rsidRPr="00702ACD">
        <w:rPr>
          <w:lang w:val="en-US"/>
        </w:rPr>
        <w:t xml:space="preserve">IIb and </w:t>
      </w:r>
      <w:r w:rsidRPr="00702ACD">
        <w:rPr>
          <w:rFonts w:cs="Arial"/>
          <w:lang w:val="en-US"/>
        </w:rPr>
        <w:t>β</w:t>
      </w:r>
      <w:r w:rsidRPr="00702ACD">
        <w:rPr>
          <w:lang w:val="en-US"/>
        </w:rPr>
        <w:t>3</w:t>
      </w:r>
      <w:r w:rsidR="00FC629A" w:rsidRPr="00702ACD">
        <w:rPr>
          <w:lang w:val="en-US"/>
        </w:rPr>
        <w:t xml:space="preserve"> – platelet </w:t>
      </w:r>
      <w:r w:rsidR="00096AE9" w:rsidRPr="00702ACD">
        <w:rPr>
          <w:lang w:val="en-US"/>
        </w:rPr>
        <w:t xml:space="preserve">(PLT) </w:t>
      </w:r>
      <w:r w:rsidR="00FC629A" w:rsidRPr="00702ACD">
        <w:rPr>
          <w:lang w:val="en-US"/>
        </w:rPr>
        <w:t xml:space="preserve">glycoproteins (GP) </w:t>
      </w:r>
      <w:r w:rsidR="00FC629A" w:rsidRPr="00702ACD">
        <w:rPr>
          <w:szCs w:val="24"/>
          <w:shd w:val="clear" w:color="auto" w:fill="FFFFFF"/>
          <w:lang w:val="en-US"/>
        </w:rPr>
        <w:t>IIb and IIIa, respectively</w:t>
      </w:r>
      <w:r w:rsidRPr="00702ACD">
        <w:rPr>
          <w:rFonts w:cstheme="minorHAnsi"/>
          <w:szCs w:val="24"/>
          <w:lang w:val="en-US"/>
        </w:rPr>
        <w:t xml:space="preserve">, give rise to </w:t>
      </w:r>
      <w:r w:rsidRPr="00702ACD">
        <w:rPr>
          <w:rFonts w:cstheme="minorHAnsi"/>
          <w:szCs w:val="24"/>
          <w:shd w:val="clear" w:color="auto" w:fill="FFFFFF"/>
          <w:lang w:val="en-US"/>
        </w:rPr>
        <w:t xml:space="preserve">Glanzmann´s Thrombasthenia (GT), a rare autosomal recessive bleeding disorder due to quantitative or qualitative defects of integrin </w:t>
      </w:r>
      <w:r w:rsidRPr="00702ACD">
        <w:rPr>
          <w:rFonts w:cs="Arial"/>
          <w:lang w:val="en-US"/>
        </w:rPr>
        <w:t>α</w:t>
      </w:r>
      <w:r w:rsidRPr="00702ACD">
        <w:rPr>
          <w:lang w:val="en-US"/>
        </w:rPr>
        <w:t>IIb</w:t>
      </w:r>
      <w:r w:rsidRPr="00702ACD">
        <w:rPr>
          <w:rFonts w:cs="Arial"/>
          <w:lang w:val="en-US"/>
        </w:rPr>
        <w:t>β</w:t>
      </w:r>
      <w:r w:rsidRPr="00702ACD">
        <w:rPr>
          <w:lang w:val="en-US"/>
        </w:rPr>
        <w:t>3</w:t>
      </w:r>
      <w:r w:rsidR="00096AE9" w:rsidRPr="00702ACD">
        <w:rPr>
          <w:lang w:val="en-US"/>
        </w:rPr>
        <w:t xml:space="preserve"> (GPIIb/IIIa complex) </w:t>
      </w:r>
      <w:r w:rsidRPr="00702ACD">
        <w:rPr>
          <w:rFonts w:cstheme="minorHAnsi"/>
          <w:szCs w:val="24"/>
          <w:shd w:val="clear" w:color="auto" w:fill="FFFFFF"/>
          <w:lang w:val="en-US"/>
        </w:rPr>
        <w:t>characterized by normal PLT</w:t>
      </w:r>
      <w:r w:rsidR="00096AE9" w:rsidRPr="00702ACD">
        <w:rPr>
          <w:rFonts w:cstheme="minorHAnsi"/>
          <w:szCs w:val="24"/>
          <w:shd w:val="clear" w:color="auto" w:fill="FFFFFF"/>
          <w:lang w:val="en-US"/>
        </w:rPr>
        <w:t xml:space="preserve"> </w:t>
      </w:r>
      <w:r w:rsidRPr="00702ACD">
        <w:rPr>
          <w:rFonts w:cstheme="minorHAnsi"/>
          <w:szCs w:val="24"/>
          <w:shd w:val="clear" w:color="auto" w:fill="FFFFFF"/>
          <w:lang w:val="en-US"/>
        </w:rPr>
        <w:t>counts and volume, and absent PLT aggregation</w:t>
      </w:r>
      <w:r w:rsidR="0022482D" w:rsidRPr="00702ACD">
        <w:rPr>
          <w:rFonts w:cstheme="minorHAnsi"/>
          <w:szCs w:val="24"/>
          <w:shd w:val="clear" w:color="auto" w:fill="FFFFFF"/>
          <w:lang w:val="en-US"/>
        </w:rPr>
        <w:t xml:space="preserve"> </w:t>
      </w:r>
      <w:r w:rsidR="0022482D" w:rsidRPr="00702ACD">
        <w:rPr>
          <w:lang w:val="en-US"/>
        </w:rPr>
        <w:t>(</w:t>
      </w:r>
      <w:proofErr w:type="spellStart"/>
      <w:r w:rsidR="00645180">
        <w:fldChar w:fldCharType="begin"/>
      </w:r>
      <w:r w:rsidR="00645180" w:rsidRPr="00A50434">
        <w:rPr>
          <w:lang w:val="en-US"/>
        </w:rPr>
        <w:instrText xml:space="preserve"> HYPERLINK "https://www.ncbi.nlm.nih.gov/pubmed/?term=23929305" </w:instrText>
      </w:r>
      <w:r w:rsidR="00645180">
        <w:fldChar w:fldCharType="separate"/>
      </w:r>
      <w:r w:rsidR="0022482D" w:rsidRPr="00702ACD">
        <w:rPr>
          <w:rStyle w:val="Hiperligao"/>
          <w:lang w:val="en-US"/>
        </w:rPr>
        <w:t>Nurden</w:t>
      </w:r>
      <w:proofErr w:type="spellEnd"/>
      <w:r w:rsidR="0022482D" w:rsidRPr="00702ACD">
        <w:rPr>
          <w:rStyle w:val="Hiperligao"/>
          <w:lang w:val="en-US"/>
        </w:rPr>
        <w:t xml:space="preserve"> AT, 2013</w:t>
      </w:r>
      <w:r w:rsidR="00645180">
        <w:rPr>
          <w:rStyle w:val="Hiperligao"/>
          <w:lang w:val="en-US"/>
        </w:rPr>
        <w:fldChar w:fldCharType="end"/>
      </w:r>
      <w:r w:rsidR="0022482D" w:rsidRPr="00702ACD">
        <w:rPr>
          <w:lang w:val="en-US"/>
        </w:rPr>
        <w:t>) (</w:t>
      </w:r>
      <w:proofErr w:type="spellStart"/>
      <w:r w:rsidR="00645180">
        <w:fldChar w:fldCharType="begin"/>
      </w:r>
      <w:r w:rsidR="00645180" w:rsidRPr="00A50434">
        <w:rPr>
          <w:lang w:val="en-US"/>
        </w:rPr>
        <w:instrText xml:space="preserve"> HYPERLINK "https://www.ncbi.nlm.nih.gov/pubmed/?term=29125375" </w:instrText>
      </w:r>
      <w:r w:rsidR="00645180">
        <w:fldChar w:fldCharType="separate"/>
      </w:r>
      <w:r w:rsidR="0022482D" w:rsidRPr="00702ACD">
        <w:rPr>
          <w:rStyle w:val="Hiperligao"/>
          <w:lang w:val="en-US"/>
        </w:rPr>
        <w:t>Nurden</w:t>
      </w:r>
      <w:proofErr w:type="spellEnd"/>
      <w:r w:rsidR="0022482D" w:rsidRPr="00702ACD">
        <w:rPr>
          <w:rStyle w:val="Hiperligao"/>
          <w:lang w:val="en-US"/>
        </w:rPr>
        <w:t xml:space="preserve"> AT, 2018</w:t>
      </w:r>
      <w:r w:rsidR="00645180">
        <w:rPr>
          <w:rStyle w:val="Hiperligao"/>
          <w:lang w:val="en-US"/>
        </w:rPr>
        <w:fldChar w:fldCharType="end"/>
      </w:r>
      <w:r w:rsidR="0022482D" w:rsidRPr="00702ACD">
        <w:rPr>
          <w:lang w:val="en-US"/>
        </w:rPr>
        <w:t>)</w:t>
      </w:r>
      <w:r w:rsidRPr="00702ACD">
        <w:rPr>
          <w:rFonts w:cstheme="minorHAnsi"/>
          <w:szCs w:val="24"/>
          <w:shd w:val="clear" w:color="auto" w:fill="FFFFFF"/>
          <w:lang w:val="en-US"/>
        </w:rPr>
        <w:t xml:space="preserve">. </w:t>
      </w:r>
      <w:r w:rsidRPr="00702ACD">
        <w:rPr>
          <w:szCs w:val="24"/>
          <w:shd w:val="clear" w:color="auto" w:fill="FFFFFF"/>
          <w:lang w:val="en-US"/>
        </w:rPr>
        <w:t>A limited number of patients, however, have been reported to have autosomal dominant variants of GT associated with macrothrombocytopenia, PLT anisocytosis, PLT function defects and mild to moderate hemorrhage</w:t>
      </w:r>
      <w:r w:rsidR="00363388" w:rsidRPr="00702ACD">
        <w:rPr>
          <w:szCs w:val="24"/>
          <w:shd w:val="clear" w:color="auto" w:fill="FFFFFF"/>
          <w:lang w:val="en-US"/>
        </w:rPr>
        <w:t xml:space="preserve">, in association with pathogenic variants in the </w:t>
      </w:r>
      <w:r w:rsidR="00363388" w:rsidRPr="00702ACD">
        <w:rPr>
          <w:i/>
          <w:color w:val="000000" w:themeColor="text1"/>
          <w:lang w:val="en-US"/>
        </w:rPr>
        <w:t>ITGA2B</w:t>
      </w:r>
      <w:r w:rsidR="00363388" w:rsidRPr="00702ACD">
        <w:rPr>
          <w:iCs/>
          <w:color w:val="000000" w:themeColor="text1"/>
          <w:lang w:val="en-US"/>
        </w:rPr>
        <w:t xml:space="preserve"> or </w:t>
      </w:r>
      <w:r w:rsidR="00363388" w:rsidRPr="00702ACD">
        <w:rPr>
          <w:i/>
          <w:color w:val="000000" w:themeColor="text1"/>
          <w:lang w:val="en-US"/>
        </w:rPr>
        <w:t>ITGB3</w:t>
      </w:r>
      <w:r w:rsidR="00363388" w:rsidRPr="00702ACD">
        <w:rPr>
          <w:szCs w:val="24"/>
          <w:shd w:val="clear" w:color="auto" w:fill="FFFFFF"/>
          <w:lang w:val="en-US"/>
        </w:rPr>
        <w:t xml:space="preserve"> genes.</w:t>
      </w:r>
      <w:r w:rsidRPr="00702ACD">
        <w:rPr>
          <w:szCs w:val="24"/>
          <w:shd w:val="clear" w:color="auto" w:fill="FFFFFF"/>
          <w:lang w:val="en-US"/>
        </w:rPr>
        <w:t xml:space="preserve"> These cases have deserved the designation of </w:t>
      </w:r>
      <w:r w:rsidRPr="00702ACD">
        <w:rPr>
          <w:lang w:val="en-US"/>
        </w:rPr>
        <w:t>GT-like syndrome (GTLS) or</w:t>
      </w:r>
      <w:r w:rsidRPr="00702ACD">
        <w:rPr>
          <w:szCs w:val="24"/>
          <w:shd w:val="clear" w:color="auto" w:fill="FFFFFF"/>
          <w:lang w:val="en-US"/>
        </w:rPr>
        <w:t xml:space="preserve"> </w:t>
      </w:r>
      <w:r w:rsidRPr="00702ACD">
        <w:rPr>
          <w:iCs/>
          <w:color w:val="000000" w:themeColor="text1"/>
          <w:lang w:val="en-US"/>
        </w:rPr>
        <w:t>ITGA2B/ITGB3-</w:t>
      </w:r>
      <w:r w:rsidRPr="00702ACD">
        <w:rPr>
          <w:color w:val="000000" w:themeColor="text1"/>
          <w:lang w:val="en-US"/>
        </w:rPr>
        <w:t>related thrombocytopenia (</w:t>
      </w:r>
      <w:r w:rsidRPr="00702ACD">
        <w:rPr>
          <w:iCs/>
          <w:color w:val="000000" w:themeColor="text1"/>
          <w:lang w:val="en-US"/>
        </w:rPr>
        <w:t>ITGA2B/ITGB3</w:t>
      </w:r>
      <w:r w:rsidRPr="00702ACD">
        <w:rPr>
          <w:color w:val="000000" w:themeColor="text1"/>
          <w:lang w:val="en-US"/>
        </w:rPr>
        <w:t>-RT)</w:t>
      </w:r>
      <w:r w:rsidR="00A8365D" w:rsidRPr="00702ACD">
        <w:rPr>
          <w:color w:val="000000" w:themeColor="text1"/>
          <w:lang w:val="en-US"/>
        </w:rPr>
        <w:t xml:space="preserve"> </w:t>
      </w:r>
      <w:r w:rsidR="00A8365D" w:rsidRPr="00702ACD">
        <w:rPr>
          <w:lang w:val="en-US"/>
        </w:rPr>
        <w:t>(</w:t>
      </w:r>
      <w:proofErr w:type="spellStart"/>
      <w:r w:rsidR="00645180">
        <w:fldChar w:fldCharType="begin"/>
      </w:r>
      <w:r w:rsidR="00645180" w:rsidRPr="00A50434">
        <w:rPr>
          <w:lang w:val="en-US"/>
        </w:rPr>
        <w:instrText xml:space="preserve"> HYPERLINK "https://www.ncbi.nlm.nih.gov/pubmed/?term=22102273" </w:instrText>
      </w:r>
      <w:r w:rsidR="00645180">
        <w:fldChar w:fldCharType="separate"/>
      </w:r>
      <w:r w:rsidR="00A8365D" w:rsidRPr="00702ACD">
        <w:rPr>
          <w:rStyle w:val="Hiperligao"/>
          <w:lang w:val="en-US"/>
        </w:rPr>
        <w:t>Nurden</w:t>
      </w:r>
      <w:proofErr w:type="spellEnd"/>
      <w:r w:rsidR="00A8365D" w:rsidRPr="00702ACD">
        <w:rPr>
          <w:rStyle w:val="Hiperligao"/>
          <w:lang w:val="en-US"/>
        </w:rPr>
        <w:t xml:space="preserve"> AT, 2011</w:t>
      </w:r>
      <w:r w:rsidR="00645180">
        <w:rPr>
          <w:rStyle w:val="Hiperligao"/>
          <w:lang w:val="en-US"/>
        </w:rPr>
        <w:fldChar w:fldCharType="end"/>
      </w:r>
      <w:r w:rsidR="00096AE9" w:rsidRPr="00702ACD">
        <w:rPr>
          <w:lang w:val="en-US"/>
        </w:rPr>
        <w:t>)</w:t>
      </w:r>
      <w:r w:rsidR="00A8365D" w:rsidRPr="00702ACD">
        <w:rPr>
          <w:lang w:val="en-US"/>
        </w:rPr>
        <w:t xml:space="preserve"> (</w:t>
      </w:r>
      <w:proofErr w:type="spellStart"/>
      <w:r w:rsidR="00645180">
        <w:fldChar w:fldCharType="begin"/>
      </w:r>
      <w:r w:rsidR="00645180" w:rsidRPr="00A50434">
        <w:rPr>
          <w:lang w:val="en-US"/>
        </w:rPr>
        <w:instrText xml:space="preserve"> HYPERLINK "https://www.ncbi.nlm.nih.gov/pubmed/?term=21454453" </w:instrText>
      </w:r>
      <w:r w:rsidR="00645180">
        <w:fldChar w:fldCharType="separate"/>
      </w:r>
      <w:r w:rsidR="00A8365D" w:rsidRPr="00702ACD">
        <w:rPr>
          <w:rStyle w:val="Hiperligao"/>
          <w:lang w:val="en-US"/>
        </w:rPr>
        <w:t>Kunishima</w:t>
      </w:r>
      <w:proofErr w:type="spellEnd"/>
      <w:r w:rsidR="00A8365D" w:rsidRPr="00702ACD">
        <w:rPr>
          <w:rStyle w:val="Hiperligao"/>
          <w:lang w:val="en-US"/>
        </w:rPr>
        <w:t xml:space="preserve"> S, 2011</w:t>
      </w:r>
      <w:r w:rsidR="00645180">
        <w:rPr>
          <w:rStyle w:val="Hiperligao"/>
          <w:lang w:val="en-US"/>
        </w:rPr>
        <w:fldChar w:fldCharType="end"/>
      </w:r>
      <w:r w:rsidR="00A8365D" w:rsidRPr="00702ACD">
        <w:rPr>
          <w:lang w:val="en-US"/>
        </w:rPr>
        <w:t>) (</w:t>
      </w:r>
      <w:hyperlink r:id="rId8" w:history="1">
        <w:r w:rsidR="00A8365D" w:rsidRPr="00702ACD">
          <w:rPr>
            <w:rStyle w:val="Hiperligao"/>
            <w:lang w:val="en-US"/>
          </w:rPr>
          <w:t>Bury L, 2016</w:t>
        </w:r>
      </w:hyperlink>
      <w:r w:rsidR="00A8365D" w:rsidRPr="00702ACD">
        <w:rPr>
          <w:lang w:val="en-US"/>
        </w:rPr>
        <w:t>) (</w:t>
      </w:r>
      <w:hyperlink r:id="rId9" w:history="1">
        <w:r w:rsidR="00A8365D" w:rsidRPr="00702ACD">
          <w:rPr>
            <w:rStyle w:val="Hiperligao"/>
            <w:lang w:val="en-US"/>
          </w:rPr>
          <w:t>Favier M, 2018</w:t>
        </w:r>
      </w:hyperlink>
      <w:r w:rsidR="00A8365D" w:rsidRPr="00702ACD">
        <w:rPr>
          <w:lang w:val="en-US"/>
        </w:rPr>
        <w:t>) (</w:t>
      </w:r>
      <w:hyperlink r:id="rId10" w:history="1">
        <w:r w:rsidR="00A8365D" w:rsidRPr="00702ACD">
          <w:rPr>
            <w:rStyle w:val="Hiperligao"/>
            <w:lang w:val="en-US"/>
          </w:rPr>
          <w:t>Miyashita N, 2018</w:t>
        </w:r>
      </w:hyperlink>
      <w:r w:rsidR="00A8365D" w:rsidRPr="00702ACD">
        <w:rPr>
          <w:lang w:val="en-US"/>
        </w:rPr>
        <w:t>)</w:t>
      </w:r>
      <w:r w:rsidRPr="00702ACD">
        <w:rPr>
          <w:szCs w:val="24"/>
          <w:shd w:val="clear" w:color="auto" w:fill="FFFFFF"/>
          <w:lang w:val="en-US"/>
        </w:rPr>
        <w:t xml:space="preserve">. </w:t>
      </w:r>
    </w:p>
    <w:p w:rsidR="00F84CD8" w:rsidRPr="00702ACD" w:rsidRDefault="00DB1C92" w:rsidP="00DB1C92">
      <w:pPr>
        <w:rPr>
          <w:lang w:val="en-US"/>
        </w:rPr>
      </w:pPr>
      <w:r w:rsidRPr="00702ACD">
        <w:rPr>
          <w:lang w:val="en-US"/>
        </w:rPr>
        <w:t xml:space="preserve">The genetic variants associated with GTLS </w:t>
      </w:r>
      <w:r w:rsidR="00976997" w:rsidRPr="00702ACD">
        <w:rPr>
          <w:lang w:val="en-US"/>
        </w:rPr>
        <w:t xml:space="preserve">translate </w:t>
      </w:r>
      <w:r w:rsidRPr="00702ACD">
        <w:rPr>
          <w:lang w:val="en-US"/>
        </w:rPr>
        <w:t>into decreased αIIbβ3 expression on the PLT membrane, as well as decreased PLT reactivity in response to several agonists, as measured by PLT function assays, PLT aggregometry / ATP release and flow cytometry (FCM)-based PLT activation studies</w:t>
      </w:r>
      <w:r w:rsidR="00A8365D" w:rsidRPr="00702ACD">
        <w:rPr>
          <w:lang w:val="en-US"/>
        </w:rPr>
        <w:t xml:space="preserve">. </w:t>
      </w:r>
      <w:r w:rsidR="00387331" w:rsidRPr="00702ACD">
        <w:rPr>
          <w:lang w:val="en-US"/>
        </w:rPr>
        <w:t xml:space="preserve">Macrothrombocytopenia observed in these patients has been attributed to cytoskeletal perturbations and abnormal proplatelet formation due to constitutive PLT activation </w:t>
      </w:r>
      <w:r w:rsidR="0029742A" w:rsidRPr="00702ACD">
        <w:rPr>
          <w:lang w:val="en-US"/>
        </w:rPr>
        <w:t>(</w:t>
      </w:r>
      <w:proofErr w:type="spellStart"/>
      <w:r w:rsidR="00645180">
        <w:fldChar w:fldCharType="begin"/>
      </w:r>
      <w:r w:rsidR="00645180" w:rsidRPr="00A50434">
        <w:rPr>
          <w:lang w:val="en-US"/>
        </w:rPr>
        <w:instrText xml:space="preserve"> HYPERLINK "https://www.ncbi.nlm.nih.gov/pubmed/?term=22102273" </w:instrText>
      </w:r>
      <w:r w:rsidR="00645180">
        <w:fldChar w:fldCharType="separate"/>
      </w:r>
      <w:r w:rsidR="0029742A" w:rsidRPr="00702ACD">
        <w:rPr>
          <w:rStyle w:val="Hiperligao"/>
          <w:lang w:val="en-US"/>
        </w:rPr>
        <w:t>Nurden</w:t>
      </w:r>
      <w:proofErr w:type="spellEnd"/>
      <w:r w:rsidR="0029742A" w:rsidRPr="00702ACD">
        <w:rPr>
          <w:rStyle w:val="Hiperligao"/>
          <w:lang w:val="en-US"/>
        </w:rPr>
        <w:t xml:space="preserve"> AT, 2011</w:t>
      </w:r>
      <w:r w:rsidR="00645180">
        <w:rPr>
          <w:rStyle w:val="Hiperligao"/>
          <w:lang w:val="en-US"/>
        </w:rPr>
        <w:fldChar w:fldCharType="end"/>
      </w:r>
      <w:r w:rsidR="0029742A" w:rsidRPr="00702ACD">
        <w:rPr>
          <w:lang w:val="en-US"/>
        </w:rPr>
        <w:t>) (</w:t>
      </w:r>
      <w:proofErr w:type="spellStart"/>
      <w:r w:rsidR="00645180">
        <w:fldChar w:fldCharType="begin"/>
      </w:r>
      <w:r w:rsidR="00645180" w:rsidRPr="00A50434">
        <w:rPr>
          <w:lang w:val="en-US"/>
        </w:rPr>
        <w:instrText xml:space="preserve"> HYPERLINK "https://www.ncbi.nlm.nih.gov/pubmed/?term=21454453" </w:instrText>
      </w:r>
      <w:r w:rsidR="00645180">
        <w:fldChar w:fldCharType="separate"/>
      </w:r>
      <w:r w:rsidR="0029742A" w:rsidRPr="00702ACD">
        <w:rPr>
          <w:rStyle w:val="Hiperligao"/>
          <w:lang w:val="en-US"/>
        </w:rPr>
        <w:t>Kunishima</w:t>
      </w:r>
      <w:proofErr w:type="spellEnd"/>
      <w:r w:rsidR="0029742A" w:rsidRPr="00702ACD">
        <w:rPr>
          <w:rStyle w:val="Hiperligao"/>
          <w:lang w:val="en-US"/>
        </w:rPr>
        <w:t xml:space="preserve"> S, 2011</w:t>
      </w:r>
      <w:r w:rsidR="00645180">
        <w:rPr>
          <w:rStyle w:val="Hiperligao"/>
          <w:lang w:val="en-US"/>
        </w:rPr>
        <w:fldChar w:fldCharType="end"/>
      </w:r>
      <w:r w:rsidR="0029742A" w:rsidRPr="00702ACD">
        <w:rPr>
          <w:lang w:val="en-US"/>
        </w:rPr>
        <w:t>) (</w:t>
      </w:r>
      <w:hyperlink r:id="rId11" w:history="1">
        <w:r w:rsidR="0029742A" w:rsidRPr="00702ACD">
          <w:rPr>
            <w:rStyle w:val="Hiperligao"/>
            <w:lang w:val="en-US"/>
          </w:rPr>
          <w:t>Bury L, 2016</w:t>
        </w:r>
      </w:hyperlink>
      <w:r w:rsidR="0029742A" w:rsidRPr="00702ACD">
        <w:rPr>
          <w:lang w:val="en-US"/>
        </w:rPr>
        <w:t>) (</w:t>
      </w:r>
      <w:hyperlink r:id="rId12" w:history="1">
        <w:r w:rsidR="0029742A" w:rsidRPr="00702ACD">
          <w:rPr>
            <w:rStyle w:val="Hiperligao"/>
            <w:lang w:val="en-US"/>
          </w:rPr>
          <w:t>Favier M, 2018</w:t>
        </w:r>
      </w:hyperlink>
      <w:r w:rsidR="0029742A" w:rsidRPr="00702ACD">
        <w:rPr>
          <w:lang w:val="en-US"/>
        </w:rPr>
        <w:t>) (</w:t>
      </w:r>
      <w:hyperlink r:id="rId13" w:history="1">
        <w:r w:rsidR="0029742A" w:rsidRPr="00702ACD">
          <w:rPr>
            <w:rStyle w:val="Hiperligao"/>
            <w:lang w:val="en-US"/>
          </w:rPr>
          <w:t>Miyashita N, 2018</w:t>
        </w:r>
      </w:hyperlink>
      <w:r w:rsidR="0029742A" w:rsidRPr="00702ACD">
        <w:rPr>
          <w:lang w:val="en-US"/>
        </w:rPr>
        <w:t>)</w:t>
      </w:r>
      <w:r w:rsidR="0029742A" w:rsidRPr="00702ACD">
        <w:rPr>
          <w:szCs w:val="24"/>
          <w:shd w:val="clear" w:color="auto" w:fill="FFFFFF"/>
          <w:lang w:val="en-US"/>
        </w:rPr>
        <w:t xml:space="preserve">. </w:t>
      </w:r>
      <w:r w:rsidRPr="00702ACD">
        <w:rPr>
          <w:lang w:val="en-US"/>
        </w:rPr>
        <w:t xml:space="preserve">There are, however, discrepancies between studies </w:t>
      </w:r>
      <w:r w:rsidR="00415086" w:rsidRPr="00702ACD">
        <w:rPr>
          <w:lang w:val="en-US"/>
        </w:rPr>
        <w:t xml:space="preserve">regarding the levels of PLT activation obtained upon </w:t>
      </w:r>
      <w:r w:rsidR="00FC629A" w:rsidRPr="00702ACD">
        <w:rPr>
          <w:lang w:val="en-US"/>
        </w:rPr>
        <w:t xml:space="preserve">stimulations with different </w:t>
      </w:r>
      <w:r w:rsidR="00415086" w:rsidRPr="00702ACD">
        <w:rPr>
          <w:lang w:val="en-US"/>
        </w:rPr>
        <w:t>agonists, but also concerning the evidence of</w:t>
      </w:r>
      <w:r w:rsidRPr="00702ACD">
        <w:rPr>
          <w:lang w:val="en-US"/>
        </w:rPr>
        <w:t xml:space="preserve"> constitutive αIIbβ3 activation, which are probably a reflection of different experimental conditions</w:t>
      </w:r>
      <w:r w:rsidR="00A8365D" w:rsidRPr="00702ACD">
        <w:rPr>
          <w:lang w:val="en-US"/>
        </w:rPr>
        <w:t>.</w:t>
      </w:r>
      <w:r w:rsidR="0045620F">
        <w:rPr>
          <w:lang w:val="en-US"/>
        </w:rPr>
        <w:t xml:space="preserve"> </w:t>
      </w:r>
      <w:r w:rsidR="00A8365D" w:rsidRPr="00702ACD">
        <w:rPr>
          <w:lang w:val="en-US"/>
        </w:rPr>
        <w:t>This</w:t>
      </w:r>
      <w:r w:rsidRPr="00702ACD">
        <w:rPr>
          <w:lang w:val="en-US"/>
        </w:rPr>
        <w:t xml:space="preserve"> indicat</w:t>
      </w:r>
      <w:r w:rsidR="00A8365D" w:rsidRPr="00702ACD">
        <w:rPr>
          <w:lang w:val="en-US"/>
        </w:rPr>
        <w:t>es</w:t>
      </w:r>
      <w:r w:rsidRPr="00702ACD">
        <w:rPr>
          <w:lang w:val="en-US"/>
        </w:rPr>
        <w:t xml:space="preserve"> that FCM-based tests </w:t>
      </w:r>
      <w:r w:rsidR="00415086" w:rsidRPr="00702ACD">
        <w:rPr>
          <w:lang w:val="en-US"/>
        </w:rPr>
        <w:t xml:space="preserve">used for diagnosis of GTLS </w:t>
      </w:r>
      <w:r w:rsidRPr="00702ACD">
        <w:rPr>
          <w:lang w:val="en-US"/>
        </w:rPr>
        <w:t xml:space="preserve">need to be standardized to provide reproducible results in clinical settings. </w:t>
      </w:r>
    </w:p>
    <w:p w:rsidR="00DB1C92" w:rsidRDefault="00DB1C92" w:rsidP="00DB1C92">
      <w:pPr>
        <w:rPr>
          <w:lang w:val="en-GB"/>
        </w:rPr>
      </w:pPr>
      <w:r w:rsidRPr="00702ACD">
        <w:rPr>
          <w:lang w:val="en-GB"/>
        </w:rPr>
        <w:t>Herein we describe in detail</w:t>
      </w:r>
      <w:r w:rsidR="001A23D0" w:rsidRPr="00702ACD">
        <w:rPr>
          <w:lang w:val="en-GB"/>
        </w:rPr>
        <w:t xml:space="preserve"> </w:t>
      </w:r>
      <w:r w:rsidRPr="00702ACD">
        <w:rPr>
          <w:lang w:val="en-GB"/>
        </w:rPr>
        <w:t>in-house developed FCM-based methods used</w:t>
      </w:r>
      <w:r w:rsidR="007B05E4" w:rsidRPr="00702ACD">
        <w:rPr>
          <w:lang w:val="en-GB"/>
        </w:rPr>
        <w:t xml:space="preserve"> in our Laboratory</w:t>
      </w:r>
      <w:r w:rsidRPr="00702ACD">
        <w:rPr>
          <w:lang w:val="en-GB"/>
        </w:rPr>
        <w:t xml:space="preserve"> for PLT glycoprotein evaluation and PLT activation studies in patients suspected of having GTLS / ITGA2B/ITGB3-RT.</w:t>
      </w:r>
      <w:r w:rsidRPr="005E5413">
        <w:rPr>
          <w:lang w:val="en-GB"/>
        </w:rPr>
        <w:t xml:space="preserve"> </w:t>
      </w:r>
    </w:p>
    <w:p w:rsidR="00BB5CC4" w:rsidRPr="00BB5CC4" w:rsidRDefault="00BB5CC4" w:rsidP="00DB1C92">
      <w:pPr>
        <w:rPr>
          <w:lang w:val="en-US"/>
        </w:rPr>
      </w:pPr>
      <w:r w:rsidRPr="00BB5CC4">
        <w:rPr>
          <w:b/>
          <w:bCs/>
          <w:lang w:val="en-GB"/>
        </w:rPr>
        <w:t>Key words:</w:t>
      </w:r>
      <w:r>
        <w:rPr>
          <w:lang w:val="en-GB"/>
        </w:rPr>
        <w:t xml:space="preserve"> </w:t>
      </w:r>
      <w:r w:rsidRPr="00BB5CC4">
        <w:rPr>
          <w:lang w:val="en-US"/>
        </w:rPr>
        <w:t>F</w:t>
      </w:r>
      <w:r>
        <w:rPr>
          <w:lang w:val="en-US"/>
        </w:rPr>
        <w:t xml:space="preserve">low cytometry; Inherited platelet disorders; Thrombocytopenia; </w:t>
      </w:r>
      <w:r w:rsidR="00290950">
        <w:rPr>
          <w:lang w:val="en-US"/>
        </w:rPr>
        <w:t xml:space="preserve">Platelet dysfunction; Platelet activation; Platelet glycoproteins; </w:t>
      </w:r>
      <w:r w:rsidRPr="00702ACD">
        <w:rPr>
          <w:rFonts w:cstheme="minorHAnsi"/>
          <w:szCs w:val="24"/>
          <w:shd w:val="clear" w:color="auto" w:fill="FFFFFF"/>
          <w:lang w:val="en-US"/>
        </w:rPr>
        <w:t xml:space="preserve">Glanzmann´s Thrombasthenia </w:t>
      </w:r>
      <w:r>
        <w:rPr>
          <w:rFonts w:cstheme="minorHAnsi"/>
          <w:szCs w:val="24"/>
          <w:shd w:val="clear" w:color="auto" w:fill="FFFFFF"/>
          <w:lang w:val="en-US"/>
        </w:rPr>
        <w:t xml:space="preserve">Like Syndrome; </w:t>
      </w:r>
      <w:r w:rsidRPr="00702ACD">
        <w:rPr>
          <w:iCs/>
          <w:color w:val="000000" w:themeColor="text1"/>
          <w:lang w:val="en-US"/>
        </w:rPr>
        <w:t>ITGA2B/ITGB3-</w:t>
      </w:r>
      <w:r w:rsidRPr="00702ACD">
        <w:rPr>
          <w:color w:val="000000" w:themeColor="text1"/>
          <w:lang w:val="en-US"/>
        </w:rPr>
        <w:t>related thrombocytopenia</w:t>
      </w:r>
      <w:r>
        <w:rPr>
          <w:color w:val="000000" w:themeColor="text1"/>
          <w:lang w:val="en-US"/>
        </w:rPr>
        <w:t xml:space="preserve">; GPIIb/IIIa; </w:t>
      </w:r>
      <w:r w:rsidRPr="00702ACD">
        <w:rPr>
          <w:rFonts w:cstheme="minorHAnsi"/>
          <w:szCs w:val="24"/>
          <w:shd w:val="clear" w:color="auto" w:fill="FFFFFF"/>
          <w:lang w:val="en-US"/>
        </w:rPr>
        <w:t xml:space="preserve">integrin </w:t>
      </w:r>
      <w:r w:rsidRPr="00702ACD">
        <w:rPr>
          <w:rFonts w:cs="Arial"/>
          <w:lang w:val="en-US"/>
        </w:rPr>
        <w:t>α</w:t>
      </w:r>
      <w:r w:rsidRPr="00702ACD">
        <w:rPr>
          <w:lang w:val="en-US"/>
        </w:rPr>
        <w:t>IIb</w:t>
      </w:r>
      <w:r w:rsidRPr="00702ACD">
        <w:rPr>
          <w:rFonts w:cs="Arial"/>
          <w:lang w:val="en-US"/>
        </w:rPr>
        <w:t>β</w:t>
      </w:r>
      <w:r w:rsidRPr="00702ACD">
        <w:rPr>
          <w:lang w:val="en-US"/>
        </w:rPr>
        <w:t>3</w:t>
      </w:r>
      <w:r>
        <w:rPr>
          <w:lang w:val="en-US"/>
        </w:rPr>
        <w:t xml:space="preserve">; </w:t>
      </w:r>
      <w:r w:rsidRPr="00702ACD">
        <w:rPr>
          <w:lang w:val="en-GB"/>
        </w:rPr>
        <w:t>ITGA2B</w:t>
      </w:r>
      <w:r>
        <w:rPr>
          <w:lang w:val="en-GB"/>
        </w:rPr>
        <w:t xml:space="preserve">; </w:t>
      </w:r>
      <w:r w:rsidRPr="00702ACD">
        <w:rPr>
          <w:lang w:val="en-GB"/>
        </w:rPr>
        <w:t>ITGB3</w:t>
      </w:r>
    </w:p>
    <w:p w:rsidR="00501E6D" w:rsidRDefault="00501E6D">
      <w:pPr>
        <w:spacing w:line="259" w:lineRule="auto"/>
        <w:jc w:val="left"/>
        <w:rPr>
          <w:rFonts w:eastAsiaTheme="majorEastAsia" w:cstheme="majorBidi"/>
          <w:b/>
          <w:color w:val="000000" w:themeColor="text1"/>
          <w:sz w:val="22"/>
          <w:szCs w:val="26"/>
          <w:lang w:val="en-US"/>
        </w:rPr>
      </w:pPr>
      <w:r>
        <w:rPr>
          <w:lang w:val="en-US"/>
        </w:rPr>
        <w:br w:type="page"/>
      </w:r>
    </w:p>
    <w:p w:rsidR="00DB1C92" w:rsidRPr="00BE4109" w:rsidRDefault="00BE7815" w:rsidP="00247B90">
      <w:pPr>
        <w:pStyle w:val="Ttulo3"/>
        <w:rPr>
          <w:rFonts w:eastAsia="Times New Roman"/>
          <w:lang w:val="en-US"/>
        </w:rPr>
      </w:pPr>
      <w:r w:rsidRPr="00BE4109">
        <w:rPr>
          <w:lang w:val="en-US"/>
        </w:rPr>
        <w:lastRenderedPageBreak/>
        <w:t xml:space="preserve">SAMPLE </w:t>
      </w:r>
      <w:r>
        <w:rPr>
          <w:lang w:val="en-US"/>
        </w:rPr>
        <w:t>COLLECTION</w:t>
      </w:r>
      <w:r w:rsidR="001A23D0">
        <w:rPr>
          <w:lang w:val="en-US"/>
        </w:rPr>
        <w:t xml:space="preserve"> AND STORAGE</w:t>
      </w:r>
    </w:p>
    <w:p w:rsidR="00014B26" w:rsidRPr="00702ACD" w:rsidRDefault="003B21E0" w:rsidP="003B21E0">
      <w:pPr>
        <w:rPr>
          <w:lang w:val="en-US"/>
        </w:rPr>
      </w:pPr>
      <w:r w:rsidRPr="00702ACD">
        <w:rPr>
          <w:lang w:val="en-US"/>
        </w:rPr>
        <w:t>Peripheral blood (PB) samples used for FCM studies are collected aseptically from an antecubital vein using a 21-gauge needle (0.8 x 32 mm)</w:t>
      </w:r>
      <w:r w:rsidR="00BD2693" w:rsidRPr="00702ACD">
        <w:rPr>
          <w:lang w:val="en-US"/>
        </w:rPr>
        <w:t xml:space="preserve"> and a light tourniquet</w:t>
      </w:r>
      <w:r w:rsidRPr="00702ACD">
        <w:rPr>
          <w:lang w:val="en-US"/>
        </w:rPr>
        <w:t xml:space="preserve">, into vacuum tubes containing sodium citrate 3.2% (1 volume trisodium citrate 0.105 M to 9 volumes of blood) (BD Vacutainer System) as anticoagulant. </w:t>
      </w:r>
    </w:p>
    <w:p w:rsidR="00014B26" w:rsidRPr="00702ACD" w:rsidRDefault="003B21E0" w:rsidP="003B21E0">
      <w:pPr>
        <w:rPr>
          <w:lang w:val="en-US"/>
        </w:rPr>
      </w:pPr>
      <w:r w:rsidRPr="00702ACD">
        <w:rPr>
          <w:lang w:val="en-US"/>
        </w:rPr>
        <w:t xml:space="preserve">The first </w:t>
      </w:r>
      <w:r w:rsidR="00BD2693" w:rsidRPr="00702ACD">
        <w:rPr>
          <w:lang w:val="en-US"/>
        </w:rPr>
        <w:t>2</w:t>
      </w:r>
      <w:r w:rsidRPr="00702ACD">
        <w:rPr>
          <w:lang w:val="en-US"/>
        </w:rPr>
        <w:t xml:space="preserve">-4 ml of PB collected are discarded. </w:t>
      </w:r>
    </w:p>
    <w:p w:rsidR="00014B26" w:rsidRPr="00702ACD" w:rsidRDefault="003B21E0" w:rsidP="003B21E0">
      <w:pPr>
        <w:rPr>
          <w:lang w:val="en-US"/>
        </w:rPr>
      </w:pPr>
      <w:r w:rsidRPr="00702ACD">
        <w:rPr>
          <w:lang w:val="en-US"/>
        </w:rPr>
        <w:t xml:space="preserve">Sample processing is initiated after resting for 1 hour </w:t>
      </w:r>
      <w:r w:rsidR="00BD2693" w:rsidRPr="00702ACD">
        <w:rPr>
          <w:lang w:val="en-US"/>
        </w:rPr>
        <w:t xml:space="preserve">at room temperature </w:t>
      </w:r>
      <w:r w:rsidRPr="00702ACD">
        <w:rPr>
          <w:lang w:val="en-US"/>
        </w:rPr>
        <w:t xml:space="preserve">and completed within 4 hours after blood collection. </w:t>
      </w:r>
    </w:p>
    <w:p w:rsidR="00014B26" w:rsidRPr="00702ACD" w:rsidRDefault="003B21E0" w:rsidP="003B21E0">
      <w:pPr>
        <w:rPr>
          <w:lang w:val="en-US"/>
        </w:rPr>
      </w:pPr>
      <w:r w:rsidRPr="00702ACD">
        <w:rPr>
          <w:lang w:val="en-US"/>
        </w:rPr>
        <w:t>Blood samples are maintained at room temperature before and during sample processing.</w:t>
      </w:r>
      <w:r w:rsidR="00BD2693" w:rsidRPr="00702ACD">
        <w:rPr>
          <w:lang w:val="en-US"/>
        </w:rPr>
        <w:t xml:space="preserve"> </w:t>
      </w:r>
    </w:p>
    <w:p w:rsidR="00014B26" w:rsidRPr="00702ACD" w:rsidRDefault="00BD2693" w:rsidP="003B21E0">
      <w:pPr>
        <w:rPr>
          <w:lang w:val="en-US"/>
        </w:rPr>
      </w:pPr>
      <w:r w:rsidRPr="00702ACD">
        <w:rPr>
          <w:lang w:val="en-US"/>
        </w:rPr>
        <w:t xml:space="preserve">All samples with evidence of hemolysis or blood clotting are be discarded. </w:t>
      </w:r>
    </w:p>
    <w:p w:rsidR="003B21E0" w:rsidRPr="00702ACD" w:rsidRDefault="00BD2693" w:rsidP="003B21E0">
      <w:pPr>
        <w:rPr>
          <w:lang w:val="en-US"/>
        </w:rPr>
      </w:pPr>
      <w:r w:rsidRPr="00702ACD">
        <w:rPr>
          <w:lang w:val="en-US"/>
        </w:rPr>
        <w:t>Patients and controls are asked to stop all the medications that could potentially interfere with platelet function for at least one week before blood collection.</w:t>
      </w:r>
    </w:p>
    <w:p w:rsidR="00BF7D1C" w:rsidRPr="00702ACD" w:rsidRDefault="00635A0B" w:rsidP="00FE41FE">
      <w:pPr>
        <w:pBdr>
          <w:top w:val="single" w:sz="4" w:space="1" w:color="auto"/>
          <w:left w:val="single" w:sz="4" w:space="4" w:color="auto"/>
          <w:bottom w:val="single" w:sz="4" w:space="1" w:color="auto"/>
          <w:right w:val="single" w:sz="4" w:space="4" w:color="auto"/>
        </w:pBdr>
        <w:spacing w:after="0" w:line="240" w:lineRule="auto"/>
        <w:rPr>
          <w:i/>
          <w:iCs/>
          <w:lang w:val="en-US"/>
        </w:rPr>
      </w:pPr>
      <w:r w:rsidRPr="00702ACD">
        <w:rPr>
          <w:i/>
          <w:iCs/>
          <w:u w:val="single"/>
          <w:lang w:val="en-US"/>
        </w:rPr>
        <w:t>C</w:t>
      </w:r>
      <w:r w:rsidR="00A8365D" w:rsidRPr="00702ACD">
        <w:rPr>
          <w:i/>
          <w:iCs/>
          <w:u w:val="single"/>
          <w:lang w:val="en-US"/>
        </w:rPr>
        <w:t>omments</w:t>
      </w:r>
    </w:p>
    <w:p w:rsidR="00A8365D" w:rsidRPr="00702ACD" w:rsidRDefault="00A8365D" w:rsidP="00501E6D">
      <w:pPr>
        <w:pBdr>
          <w:top w:val="single" w:sz="4" w:space="1" w:color="auto"/>
          <w:left w:val="single" w:sz="4" w:space="4" w:color="auto"/>
          <w:bottom w:val="single" w:sz="4" w:space="1" w:color="auto"/>
          <w:right w:val="single" w:sz="4" w:space="4" w:color="auto"/>
        </w:pBdr>
        <w:spacing w:line="240" w:lineRule="auto"/>
        <w:rPr>
          <w:i/>
          <w:iCs/>
          <w:lang w:val="en-US"/>
        </w:rPr>
      </w:pPr>
      <w:r w:rsidRPr="00702ACD">
        <w:rPr>
          <w:i/>
          <w:iCs/>
          <w:lang w:val="en-US"/>
        </w:rPr>
        <w:t>Pre-analytic critical steps have been debated in previous studies, from the 90´s to the present, and include the procedures of blood collection, choice of the anticoagulant, conditions of sample storage, and time to sample processing, among others (</w:t>
      </w:r>
      <w:hyperlink r:id="rId14" w:history="1">
        <w:r w:rsidRPr="00702ACD">
          <w:rPr>
            <w:rStyle w:val="Hiperligao"/>
            <w:i/>
            <w:iCs/>
            <w:lang w:val="en-US"/>
          </w:rPr>
          <w:t>Michelson AD</w:t>
        </w:r>
        <w:r w:rsidR="006E6567" w:rsidRPr="00702ACD">
          <w:rPr>
            <w:rStyle w:val="Hiperligao"/>
            <w:i/>
            <w:iCs/>
            <w:lang w:val="en-US"/>
          </w:rPr>
          <w:t>, 1996</w:t>
        </w:r>
      </w:hyperlink>
      <w:r w:rsidRPr="00702ACD">
        <w:rPr>
          <w:i/>
          <w:iCs/>
          <w:lang w:val="en-US"/>
        </w:rPr>
        <w:t>) (</w:t>
      </w:r>
      <w:proofErr w:type="spellStart"/>
      <w:r w:rsidR="00645180">
        <w:fldChar w:fldCharType="begin"/>
      </w:r>
      <w:r w:rsidR="00645180" w:rsidRPr="00A50434">
        <w:rPr>
          <w:lang w:val="en-US"/>
        </w:rPr>
        <w:instrText xml:space="preserve"> HYPERLINK "https://www.ncbi.nlm.nih.gov/pubmed/?term=10354385" </w:instrText>
      </w:r>
      <w:r w:rsidR="00645180">
        <w:fldChar w:fldCharType="separate"/>
      </w:r>
      <w:r w:rsidRPr="00702ACD">
        <w:rPr>
          <w:rStyle w:val="Hiperligao"/>
          <w:i/>
          <w:iCs/>
          <w:lang w:val="en-US"/>
        </w:rPr>
        <w:t>Mody</w:t>
      </w:r>
      <w:proofErr w:type="spellEnd"/>
      <w:r w:rsidRPr="00702ACD">
        <w:rPr>
          <w:rStyle w:val="Hiperligao"/>
          <w:i/>
          <w:iCs/>
          <w:lang w:val="en-US"/>
        </w:rPr>
        <w:t xml:space="preserve"> M</w:t>
      </w:r>
      <w:r w:rsidR="006E6567" w:rsidRPr="00702ACD">
        <w:rPr>
          <w:rStyle w:val="Hiperligao"/>
          <w:i/>
          <w:iCs/>
          <w:lang w:val="en-US"/>
        </w:rPr>
        <w:t>, 1999</w:t>
      </w:r>
      <w:r w:rsidR="00645180">
        <w:rPr>
          <w:rStyle w:val="Hiperligao"/>
          <w:i/>
          <w:iCs/>
          <w:lang w:val="en-US"/>
        </w:rPr>
        <w:fldChar w:fldCharType="end"/>
      </w:r>
      <w:r w:rsidRPr="00702ACD">
        <w:rPr>
          <w:i/>
          <w:iCs/>
          <w:lang w:val="en-US"/>
        </w:rPr>
        <w:t>) (</w:t>
      </w:r>
      <w:proofErr w:type="spellStart"/>
      <w:r w:rsidR="00645180">
        <w:fldChar w:fldCharType="begin"/>
      </w:r>
      <w:r w:rsidR="00645180" w:rsidRPr="00A50434">
        <w:rPr>
          <w:lang w:val="en-US"/>
        </w:rPr>
        <w:instrText xml:space="preserve"> HYPERLINK "https://www.ncbi.nlm.nih.gov/pubmed/?term=29389990" </w:instrText>
      </w:r>
      <w:r w:rsidR="00645180">
        <w:fldChar w:fldCharType="separate"/>
      </w:r>
      <w:r w:rsidRPr="00702ACD">
        <w:rPr>
          <w:rStyle w:val="Hiperligao"/>
          <w:i/>
          <w:iCs/>
          <w:lang w:val="en-US"/>
        </w:rPr>
        <w:t>Huskens</w:t>
      </w:r>
      <w:proofErr w:type="spellEnd"/>
      <w:r w:rsidRPr="00702ACD">
        <w:rPr>
          <w:rStyle w:val="Hiperligao"/>
          <w:i/>
          <w:iCs/>
          <w:lang w:val="en-US"/>
        </w:rPr>
        <w:t xml:space="preserve"> D</w:t>
      </w:r>
      <w:r w:rsidR="006E6567" w:rsidRPr="00702ACD">
        <w:rPr>
          <w:rStyle w:val="Hiperligao"/>
          <w:i/>
          <w:iCs/>
          <w:lang w:val="en-US"/>
        </w:rPr>
        <w:t>, 2018</w:t>
      </w:r>
      <w:r w:rsidR="00645180">
        <w:rPr>
          <w:rStyle w:val="Hiperligao"/>
          <w:i/>
          <w:iCs/>
          <w:lang w:val="en-US"/>
        </w:rPr>
        <w:fldChar w:fldCharType="end"/>
      </w:r>
      <w:r w:rsidRPr="00702ACD">
        <w:rPr>
          <w:i/>
          <w:iCs/>
          <w:lang w:val="en-US"/>
        </w:rPr>
        <w:t>) (</w:t>
      </w:r>
      <w:hyperlink r:id="rId15" w:history="1">
        <w:r w:rsidRPr="00702ACD">
          <w:rPr>
            <w:rStyle w:val="Hiperligao"/>
            <w:i/>
            <w:iCs/>
            <w:lang w:val="en-US"/>
          </w:rPr>
          <w:t>Pedersen OH</w:t>
        </w:r>
        <w:r w:rsidR="006E6567" w:rsidRPr="00702ACD">
          <w:rPr>
            <w:rStyle w:val="Hiperligao"/>
            <w:i/>
            <w:iCs/>
            <w:lang w:val="en-US"/>
          </w:rPr>
          <w:t>,2018</w:t>
        </w:r>
      </w:hyperlink>
      <w:r w:rsidRPr="00702ACD">
        <w:rPr>
          <w:i/>
          <w:iCs/>
          <w:lang w:val="en-US"/>
        </w:rPr>
        <w:t>) (</w:t>
      </w:r>
      <w:hyperlink r:id="rId16" w:history="1">
        <w:r w:rsidRPr="00702ACD">
          <w:rPr>
            <w:rStyle w:val="Hiperligao"/>
            <w:i/>
            <w:iCs/>
            <w:lang w:val="en-US"/>
          </w:rPr>
          <w:t xml:space="preserve">van </w:t>
        </w:r>
        <w:proofErr w:type="spellStart"/>
        <w:r w:rsidRPr="00702ACD">
          <w:rPr>
            <w:rStyle w:val="Hiperligao"/>
            <w:i/>
            <w:iCs/>
            <w:lang w:val="en-US"/>
          </w:rPr>
          <w:t>Asten</w:t>
        </w:r>
        <w:proofErr w:type="spellEnd"/>
        <w:r w:rsidRPr="00702ACD">
          <w:rPr>
            <w:rStyle w:val="Hiperligao"/>
            <w:i/>
            <w:iCs/>
            <w:lang w:val="en-US"/>
          </w:rPr>
          <w:t xml:space="preserve"> I</w:t>
        </w:r>
        <w:r w:rsidR="00BF6EF8" w:rsidRPr="00702ACD">
          <w:rPr>
            <w:rStyle w:val="Hiperligao"/>
            <w:i/>
            <w:iCs/>
            <w:lang w:val="en-US"/>
          </w:rPr>
          <w:t>, 2018</w:t>
        </w:r>
      </w:hyperlink>
      <w:r w:rsidRPr="00702ACD">
        <w:rPr>
          <w:i/>
          <w:iCs/>
          <w:lang w:val="en-US"/>
        </w:rPr>
        <w:t>) (</w:t>
      </w:r>
      <w:hyperlink r:id="rId17" w:history="1">
        <w:r w:rsidRPr="00702ACD">
          <w:rPr>
            <w:rStyle w:val="Hiperligao"/>
            <w:i/>
            <w:iCs/>
            <w:lang w:val="en-US"/>
          </w:rPr>
          <w:t xml:space="preserve">van </w:t>
        </w:r>
        <w:proofErr w:type="spellStart"/>
        <w:r w:rsidRPr="00702ACD">
          <w:rPr>
            <w:rStyle w:val="Hiperligao"/>
            <w:i/>
            <w:iCs/>
            <w:lang w:val="en-US"/>
          </w:rPr>
          <w:t>Asten</w:t>
        </w:r>
        <w:proofErr w:type="spellEnd"/>
        <w:r w:rsidRPr="00702ACD">
          <w:rPr>
            <w:rStyle w:val="Hiperligao"/>
            <w:i/>
            <w:iCs/>
            <w:lang w:val="en-US"/>
          </w:rPr>
          <w:t xml:space="preserve"> I</w:t>
        </w:r>
        <w:r w:rsidR="00BF6EF8" w:rsidRPr="00702ACD">
          <w:rPr>
            <w:rStyle w:val="Hiperligao"/>
            <w:i/>
            <w:iCs/>
            <w:lang w:val="en-US"/>
          </w:rPr>
          <w:t>, 2018</w:t>
        </w:r>
      </w:hyperlink>
      <w:r w:rsidRPr="00702ACD">
        <w:rPr>
          <w:i/>
          <w:iCs/>
          <w:lang w:val="en-US"/>
        </w:rPr>
        <w:t>).</w:t>
      </w:r>
    </w:p>
    <w:p w:rsidR="00DB1C92" w:rsidRPr="00702ACD" w:rsidRDefault="00BE7815" w:rsidP="00247B90">
      <w:pPr>
        <w:pStyle w:val="Ttulo3"/>
        <w:rPr>
          <w:rFonts w:eastAsia="Times New Roman"/>
          <w:lang w:val="en-US"/>
        </w:rPr>
      </w:pPr>
      <w:r w:rsidRPr="00702ACD">
        <w:rPr>
          <w:lang w:val="en-US"/>
        </w:rPr>
        <w:t>EQUIPMENT</w:t>
      </w:r>
      <w:r w:rsidR="00DB1C92" w:rsidRPr="00702ACD">
        <w:rPr>
          <w:lang w:val="en-US"/>
        </w:rPr>
        <w:t xml:space="preserve"> </w:t>
      </w:r>
      <w:r w:rsidR="00014B26" w:rsidRPr="00702ACD">
        <w:rPr>
          <w:lang w:val="en-US"/>
        </w:rPr>
        <w:t>– FLOW CYTOMETER</w:t>
      </w:r>
    </w:p>
    <w:p w:rsidR="00014B26" w:rsidRPr="00702ACD" w:rsidRDefault="00A8365D" w:rsidP="00BE7815">
      <w:pPr>
        <w:rPr>
          <w:lang w:val="en-US"/>
        </w:rPr>
      </w:pPr>
      <w:r w:rsidRPr="00702ACD">
        <w:rPr>
          <w:lang w:val="en-US"/>
        </w:rPr>
        <w:t xml:space="preserve">We </w:t>
      </w:r>
      <w:r w:rsidR="003B21E0" w:rsidRPr="00702ACD">
        <w:rPr>
          <w:lang w:val="en-US"/>
        </w:rPr>
        <w:t>routinely use</w:t>
      </w:r>
      <w:r w:rsidRPr="00702ACD">
        <w:rPr>
          <w:lang w:val="en-US"/>
        </w:rPr>
        <w:t xml:space="preserve"> a </w:t>
      </w:r>
      <w:r w:rsidR="00DB1C92" w:rsidRPr="00702ACD">
        <w:rPr>
          <w:lang w:val="en-US"/>
        </w:rPr>
        <w:t xml:space="preserve">Navios™ flow cytometer from </w:t>
      </w:r>
      <w:r w:rsidR="007B43BE" w:rsidRPr="00702ACD">
        <w:rPr>
          <w:lang w:val="en-US"/>
        </w:rPr>
        <w:t>Beckman Coulter (BC, Hialeah, FL, USA)</w:t>
      </w:r>
      <w:r w:rsidR="00DB1C92" w:rsidRPr="00702ACD">
        <w:rPr>
          <w:lang w:val="en-US"/>
        </w:rPr>
        <w:t>.</w:t>
      </w:r>
      <w:r w:rsidR="00FE41FE" w:rsidRPr="00702ACD">
        <w:rPr>
          <w:lang w:val="en-US"/>
        </w:rPr>
        <w:t xml:space="preserve"> However, these protocols can also be used with </w:t>
      </w:r>
      <w:proofErr w:type="spellStart"/>
      <w:r w:rsidR="00FE41FE" w:rsidRPr="00702ACD">
        <w:rPr>
          <w:lang w:val="en-US"/>
        </w:rPr>
        <w:t>FACSCanto</w:t>
      </w:r>
      <w:proofErr w:type="spellEnd"/>
      <w:r w:rsidR="00FE41FE" w:rsidRPr="00702ACD">
        <w:rPr>
          <w:lang w:val="en-US"/>
        </w:rPr>
        <w:t xml:space="preserve"> II from Becton Dickinson (BD, San Jose, CA, USA).</w:t>
      </w:r>
    </w:p>
    <w:p w:rsidR="00014B26" w:rsidRPr="00702ACD" w:rsidRDefault="00BE7815" w:rsidP="00BE7815">
      <w:pPr>
        <w:rPr>
          <w:lang w:val="en-US"/>
        </w:rPr>
      </w:pPr>
      <w:r w:rsidRPr="00702ACD">
        <w:rPr>
          <w:bCs/>
          <w:lang w:val="en-US"/>
        </w:rPr>
        <w:t xml:space="preserve">Flow cytometer set-up and calibration is performed accordingly to the </w:t>
      </w:r>
      <w:proofErr w:type="spellStart"/>
      <w:r w:rsidRPr="00702ACD">
        <w:rPr>
          <w:bCs/>
          <w:lang w:val="en-US"/>
        </w:rPr>
        <w:t>Euroflow</w:t>
      </w:r>
      <w:proofErr w:type="spellEnd"/>
      <w:r w:rsidRPr="00702ACD">
        <w:rPr>
          <w:bCs/>
          <w:lang w:val="en-US"/>
        </w:rPr>
        <w:t xml:space="preserve"> consortium </w:t>
      </w:r>
      <w:r w:rsidR="003F39B6" w:rsidRPr="00702ACD">
        <w:rPr>
          <w:lang w:val="en-US"/>
        </w:rPr>
        <w:t>SOAPs</w:t>
      </w:r>
      <w:r w:rsidR="00BD2693" w:rsidRPr="00702ACD">
        <w:rPr>
          <w:lang w:val="en-US"/>
        </w:rPr>
        <w:t xml:space="preserve"> (</w:t>
      </w:r>
      <w:r w:rsidR="00BD2693" w:rsidRPr="00702ACD">
        <w:rPr>
          <w:i/>
          <w:iCs/>
          <w:lang w:val="en-US"/>
        </w:rPr>
        <w:t xml:space="preserve">update versions available at the </w:t>
      </w:r>
      <w:proofErr w:type="spellStart"/>
      <w:r w:rsidR="00BD2693" w:rsidRPr="00702ACD">
        <w:rPr>
          <w:i/>
          <w:iCs/>
          <w:lang w:val="en-US"/>
        </w:rPr>
        <w:t>EuroFlow</w:t>
      </w:r>
      <w:proofErr w:type="spellEnd"/>
      <w:r w:rsidR="00BD2693" w:rsidRPr="00702ACD">
        <w:rPr>
          <w:i/>
          <w:iCs/>
          <w:lang w:val="en-US"/>
        </w:rPr>
        <w:t xml:space="preserve"> website - </w:t>
      </w:r>
      <w:hyperlink r:id="rId18" w:history="1">
        <w:r w:rsidR="00014B26" w:rsidRPr="00702ACD">
          <w:rPr>
            <w:rStyle w:val="Hiperligao"/>
            <w:i/>
            <w:iCs/>
            <w:lang w:val="en-US"/>
          </w:rPr>
          <w:t>http://euroflow.org/</w:t>
        </w:r>
      </w:hyperlink>
      <w:r w:rsidR="00BD2693" w:rsidRPr="00702ACD">
        <w:rPr>
          <w:lang w:val="en-US"/>
        </w:rPr>
        <w:t>)</w:t>
      </w:r>
      <w:r w:rsidR="00014B26" w:rsidRPr="00702ACD">
        <w:rPr>
          <w:lang w:val="en-US"/>
        </w:rPr>
        <w:t>.</w:t>
      </w:r>
    </w:p>
    <w:p w:rsidR="00014B26" w:rsidRPr="00702ACD" w:rsidRDefault="00BE7815" w:rsidP="00BE7815">
      <w:pPr>
        <w:rPr>
          <w:lang w:val="en-US"/>
        </w:rPr>
      </w:pPr>
      <w:r w:rsidRPr="00702ACD">
        <w:rPr>
          <w:lang w:val="en-US"/>
        </w:rPr>
        <w:t>Daily quality controls are made to guarantee the quality of the study, including fluorescence standardization, linearity assessment and spectral compensation.</w:t>
      </w:r>
      <w:r w:rsidR="003B21E0" w:rsidRPr="00702ACD">
        <w:rPr>
          <w:lang w:val="en-US"/>
        </w:rPr>
        <w:t xml:space="preserve"> </w:t>
      </w:r>
    </w:p>
    <w:p w:rsidR="00014B26" w:rsidRPr="00702ACD" w:rsidRDefault="00BE7815" w:rsidP="00BE7815">
      <w:pPr>
        <w:rPr>
          <w:lang w:val="en-US"/>
        </w:rPr>
      </w:pPr>
      <w:r w:rsidRPr="00702ACD">
        <w:rPr>
          <w:lang w:val="en-US"/>
        </w:rPr>
        <w:t>Eight-peak Rainbow bead calibration particles (</w:t>
      </w:r>
      <w:proofErr w:type="spellStart"/>
      <w:r w:rsidRPr="00702ACD">
        <w:rPr>
          <w:lang w:val="en-US"/>
        </w:rPr>
        <w:t>Spherotech</w:t>
      </w:r>
      <w:proofErr w:type="spellEnd"/>
      <w:r w:rsidRPr="00702ACD">
        <w:rPr>
          <w:lang w:val="en-US"/>
        </w:rPr>
        <w:t xml:space="preserve">, Lake Forest, IL, USA) are used for initial PMT settings, as well as for daily checks. </w:t>
      </w:r>
    </w:p>
    <w:p w:rsidR="00014B26" w:rsidRPr="00702ACD" w:rsidRDefault="00BE7815" w:rsidP="00BE7815">
      <w:pPr>
        <w:rPr>
          <w:lang w:val="en-US"/>
        </w:rPr>
      </w:pPr>
      <w:r w:rsidRPr="00702ACD">
        <w:rPr>
          <w:lang w:val="en-US"/>
        </w:rPr>
        <w:t xml:space="preserve">Daily control is monitored by plotting fluorescence intensity values in Levy Jennings charts. </w:t>
      </w:r>
    </w:p>
    <w:p w:rsidR="00BE7815" w:rsidRDefault="00BE7815" w:rsidP="00BE7815">
      <w:pPr>
        <w:rPr>
          <w:lang w:val="en-US"/>
        </w:rPr>
      </w:pPr>
      <w:r w:rsidRPr="00702ACD">
        <w:rPr>
          <w:lang w:val="en-US"/>
        </w:rPr>
        <w:t xml:space="preserve">In addition, external quality assessment / proficiency testing is performed by participating in the </w:t>
      </w:r>
      <w:proofErr w:type="spellStart"/>
      <w:r w:rsidRPr="00702ACD">
        <w:rPr>
          <w:lang w:val="en-US"/>
        </w:rPr>
        <w:t>Euroflow</w:t>
      </w:r>
      <w:proofErr w:type="spellEnd"/>
      <w:r w:rsidR="0067712C" w:rsidRPr="00702ACD">
        <w:rPr>
          <w:lang w:val="en-US"/>
        </w:rPr>
        <w:t xml:space="preserve"> </w:t>
      </w:r>
      <w:r w:rsidR="006C5BBF" w:rsidRPr="00702ACD">
        <w:rPr>
          <w:lang w:val="en-US"/>
        </w:rPr>
        <w:t xml:space="preserve">QA </w:t>
      </w:r>
      <w:r w:rsidRPr="00702ACD">
        <w:rPr>
          <w:lang w:val="en-US"/>
        </w:rPr>
        <w:t>program.</w:t>
      </w:r>
    </w:p>
    <w:p w:rsidR="00BF7D1C" w:rsidRPr="00A64AC6" w:rsidRDefault="00635A0B" w:rsidP="00FE41FE">
      <w:pPr>
        <w:pBdr>
          <w:top w:val="single" w:sz="4" w:space="1" w:color="auto"/>
          <w:left w:val="single" w:sz="4" w:space="4" w:color="auto"/>
          <w:bottom w:val="single" w:sz="4" w:space="1" w:color="auto"/>
          <w:right w:val="single" w:sz="4" w:space="4" w:color="auto"/>
        </w:pBdr>
        <w:spacing w:after="0" w:line="240" w:lineRule="auto"/>
        <w:rPr>
          <w:i/>
          <w:iCs/>
          <w:lang w:val="en-US"/>
        </w:rPr>
      </w:pPr>
      <w:r w:rsidRPr="00A64AC6">
        <w:rPr>
          <w:i/>
          <w:iCs/>
          <w:u w:val="single"/>
          <w:lang w:val="en-US"/>
        </w:rPr>
        <w:t>C</w:t>
      </w:r>
      <w:r w:rsidR="003B21E0" w:rsidRPr="00A64AC6">
        <w:rPr>
          <w:i/>
          <w:iCs/>
          <w:u w:val="single"/>
          <w:lang w:val="en-US"/>
        </w:rPr>
        <w:t>omments</w:t>
      </w:r>
    </w:p>
    <w:p w:rsidR="003B21E0" w:rsidRPr="00635A0B" w:rsidRDefault="003B21E0" w:rsidP="00501E6D">
      <w:pPr>
        <w:pBdr>
          <w:top w:val="single" w:sz="4" w:space="1" w:color="auto"/>
          <w:left w:val="single" w:sz="4" w:space="4" w:color="auto"/>
          <w:bottom w:val="single" w:sz="4" w:space="1" w:color="auto"/>
          <w:right w:val="single" w:sz="4" w:space="4" w:color="auto"/>
        </w:pBdr>
        <w:spacing w:line="240" w:lineRule="auto"/>
        <w:rPr>
          <w:i/>
          <w:iCs/>
          <w:lang w:val="en-US"/>
        </w:rPr>
      </w:pPr>
      <w:r w:rsidRPr="00A64AC6">
        <w:rPr>
          <w:i/>
          <w:iCs/>
          <w:lang w:val="en-US"/>
        </w:rPr>
        <w:t xml:space="preserve">Local laboratories should ensure proper calibration of the equipment used, especially the flow cytometers, as well as their stability over the time, using validated </w:t>
      </w:r>
      <w:r w:rsidRPr="00A64AC6">
        <w:rPr>
          <w:bCs/>
          <w:i/>
          <w:iCs/>
          <w:lang w:val="en-US"/>
        </w:rPr>
        <w:t>Standard</w:t>
      </w:r>
      <w:r w:rsidRPr="00A64AC6">
        <w:rPr>
          <w:i/>
          <w:iCs/>
          <w:lang w:val="en-US"/>
        </w:rPr>
        <w:t xml:space="preserve"> Operating Procedures (SOAPs), performing appropriate internal quality controls (IQC) and participating in external quality control / </w:t>
      </w:r>
      <w:r w:rsidRPr="00A64AC6">
        <w:rPr>
          <w:rFonts w:cs="Arial"/>
          <w:i/>
          <w:iCs/>
          <w:color w:val="545454"/>
          <w:sz w:val="21"/>
          <w:szCs w:val="21"/>
          <w:shd w:val="clear" w:color="auto" w:fill="FFFFFF"/>
          <w:lang w:val="en-US"/>
        </w:rPr>
        <w:t>assessment</w:t>
      </w:r>
      <w:r w:rsidRPr="00A64AC6">
        <w:rPr>
          <w:i/>
          <w:iCs/>
          <w:lang w:val="en-US"/>
        </w:rPr>
        <w:t xml:space="preserve"> programs (EQC). We recommend to use the SOAPs for instrument setup developed by </w:t>
      </w:r>
      <w:proofErr w:type="spellStart"/>
      <w:r w:rsidRPr="00A64AC6">
        <w:rPr>
          <w:i/>
          <w:iCs/>
          <w:lang w:val="en-US"/>
        </w:rPr>
        <w:t>Euroflow</w:t>
      </w:r>
      <w:proofErr w:type="spellEnd"/>
      <w:r w:rsidRPr="00A64AC6">
        <w:rPr>
          <w:i/>
          <w:iCs/>
          <w:lang w:val="en-US"/>
        </w:rPr>
        <w:t xml:space="preserve"> (</w:t>
      </w:r>
      <w:proofErr w:type="spellStart"/>
      <w:r w:rsidR="00645180">
        <w:fldChar w:fldCharType="begin"/>
      </w:r>
      <w:r w:rsidR="00645180" w:rsidRPr="00A50434">
        <w:rPr>
          <w:lang w:val="en-US"/>
        </w:rPr>
        <w:instrText xml:space="preserve"> HYPERLINK "https://www.ncbi.nlm.nih.gov/pubmed/?term=22948490" </w:instrText>
      </w:r>
      <w:r w:rsidR="00645180">
        <w:fldChar w:fldCharType="separate"/>
      </w:r>
      <w:r w:rsidRPr="00A64AC6">
        <w:rPr>
          <w:rStyle w:val="Hiperligao"/>
          <w:i/>
          <w:iCs/>
          <w:lang w:val="en-US"/>
        </w:rPr>
        <w:t>Kalina</w:t>
      </w:r>
      <w:proofErr w:type="spellEnd"/>
      <w:r w:rsidRPr="00A64AC6">
        <w:rPr>
          <w:rStyle w:val="Hiperligao"/>
          <w:i/>
          <w:iCs/>
          <w:lang w:val="en-US"/>
        </w:rPr>
        <w:t xml:space="preserve"> T, 2012</w:t>
      </w:r>
      <w:r w:rsidR="00645180">
        <w:rPr>
          <w:rStyle w:val="Hiperligao"/>
          <w:i/>
          <w:iCs/>
          <w:lang w:val="en-US"/>
        </w:rPr>
        <w:fldChar w:fldCharType="end"/>
      </w:r>
      <w:r w:rsidRPr="00A64AC6">
        <w:rPr>
          <w:i/>
          <w:iCs/>
          <w:lang w:val="en-US"/>
        </w:rPr>
        <w:t xml:space="preserve">), which are fully standardized and have been validated across different Beckman Coulter and Becton Dickinson platforms, allowing for comparable fluorescence measurements for at least three flow cytometers (Navios, </w:t>
      </w:r>
      <w:proofErr w:type="spellStart"/>
      <w:r w:rsidRPr="00A64AC6">
        <w:rPr>
          <w:i/>
          <w:iCs/>
          <w:lang w:val="en-US"/>
        </w:rPr>
        <w:t>FACSCanto</w:t>
      </w:r>
      <w:proofErr w:type="spellEnd"/>
      <w:r w:rsidRPr="00A64AC6">
        <w:rPr>
          <w:i/>
          <w:iCs/>
          <w:lang w:val="en-US"/>
        </w:rPr>
        <w:t xml:space="preserve"> II and </w:t>
      </w:r>
      <w:proofErr w:type="spellStart"/>
      <w:r w:rsidRPr="00A64AC6">
        <w:rPr>
          <w:i/>
          <w:iCs/>
          <w:lang w:val="en-US"/>
        </w:rPr>
        <w:t>FACSLyric</w:t>
      </w:r>
      <w:proofErr w:type="spellEnd"/>
      <w:r w:rsidRPr="00A64AC6">
        <w:rPr>
          <w:i/>
          <w:iCs/>
          <w:lang w:val="en-US"/>
        </w:rPr>
        <w:t>) and enabling cross-platform inter- and intra-laboratory standardization (</w:t>
      </w:r>
      <w:proofErr w:type="spellStart"/>
      <w:r w:rsidR="00645180">
        <w:fldChar w:fldCharType="begin"/>
      </w:r>
      <w:r w:rsidR="00645180" w:rsidRPr="00A50434">
        <w:rPr>
          <w:lang w:val="en-US"/>
        </w:rPr>
        <w:instrText xml:space="preserve"> HYPERLINK "https://www.ncbi.nlm.nih.gov/pubmed/?term=31655051" </w:instrText>
      </w:r>
      <w:r w:rsidR="00645180">
        <w:fldChar w:fldCharType="separate"/>
      </w:r>
      <w:r w:rsidRPr="00A64AC6">
        <w:rPr>
          <w:rStyle w:val="Hiperligao"/>
          <w:i/>
          <w:iCs/>
          <w:lang w:val="en-US"/>
        </w:rPr>
        <w:t>Glier</w:t>
      </w:r>
      <w:proofErr w:type="spellEnd"/>
      <w:r w:rsidRPr="00A64AC6">
        <w:rPr>
          <w:rStyle w:val="Hiperligao"/>
          <w:i/>
          <w:iCs/>
          <w:lang w:val="en-US"/>
        </w:rPr>
        <w:t xml:space="preserve"> H, 2019</w:t>
      </w:r>
      <w:r w:rsidR="00645180">
        <w:rPr>
          <w:rStyle w:val="Hiperligao"/>
          <w:i/>
          <w:iCs/>
          <w:lang w:val="en-US"/>
        </w:rPr>
        <w:fldChar w:fldCharType="end"/>
      </w:r>
      <w:r w:rsidRPr="00A64AC6">
        <w:rPr>
          <w:i/>
          <w:iCs/>
          <w:lang w:val="en-US"/>
        </w:rPr>
        <w:t xml:space="preserve">). Taking in consideration that external Quality Assurance (QA) programs specific for platelet studies are not yet available, we suggest the participation in the </w:t>
      </w:r>
      <w:proofErr w:type="spellStart"/>
      <w:r w:rsidRPr="00A64AC6">
        <w:rPr>
          <w:i/>
          <w:iCs/>
          <w:lang w:val="en-US"/>
        </w:rPr>
        <w:t>Euroflow</w:t>
      </w:r>
      <w:proofErr w:type="spellEnd"/>
      <w:r w:rsidRPr="00A64AC6">
        <w:rPr>
          <w:i/>
          <w:iCs/>
          <w:lang w:val="en-US"/>
        </w:rPr>
        <w:t>-QA program (</w:t>
      </w:r>
      <w:proofErr w:type="spellStart"/>
      <w:r w:rsidR="00645180">
        <w:fldChar w:fldCharType="begin"/>
      </w:r>
      <w:r w:rsidR="00645180" w:rsidRPr="00A50434">
        <w:rPr>
          <w:lang w:val="en-US"/>
        </w:rPr>
        <w:instrText xml:space="preserve"> HYPERLINK "https://www.ncbi.nlm.nih.gov/pubmed/?term=25345353" </w:instrText>
      </w:r>
      <w:r w:rsidR="00645180">
        <w:fldChar w:fldCharType="separate"/>
      </w:r>
      <w:r w:rsidRPr="00A64AC6">
        <w:rPr>
          <w:rStyle w:val="Hiperligao"/>
          <w:i/>
          <w:iCs/>
          <w:lang w:val="en-US"/>
        </w:rPr>
        <w:t>Kalina</w:t>
      </w:r>
      <w:proofErr w:type="spellEnd"/>
      <w:r w:rsidRPr="00A64AC6">
        <w:rPr>
          <w:rStyle w:val="Hiperligao"/>
          <w:i/>
          <w:iCs/>
          <w:lang w:val="en-US"/>
        </w:rPr>
        <w:t xml:space="preserve"> T, 2012</w:t>
      </w:r>
      <w:r w:rsidR="00645180">
        <w:rPr>
          <w:rStyle w:val="Hiperligao"/>
          <w:i/>
          <w:iCs/>
          <w:lang w:val="en-US"/>
        </w:rPr>
        <w:fldChar w:fldCharType="end"/>
      </w:r>
      <w:r w:rsidRPr="00A64AC6">
        <w:rPr>
          <w:i/>
          <w:iCs/>
          <w:lang w:val="en-US"/>
        </w:rPr>
        <w:t>).</w:t>
      </w:r>
    </w:p>
    <w:p w:rsidR="0050485A" w:rsidRPr="00702ACD" w:rsidRDefault="00F84CD8" w:rsidP="00247B90">
      <w:pPr>
        <w:pStyle w:val="Ttulo3"/>
        <w:rPr>
          <w:lang w:val="en-GB"/>
        </w:rPr>
      </w:pPr>
      <w:r w:rsidRPr="00702ACD">
        <w:rPr>
          <w:lang w:val="en-GB"/>
        </w:rPr>
        <w:lastRenderedPageBreak/>
        <w:t xml:space="preserve">S1 </w:t>
      </w:r>
      <w:r w:rsidRPr="00702ACD">
        <w:rPr>
          <w:rFonts w:cs="Arial"/>
          <w:lang w:val="en-GB"/>
        </w:rPr>
        <w:t>|</w:t>
      </w:r>
      <w:r w:rsidRPr="00702ACD">
        <w:rPr>
          <w:lang w:val="en-GB"/>
        </w:rPr>
        <w:t xml:space="preserve"> PROTOCOL 1: </w:t>
      </w:r>
      <w:r w:rsidR="00FC5CD0" w:rsidRPr="00702ACD">
        <w:rPr>
          <w:lang w:val="en-GB"/>
        </w:rPr>
        <w:t>FLOW CYTOMETRY PROTOCOL FOR PLATELET GLYCOPROTEIN EVALUATION</w:t>
      </w:r>
    </w:p>
    <w:p w:rsidR="006407A4" w:rsidRPr="00702ACD" w:rsidRDefault="006407A4" w:rsidP="00247B90">
      <w:pPr>
        <w:pStyle w:val="Ttulo4"/>
        <w:rPr>
          <w:lang w:val="en-US"/>
        </w:rPr>
      </w:pPr>
      <w:r w:rsidRPr="00702ACD">
        <w:rPr>
          <w:lang w:val="en-US"/>
        </w:rPr>
        <w:t>Brief explanation</w:t>
      </w:r>
    </w:p>
    <w:p w:rsidR="002E4692" w:rsidRPr="00702ACD" w:rsidRDefault="006407A4" w:rsidP="006407A4">
      <w:pPr>
        <w:rPr>
          <w:color w:val="000000" w:themeColor="text1"/>
          <w:lang w:val="en-US"/>
        </w:rPr>
      </w:pPr>
      <w:r w:rsidRPr="00702ACD">
        <w:rPr>
          <w:lang w:val="en-US"/>
        </w:rPr>
        <w:t xml:space="preserve">Surface expression of </w:t>
      </w:r>
      <w:bookmarkStart w:id="3" w:name="_Hlk21805723"/>
      <w:r w:rsidR="008754D7" w:rsidRPr="00702ACD">
        <w:rPr>
          <w:lang w:val="en-US"/>
        </w:rPr>
        <w:t>platelet (</w:t>
      </w:r>
      <w:r w:rsidRPr="00702ACD">
        <w:rPr>
          <w:lang w:val="en-US"/>
        </w:rPr>
        <w:t>PLT</w:t>
      </w:r>
      <w:r w:rsidR="008754D7" w:rsidRPr="00702ACD">
        <w:rPr>
          <w:lang w:val="en-US"/>
        </w:rPr>
        <w:t>)</w:t>
      </w:r>
      <w:r w:rsidRPr="00702ACD">
        <w:rPr>
          <w:lang w:val="en-US"/>
        </w:rPr>
        <w:t xml:space="preserve"> glycoproteins</w:t>
      </w:r>
      <w:bookmarkEnd w:id="3"/>
      <w:r w:rsidRPr="00702ACD">
        <w:rPr>
          <w:lang w:val="en-US"/>
        </w:rPr>
        <w:t xml:space="preserve"> is measured in whole </w:t>
      </w:r>
      <w:r w:rsidR="008754D7" w:rsidRPr="00702ACD">
        <w:rPr>
          <w:lang w:val="en-US"/>
        </w:rPr>
        <w:t>peripheral blood (</w:t>
      </w:r>
      <w:r w:rsidRPr="00702ACD">
        <w:rPr>
          <w:lang w:val="en-US"/>
        </w:rPr>
        <w:t>PB</w:t>
      </w:r>
      <w:r w:rsidR="008754D7" w:rsidRPr="00702ACD">
        <w:rPr>
          <w:lang w:val="en-US"/>
        </w:rPr>
        <w:t>)</w:t>
      </w:r>
      <w:r w:rsidRPr="00702ACD">
        <w:rPr>
          <w:lang w:val="en-US"/>
        </w:rPr>
        <w:t xml:space="preserve"> by </w:t>
      </w:r>
      <w:r w:rsidR="008754D7" w:rsidRPr="00702ACD">
        <w:rPr>
          <w:lang w:val="en-US"/>
        </w:rPr>
        <w:t>flow cytometry (</w:t>
      </w:r>
      <w:r w:rsidRPr="00702ACD">
        <w:rPr>
          <w:lang w:val="en-US"/>
        </w:rPr>
        <w:t>FCM</w:t>
      </w:r>
      <w:r w:rsidR="008754D7" w:rsidRPr="00702ACD">
        <w:rPr>
          <w:lang w:val="en-US"/>
        </w:rPr>
        <w:t>)</w:t>
      </w:r>
      <w:r w:rsidRPr="00702ACD">
        <w:rPr>
          <w:color w:val="000000" w:themeColor="text1"/>
          <w:lang w:val="en-US"/>
        </w:rPr>
        <w:t xml:space="preserve">. </w:t>
      </w:r>
    </w:p>
    <w:p w:rsidR="006407A4" w:rsidRPr="00702ACD" w:rsidRDefault="008754D7" w:rsidP="006407A4">
      <w:pPr>
        <w:rPr>
          <w:lang w:val="en-US"/>
        </w:rPr>
      </w:pPr>
      <w:r w:rsidRPr="00702ACD">
        <w:rPr>
          <w:lang w:val="en-US"/>
        </w:rPr>
        <w:t>At least three (ideally f</w:t>
      </w:r>
      <w:r w:rsidR="006407A4" w:rsidRPr="00702ACD">
        <w:rPr>
          <w:lang w:val="en-US"/>
        </w:rPr>
        <w:t>our</w:t>
      </w:r>
      <w:r w:rsidRPr="00702ACD">
        <w:rPr>
          <w:lang w:val="en-US"/>
        </w:rPr>
        <w:t>)</w:t>
      </w:r>
      <w:r w:rsidR="006407A4" w:rsidRPr="00702ACD">
        <w:rPr>
          <w:lang w:val="en-US"/>
        </w:rPr>
        <w:t xml:space="preserve"> </w:t>
      </w:r>
      <w:r w:rsidR="000A04AA" w:rsidRPr="00702ACD">
        <w:rPr>
          <w:lang w:val="en-US"/>
        </w:rPr>
        <w:t>PB</w:t>
      </w:r>
      <w:r w:rsidR="006407A4" w:rsidRPr="00702ACD">
        <w:rPr>
          <w:lang w:val="en-US"/>
        </w:rPr>
        <w:t xml:space="preserve"> samples obtained from healthy individuals (blood donors) are studied daily, in parallel with patient</w:t>
      </w:r>
      <w:r w:rsidRPr="00702ACD">
        <w:rPr>
          <w:lang w:val="en-US"/>
        </w:rPr>
        <w:t xml:space="preserve">s´ </w:t>
      </w:r>
      <w:r w:rsidR="006407A4" w:rsidRPr="00702ACD">
        <w:rPr>
          <w:lang w:val="en-US"/>
        </w:rPr>
        <w:t>samples, as normal controls.</w:t>
      </w:r>
    </w:p>
    <w:p w:rsidR="002E4692" w:rsidRPr="00702ACD" w:rsidRDefault="002E4692" w:rsidP="00247B90">
      <w:pPr>
        <w:pStyle w:val="Ttulo4"/>
        <w:rPr>
          <w:lang w:val="en-US"/>
        </w:rPr>
      </w:pPr>
      <w:r w:rsidRPr="00702ACD">
        <w:rPr>
          <w:lang w:val="en-US"/>
        </w:rPr>
        <w:t>Duration</w:t>
      </w:r>
    </w:p>
    <w:p w:rsidR="002E4692" w:rsidRPr="00702ACD" w:rsidRDefault="002E4692" w:rsidP="002E4692">
      <w:pPr>
        <w:rPr>
          <w:lang w:val="en-US"/>
        </w:rPr>
      </w:pPr>
      <w:r w:rsidRPr="00702ACD">
        <w:rPr>
          <w:lang w:val="en-US"/>
        </w:rPr>
        <w:t>Approximately 30 minutes.</w:t>
      </w:r>
    </w:p>
    <w:p w:rsidR="00A66065" w:rsidRPr="00702ACD" w:rsidRDefault="00A66065" w:rsidP="00247B90">
      <w:pPr>
        <w:pStyle w:val="Ttulo4"/>
        <w:rPr>
          <w:lang w:val="en-US"/>
        </w:rPr>
      </w:pPr>
      <w:r w:rsidRPr="00702ACD">
        <w:rPr>
          <w:lang w:val="en-US"/>
        </w:rPr>
        <w:t>Temperature</w:t>
      </w:r>
    </w:p>
    <w:p w:rsidR="00A66065" w:rsidRPr="00702ACD" w:rsidRDefault="00A66065" w:rsidP="00A66065">
      <w:pPr>
        <w:jc w:val="left"/>
        <w:rPr>
          <w:lang w:val="en-US"/>
        </w:rPr>
      </w:pPr>
      <w:r w:rsidRPr="00702ACD">
        <w:rPr>
          <w:lang w:val="en-US"/>
        </w:rPr>
        <w:t>Reagents and samples should be kept at room temperature when in use and samples should be processed at room temperature (approximately 22ºC).</w:t>
      </w:r>
    </w:p>
    <w:p w:rsidR="00A66065" w:rsidRPr="00702ACD" w:rsidRDefault="00A66065" w:rsidP="00247B90">
      <w:pPr>
        <w:pStyle w:val="Ttulo4"/>
        <w:rPr>
          <w:lang w:val="en-US"/>
        </w:rPr>
      </w:pPr>
      <w:r w:rsidRPr="00702ACD">
        <w:rPr>
          <w:lang w:val="en-US"/>
        </w:rPr>
        <w:t>Peripheral blood samples</w:t>
      </w:r>
    </w:p>
    <w:p w:rsidR="00A66065" w:rsidRPr="00702ACD" w:rsidRDefault="00A66065" w:rsidP="00A66065">
      <w:pPr>
        <w:pStyle w:val="PargrafodaLista"/>
        <w:numPr>
          <w:ilvl w:val="0"/>
          <w:numId w:val="16"/>
        </w:numPr>
        <w:rPr>
          <w:lang w:val="en-US"/>
        </w:rPr>
      </w:pPr>
      <w:r w:rsidRPr="00702ACD">
        <w:rPr>
          <w:lang w:val="en-US"/>
        </w:rPr>
        <w:t>PB samples collected into sodium citrate containing tubes</w:t>
      </w:r>
      <w:r w:rsidR="008446D0" w:rsidRPr="00702ACD">
        <w:rPr>
          <w:lang w:val="en-US"/>
        </w:rPr>
        <w:t>.</w:t>
      </w:r>
    </w:p>
    <w:p w:rsidR="00A66065" w:rsidRPr="00702ACD" w:rsidRDefault="00A66065" w:rsidP="00A66065">
      <w:pPr>
        <w:pStyle w:val="PargrafodaLista"/>
        <w:numPr>
          <w:ilvl w:val="1"/>
          <w:numId w:val="16"/>
        </w:numPr>
        <w:rPr>
          <w:lang w:val="en-US"/>
        </w:rPr>
      </w:pPr>
      <w:r w:rsidRPr="00702ACD">
        <w:rPr>
          <w:lang w:val="en-US"/>
        </w:rPr>
        <w:t>Peripheral blood (PB) sample from the patient</w:t>
      </w:r>
      <w:r w:rsidR="008446D0" w:rsidRPr="00702ACD">
        <w:rPr>
          <w:lang w:val="en-US"/>
        </w:rPr>
        <w:t>.</w:t>
      </w:r>
    </w:p>
    <w:p w:rsidR="00A66065" w:rsidRPr="00702ACD" w:rsidRDefault="00A66065" w:rsidP="00A66065">
      <w:pPr>
        <w:pStyle w:val="PargrafodaLista"/>
        <w:numPr>
          <w:ilvl w:val="1"/>
          <w:numId w:val="16"/>
        </w:numPr>
        <w:rPr>
          <w:lang w:val="en-US"/>
        </w:rPr>
      </w:pPr>
      <w:r w:rsidRPr="00702ACD">
        <w:rPr>
          <w:lang w:val="en-US"/>
        </w:rPr>
        <w:t xml:space="preserve">PB samples from </w:t>
      </w:r>
      <w:r w:rsidR="008754D7" w:rsidRPr="00702ACD">
        <w:rPr>
          <w:lang w:val="en-US"/>
        </w:rPr>
        <w:t xml:space="preserve">at least </w:t>
      </w:r>
      <w:r w:rsidRPr="00702ACD">
        <w:rPr>
          <w:lang w:val="en-US"/>
        </w:rPr>
        <w:t xml:space="preserve">3 </w:t>
      </w:r>
      <w:r w:rsidR="008754D7" w:rsidRPr="00702ACD">
        <w:rPr>
          <w:lang w:val="en-US"/>
        </w:rPr>
        <w:t xml:space="preserve">(ideally 4) </w:t>
      </w:r>
      <w:r w:rsidRPr="00702ACD">
        <w:rPr>
          <w:lang w:val="en-US"/>
        </w:rPr>
        <w:t>healthy controls to be processed in parallel</w:t>
      </w:r>
      <w:r w:rsidR="008446D0" w:rsidRPr="00702ACD">
        <w:rPr>
          <w:lang w:val="en-US"/>
        </w:rPr>
        <w:t>.</w:t>
      </w:r>
    </w:p>
    <w:p w:rsidR="00A66065" w:rsidRPr="00702ACD" w:rsidRDefault="00A66065" w:rsidP="00A66065">
      <w:pPr>
        <w:pStyle w:val="PargrafodaLista"/>
        <w:numPr>
          <w:ilvl w:val="0"/>
          <w:numId w:val="16"/>
        </w:numPr>
        <w:rPr>
          <w:lang w:val="en-US"/>
        </w:rPr>
      </w:pPr>
      <w:r w:rsidRPr="00702ACD">
        <w:rPr>
          <w:lang w:val="en-US"/>
        </w:rPr>
        <w:t>Leave the PB samples resting for 60 minutes at room temperature after collection until study begins.</w:t>
      </w:r>
    </w:p>
    <w:p w:rsidR="006407A4" w:rsidRPr="00702ACD" w:rsidRDefault="006407A4" w:rsidP="00247B90">
      <w:pPr>
        <w:pStyle w:val="Ttulo4"/>
        <w:rPr>
          <w:lang w:val="en-US"/>
        </w:rPr>
      </w:pPr>
      <w:r w:rsidRPr="00702ACD">
        <w:rPr>
          <w:lang w:val="en-US"/>
        </w:rPr>
        <w:t>Reagents</w:t>
      </w:r>
    </w:p>
    <w:p w:rsidR="006407A4" w:rsidRPr="00702ACD" w:rsidRDefault="006407A4" w:rsidP="00247B90">
      <w:pPr>
        <w:pStyle w:val="Ttulo5"/>
        <w:rPr>
          <w:lang w:val="en-US"/>
        </w:rPr>
      </w:pPr>
      <w:r w:rsidRPr="00702ACD">
        <w:rPr>
          <w:lang w:val="en-US"/>
        </w:rPr>
        <w:t>Monoclonal antibodies (mAbs)</w:t>
      </w:r>
    </w:p>
    <w:p w:rsidR="006407A4" w:rsidRDefault="006407A4" w:rsidP="006407A4">
      <w:pPr>
        <w:rPr>
          <w:lang w:val="en-US"/>
        </w:rPr>
      </w:pPr>
      <w:r w:rsidRPr="00702ACD">
        <w:rPr>
          <w:color w:val="000000" w:themeColor="text1"/>
          <w:lang w:val="en-US"/>
        </w:rPr>
        <w:t xml:space="preserve">PLT staining is performed using fluorescein </w:t>
      </w:r>
      <w:r w:rsidRPr="00702ACD">
        <w:rPr>
          <w:lang w:val="en-US"/>
        </w:rPr>
        <w:t xml:space="preserve">isothiocyanate (FITC) and phycoerythrin (PE) -conjugated mouse anti-human mAbs from </w:t>
      </w:r>
      <w:r w:rsidR="008446D0" w:rsidRPr="00702ACD">
        <w:rPr>
          <w:lang w:val="en-US"/>
        </w:rPr>
        <w:t xml:space="preserve">Beckman Coulter (BC, Hialeah, FL, USA) – Immunotech (IOT), </w:t>
      </w:r>
      <w:r w:rsidRPr="00702ACD">
        <w:rPr>
          <w:lang w:val="en-US"/>
        </w:rPr>
        <w:t>Becton Dickinson (BD, San Jose, CA, USA)</w:t>
      </w:r>
      <w:r w:rsidR="008446D0" w:rsidRPr="00702ACD">
        <w:rPr>
          <w:lang w:val="en-US"/>
        </w:rPr>
        <w:t xml:space="preserve"> and</w:t>
      </w:r>
      <w:r w:rsidRPr="00702ACD">
        <w:rPr>
          <w:lang w:val="en-US"/>
        </w:rPr>
        <w:t xml:space="preserve"> from </w:t>
      </w:r>
      <w:proofErr w:type="spellStart"/>
      <w:r w:rsidRPr="00702ACD">
        <w:rPr>
          <w:lang w:val="en-US"/>
        </w:rPr>
        <w:t>Dako</w:t>
      </w:r>
      <w:proofErr w:type="spellEnd"/>
      <w:r w:rsidRPr="00702ACD">
        <w:rPr>
          <w:lang w:val="en-US"/>
        </w:rPr>
        <w:t xml:space="preserve"> (DK, </w:t>
      </w:r>
      <w:proofErr w:type="spellStart"/>
      <w:r w:rsidRPr="00702ACD">
        <w:rPr>
          <w:lang w:val="en-US"/>
        </w:rPr>
        <w:t>Glostrup</w:t>
      </w:r>
      <w:proofErr w:type="spellEnd"/>
      <w:r w:rsidRPr="00702ACD">
        <w:rPr>
          <w:lang w:val="en-US"/>
        </w:rPr>
        <w:t>, Denmark), whose catalogue numbers (Ref.) are indicated</w:t>
      </w:r>
      <w:r>
        <w:rPr>
          <w:lang w:val="en-US"/>
        </w:rPr>
        <w:t xml:space="preserve"> below.</w:t>
      </w:r>
    </w:p>
    <w:p w:rsidR="008754D7" w:rsidRPr="0083261C" w:rsidRDefault="008754D7" w:rsidP="008754D7">
      <w:pPr>
        <w:pStyle w:val="PargrafodaLista"/>
        <w:numPr>
          <w:ilvl w:val="0"/>
          <w:numId w:val="17"/>
        </w:numPr>
        <w:rPr>
          <w:bCs/>
          <w:lang w:val="en-US"/>
        </w:rPr>
      </w:pPr>
      <w:r w:rsidRPr="0083261C">
        <w:rPr>
          <w:lang w:val="en-US"/>
        </w:rPr>
        <w:t>PE-conjugated mouse anti-human CD42b (GPIb) (clone AN51</w:t>
      </w:r>
      <w:r>
        <w:rPr>
          <w:lang w:val="en-US"/>
        </w:rPr>
        <w:t xml:space="preserve">; </w:t>
      </w:r>
      <w:r w:rsidRPr="0083261C">
        <w:rPr>
          <w:lang w:val="en-US"/>
        </w:rPr>
        <w:t>D</w:t>
      </w:r>
      <w:r>
        <w:rPr>
          <w:lang w:val="en-US"/>
        </w:rPr>
        <w:t>K, Ref.</w:t>
      </w:r>
      <w:r w:rsidRPr="0083261C">
        <w:rPr>
          <w:lang w:val="en-US"/>
        </w:rPr>
        <w:t xml:space="preserve"> R7014)</w:t>
      </w:r>
    </w:p>
    <w:p w:rsidR="008754D7" w:rsidRPr="00C316CF" w:rsidRDefault="008754D7" w:rsidP="008754D7">
      <w:pPr>
        <w:pStyle w:val="PargrafodaLista"/>
        <w:numPr>
          <w:ilvl w:val="0"/>
          <w:numId w:val="17"/>
        </w:numPr>
        <w:rPr>
          <w:bCs/>
          <w:lang w:val="en-US"/>
        </w:rPr>
      </w:pPr>
      <w:r w:rsidRPr="00C316CF">
        <w:rPr>
          <w:lang w:val="en-US"/>
        </w:rPr>
        <w:t>FITC-conjugated mouse anti-human CD41a (GPIIbIIIa) (clone HIP8</w:t>
      </w:r>
      <w:r>
        <w:rPr>
          <w:lang w:val="en-US"/>
        </w:rPr>
        <w:t xml:space="preserve">; BD, </w:t>
      </w:r>
      <w:r w:rsidRPr="00C316CF">
        <w:rPr>
          <w:lang w:val="en-US"/>
        </w:rPr>
        <w:t>Ref. 333147)</w:t>
      </w:r>
    </w:p>
    <w:p w:rsidR="008754D7" w:rsidRPr="000121BA" w:rsidRDefault="008754D7" w:rsidP="008754D7">
      <w:pPr>
        <w:pStyle w:val="PargrafodaLista"/>
        <w:numPr>
          <w:ilvl w:val="0"/>
          <w:numId w:val="17"/>
        </w:numPr>
        <w:rPr>
          <w:bCs/>
          <w:lang w:val="en-US"/>
        </w:rPr>
      </w:pPr>
      <w:r w:rsidRPr="0091685D">
        <w:rPr>
          <w:lang w:val="en-US"/>
        </w:rPr>
        <w:t>FITC-conjugate</w:t>
      </w:r>
      <w:r>
        <w:rPr>
          <w:lang w:val="en-US"/>
        </w:rPr>
        <w:t xml:space="preserve">d </w:t>
      </w:r>
      <w:r w:rsidRPr="0091685D">
        <w:rPr>
          <w:lang w:val="en-US"/>
        </w:rPr>
        <w:t>mouse anti-human CD61 (</w:t>
      </w:r>
      <w:r>
        <w:rPr>
          <w:lang w:val="en-US"/>
        </w:rPr>
        <w:t>GPIIIa</w:t>
      </w:r>
      <w:r w:rsidRPr="0091685D">
        <w:rPr>
          <w:lang w:val="en-US"/>
        </w:rPr>
        <w:t>) (clone RUU-PL7F12</w:t>
      </w:r>
      <w:r>
        <w:rPr>
          <w:lang w:val="en-US"/>
        </w:rPr>
        <w:t xml:space="preserve">; BD, Ref. </w:t>
      </w:r>
      <w:r w:rsidRPr="009039D0">
        <w:rPr>
          <w:lang w:val="en-US"/>
        </w:rPr>
        <w:t>347407</w:t>
      </w:r>
      <w:r>
        <w:rPr>
          <w:lang w:val="en-US"/>
        </w:rPr>
        <w:t>)</w:t>
      </w:r>
      <w:r w:rsidRPr="0083261C">
        <w:rPr>
          <w:lang w:val="en-US"/>
        </w:rPr>
        <w:t xml:space="preserve"> </w:t>
      </w:r>
    </w:p>
    <w:p w:rsidR="008754D7" w:rsidRPr="00546C32" w:rsidRDefault="008754D7" w:rsidP="008754D7">
      <w:pPr>
        <w:pStyle w:val="PargrafodaLista"/>
        <w:numPr>
          <w:ilvl w:val="0"/>
          <w:numId w:val="17"/>
        </w:numPr>
        <w:rPr>
          <w:bCs/>
          <w:lang w:val="en-US"/>
        </w:rPr>
      </w:pPr>
      <w:r>
        <w:rPr>
          <w:lang w:val="en-US"/>
        </w:rPr>
        <w:t>PE</w:t>
      </w:r>
      <w:r w:rsidRPr="00546C32">
        <w:rPr>
          <w:lang w:val="en-US"/>
        </w:rPr>
        <w:t xml:space="preserve">-conjugated mouse anti-human CD62P (P-Selectin) (clone </w:t>
      </w:r>
      <w:proofErr w:type="spellStart"/>
      <w:r w:rsidRPr="00546C32">
        <w:rPr>
          <w:lang w:val="en-US"/>
        </w:rPr>
        <w:t>CLBThromb</w:t>
      </w:r>
      <w:proofErr w:type="spellEnd"/>
      <w:r w:rsidRPr="00546C32">
        <w:rPr>
          <w:lang w:val="en-US"/>
        </w:rPr>
        <w:t>/6; BC</w:t>
      </w:r>
      <w:r w:rsidR="008446D0">
        <w:rPr>
          <w:lang w:val="en-US"/>
        </w:rPr>
        <w:t>-IOT</w:t>
      </w:r>
      <w:r w:rsidRPr="00546C32">
        <w:rPr>
          <w:lang w:val="en-US"/>
        </w:rPr>
        <w:t>, Ref. IM1759)</w:t>
      </w:r>
    </w:p>
    <w:p w:rsidR="007B0EF5" w:rsidRPr="007B0EF5" w:rsidRDefault="007B0EF5" w:rsidP="006407A4">
      <w:pPr>
        <w:pBdr>
          <w:top w:val="single" w:sz="4" w:space="1" w:color="auto"/>
          <w:left w:val="single" w:sz="4" w:space="4" w:color="auto"/>
          <w:bottom w:val="single" w:sz="4" w:space="1" w:color="auto"/>
          <w:right w:val="single" w:sz="4" w:space="4" w:color="auto"/>
        </w:pBdr>
        <w:spacing w:line="240" w:lineRule="auto"/>
        <w:rPr>
          <w:i/>
          <w:iCs/>
          <w:u w:val="single"/>
          <w:lang w:val="en-US"/>
        </w:rPr>
      </w:pPr>
      <w:r w:rsidRPr="007B0EF5">
        <w:rPr>
          <w:i/>
          <w:iCs/>
          <w:u w:val="single"/>
          <w:lang w:val="en-US"/>
        </w:rPr>
        <w:t>Comments</w:t>
      </w:r>
    </w:p>
    <w:p w:rsidR="006407A4" w:rsidRDefault="006407A4" w:rsidP="006407A4">
      <w:pPr>
        <w:pBdr>
          <w:top w:val="single" w:sz="4" w:space="1" w:color="auto"/>
          <w:left w:val="single" w:sz="4" w:space="4" w:color="auto"/>
          <w:bottom w:val="single" w:sz="4" w:space="1" w:color="auto"/>
          <w:right w:val="single" w:sz="4" w:space="4" w:color="auto"/>
        </w:pBdr>
        <w:spacing w:line="240" w:lineRule="auto"/>
        <w:rPr>
          <w:i/>
          <w:iCs/>
          <w:lang w:val="en-US"/>
        </w:rPr>
      </w:pPr>
      <w:r w:rsidRPr="00635A0B">
        <w:rPr>
          <w:i/>
          <w:iCs/>
          <w:lang w:val="en-US"/>
        </w:rPr>
        <w:t xml:space="preserve">Anti-CD61 and anti-CD41a mAbs are specific for the proteins of the GPIIb/IIIa complex: anti-CD61 recognizes the GPIIIa, whereas anti-human CD41a recognizes the calcium dependent GPIIb/IIIa complex. Anti-CD42b is </w:t>
      </w:r>
      <w:r w:rsidRPr="007B43BE">
        <w:rPr>
          <w:i/>
          <w:iCs/>
          <w:lang w:val="en-US"/>
        </w:rPr>
        <w:t>specific for the GPIb glycoprotein. CD41a expression increases after PLT activation (</w:t>
      </w:r>
      <w:proofErr w:type="spellStart"/>
      <w:r w:rsidR="00645180">
        <w:fldChar w:fldCharType="begin"/>
      </w:r>
      <w:r w:rsidR="00645180" w:rsidRPr="00A50434">
        <w:rPr>
          <w:lang w:val="en-US"/>
        </w:rPr>
        <w:instrText xml:space="preserve"> HYPERLINK "https://www.ncbi.nlm.nih.gov/pubmed/?term=15894353" </w:instrText>
      </w:r>
      <w:r w:rsidR="00645180">
        <w:fldChar w:fldCharType="separate"/>
      </w:r>
      <w:r w:rsidRPr="007B43BE">
        <w:rPr>
          <w:rStyle w:val="Hiperligao"/>
          <w:i/>
          <w:iCs/>
          <w:lang w:val="en-US"/>
        </w:rPr>
        <w:t>Matzdorff</w:t>
      </w:r>
      <w:proofErr w:type="spellEnd"/>
      <w:r w:rsidRPr="007B43BE">
        <w:rPr>
          <w:rStyle w:val="Hiperligao"/>
          <w:i/>
          <w:iCs/>
          <w:lang w:val="en-US"/>
        </w:rPr>
        <w:t xml:space="preserve"> A, 2006</w:t>
      </w:r>
      <w:r w:rsidR="00645180">
        <w:rPr>
          <w:rStyle w:val="Hiperligao"/>
          <w:i/>
          <w:iCs/>
          <w:lang w:val="en-US"/>
        </w:rPr>
        <w:fldChar w:fldCharType="end"/>
      </w:r>
      <w:r w:rsidRPr="007B43BE">
        <w:rPr>
          <w:i/>
          <w:iCs/>
          <w:lang w:val="en-US"/>
        </w:rPr>
        <w:t>), an opposite effect being observed on the levels of CD42b (</w:t>
      </w:r>
      <w:hyperlink r:id="rId19" w:history="1">
        <w:r w:rsidRPr="007B43BE">
          <w:rPr>
            <w:rStyle w:val="Hiperligao"/>
            <w:i/>
            <w:iCs/>
            <w:lang w:val="en-US"/>
          </w:rPr>
          <w:t>Michelson AD, 1994</w:t>
        </w:r>
      </w:hyperlink>
      <w:r w:rsidRPr="007B43BE">
        <w:rPr>
          <w:i/>
          <w:iCs/>
          <w:lang w:val="en-US"/>
        </w:rPr>
        <w:t>).</w:t>
      </w:r>
    </w:p>
    <w:p w:rsidR="008754D7" w:rsidRPr="008754D7" w:rsidRDefault="008754D7" w:rsidP="008754D7">
      <w:pPr>
        <w:pBdr>
          <w:top w:val="single" w:sz="4" w:space="1" w:color="auto"/>
          <w:left w:val="single" w:sz="4" w:space="4" w:color="auto"/>
          <w:bottom w:val="single" w:sz="4" w:space="1" w:color="auto"/>
          <w:right w:val="single" w:sz="4" w:space="4" w:color="auto"/>
        </w:pBdr>
        <w:spacing w:line="240" w:lineRule="auto"/>
        <w:rPr>
          <w:i/>
          <w:iCs/>
          <w:lang w:val="en-US"/>
        </w:rPr>
      </w:pPr>
      <w:r w:rsidRPr="008754D7">
        <w:rPr>
          <w:i/>
          <w:iCs/>
          <w:lang w:val="en-US"/>
        </w:rPr>
        <w:t>Basal expression of P-Selectin (CD62P) is used to evaluate artefactual PLT activation due to sample collection, storage or processing.</w:t>
      </w:r>
    </w:p>
    <w:p w:rsidR="008754D7" w:rsidRPr="006D2EB1" w:rsidRDefault="008754D7" w:rsidP="008754D7">
      <w:pPr>
        <w:pBdr>
          <w:top w:val="single" w:sz="4" w:space="1" w:color="auto"/>
          <w:left w:val="single" w:sz="4" w:space="4" w:color="auto"/>
          <w:bottom w:val="single" w:sz="4" w:space="1" w:color="auto"/>
          <w:right w:val="single" w:sz="4" w:space="4" w:color="auto"/>
        </w:pBdr>
        <w:spacing w:line="240" w:lineRule="auto"/>
        <w:rPr>
          <w:i/>
          <w:iCs/>
          <w:lang w:val="en-US"/>
        </w:rPr>
      </w:pPr>
      <w:r w:rsidRPr="008754D7">
        <w:rPr>
          <w:i/>
          <w:iCs/>
          <w:lang w:val="en-US"/>
        </w:rPr>
        <w:t>Background staining is evaluated in both cases using FITC- and PE-conjugated isotype mAbs.</w:t>
      </w:r>
    </w:p>
    <w:p w:rsidR="006407A4" w:rsidRPr="00702ACD" w:rsidRDefault="006407A4" w:rsidP="000A04AA">
      <w:pPr>
        <w:pStyle w:val="Ttulo5"/>
        <w:spacing w:before="600"/>
        <w:rPr>
          <w:lang w:val="en-US"/>
        </w:rPr>
      </w:pPr>
      <w:r w:rsidRPr="00702ACD">
        <w:rPr>
          <w:lang w:val="en-US"/>
        </w:rPr>
        <w:lastRenderedPageBreak/>
        <w:t>Other reagents</w:t>
      </w:r>
    </w:p>
    <w:p w:rsidR="006407A4" w:rsidRPr="00702ACD" w:rsidRDefault="006407A4" w:rsidP="006407A4">
      <w:pPr>
        <w:pStyle w:val="PargrafodaLista"/>
        <w:numPr>
          <w:ilvl w:val="0"/>
          <w:numId w:val="25"/>
        </w:numPr>
        <w:rPr>
          <w:color w:val="000000" w:themeColor="text1"/>
          <w:lang w:val="en-US"/>
        </w:rPr>
      </w:pPr>
      <w:proofErr w:type="spellStart"/>
      <w:r w:rsidRPr="00702ACD">
        <w:rPr>
          <w:color w:val="000000" w:themeColor="text1"/>
        </w:rPr>
        <w:t>Bovine</w:t>
      </w:r>
      <w:proofErr w:type="spellEnd"/>
      <w:r w:rsidRPr="00702ACD">
        <w:rPr>
          <w:color w:val="000000" w:themeColor="text1"/>
        </w:rPr>
        <w:t xml:space="preserve"> </w:t>
      </w:r>
      <w:proofErr w:type="spellStart"/>
      <w:r w:rsidRPr="00702ACD">
        <w:rPr>
          <w:color w:val="000000" w:themeColor="text1"/>
        </w:rPr>
        <w:t>Serum</w:t>
      </w:r>
      <w:proofErr w:type="spellEnd"/>
      <w:r w:rsidRPr="00702ACD">
        <w:rPr>
          <w:color w:val="000000" w:themeColor="text1"/>
        </w:rPr>
        <w:t xml:space="preserve"> </w:t>
      </w:r>
      <w:proofErr w:type="spellStart"/>
      <w:r w:rsidRPr="00702ACD">
        <w:rPr>
          <w:color w:val="000000" w:themeColor="text1"/>
        </w:rPr>
        <w:t>Albumin</w:t>
      </w:r>
      <w:proofErr w:type="spellEnd"/>
      <w:r w:rsidRPr="00702ACD">
        <w:rPr>
          <w:color w:val="000000" w:themeColor="text1"/>
        </w:rPr>
        <w:t xml:space="preserve"> (BSA) (Sigma, </w:t>
      </w:r>
      <w:proofErr w:type="spellStart"/>
      <w:r w:rsidRPr="00702ACD">
        <w:rPr>
          <w:color w:val="000000" w:themeColor="text1"/>
        </w:rPr>
        <w:t>Ref</w:t>
      </w:r>
      <w:proofErr w:type="spellEnd"/>
      <w:r w:rsidRPr="00702ACD">
        <w:rPr>
          <w:color w:val="000000" w:themeColor="text1"/>
        </w:rPr>
        <w:t xml:space="preserve">. </w:t>
      </w:r>
      <w:r w:rsidRPr="00702ACD">
        <w:rPr>
          <w:color w:val="000000" w:themeColor="text1"/>
          <w:lang w:val="en-US"/>
        </w:rPr>
        <w:t>A3294-50G)</w:t>
      </w:r>
    </w:p>
    <w:p w:rsidR="006407A4" w:rsidRPr="00702ACD" w:rsidRDefault="006407A4" w:rsidP="006407A4">
      <w:pPr>
        <w:pStyle w:val="PargrafodaLista"/>
        <w:numPr>
          <w:ilvl w:val="0"/>
          <w:numId w:val="25"/>
        </w:numPr>
        <w:rPr>
          <w:color w:val="000000" w:themeColor="text1"/>
          <w:lang w:val="en-US"/>
        </w:rPr>
      </w:pPr>
      <w:r w:rsidRPr="00702ACD">
        <w:rPr>
          <w:color w:val="000000" w:themeColor="text1"/>
          <w:lang w:val="en-US"/>
        </w:rPr>
        <w:t xml:space="preserve">Ethylenediaminetetraacetic acid dipotassium salt dihydrate, </w:t>
      </w:r>
      <w:proofErr w:type="spellStart"/>
      <w:r w:rsidRPr="00702ACD">
        <w:rPr>
          <w:color w:val="000000" w:themeColor="text1"/>
          <w:lang w:val="en-US"/>
        </w:rPr>
        <w:t>puriss</w:t>
      </w:r>
      <w:proofErr w:type="spellEnd"/>
      <w:r w:rsidRPr="00702ACD">
        <w:rPr>
          <w:color w:val="000000" w:themeColor="text1"/>
          <w:lang w:val="en-US"/>
        </w:rPr>
        <w:t>. p.a., &gt;=99.0% (KT) (EDTA-K2) (Sigma-Aldrich; Ref. SAF-03660-100G).</w:t>
      </w:r>
    </w:p>
    <w:p w:rsidR="006407A4" w:rsidRPr="00702ACD" w:rsidRDefault="006407A4" w:rsidP="006407A4">
      <w:pPr>
        <w:pStyle w:val="PargrafodaLista"/>
        <w:numPr>
          <w:ilvl w:val="0"/>
          <w:numId w:val="25"/>
        </w:numPr>
        <w:rPr>
          <w:color w:val="000000" w:themeColor="text1"/>
          <w:lang w:val="en-US"/>
        </w:rPr>
      </w:pPr>
      <w:r w:rsidRPr="00702ACD">
        <w:rPr>
          <w:color w:val="000000" w:themeColor="text1"/>
          <w:lang w:val="en-US"/>
        </w:rPr>
        <w:t>Phosphate buffered saline (PBS) (15 packets; 15x500mL) (BC, Ref. 6603369) – Each package contains 15 foil-wrapped packets of PBS Buffer reagent. Each package is brought up to a 500 mL volume with distilled water to yield a 0.01 M potassium phosphate, 0.15 M sodium chloride at a pH of 7.2 ± 0.2.</w:t>
      </w:r>
    </w:p>
    <w:p w:rsidR="006407A4" w:rsidRPr="00702ACD" w:rsidRDefault="006407A4" w:rsidP="00247B90">
      <w:pPr>
        <w:pStyle w:val="Ttulo4"/>
        <w:rPr>
          <w:lang w:val="en-US"/>
        </w:rPr>
      </w:pPr>
      <w:r w:rsidRPr="00702ACD">
        <w:rPr>
          <w:lang w:val="en-US"/>
        </w:rPr>
        <w:t>Solutions</w:t>
      </w:r>
    </w:p>
    <w:p w:rsidR="006407A4" w:rsidRPr="00702ACD" w:rsidRDefault="006407A4" w:rsidP="006407A4">
      <w:pPr>
        <w:pStyle w:val="PargrafodaLista"/>
        <w:numPr>
          <w:ilvl w:val="0"/>
          <w:numId w:val="25"/>
        </w:numPr>
        <w:rPr>
          <w:color w:val="000000" w:themeColor="text1"/>
          <w:lang w:val="en-US"/>
        </w:rPr>
      </w:pPr>
      <w:r w:rsidRPr="00702ACD">
        <w:rPr>
          <w:color w:val="000000" w:themeColor="text1"/>
          <w:lang w:val="en-US"/>
        </w:rPr>
        <w:t>PBS containing BSA 0.2% (w/v) – PBS-BSA(0.2%) – conserved at the refrigerator (-4ºC) and less to stay at room temperature before use.</w:t>
      </w:r>
    </w:p>
    <w:p w:rsidR="008446D0" w:rsidRPr="00702ACD" w:rsidRDefault="008446D0" w:rsidP="000A04AA">
      <w:pPr>
        <w:pBdr>
          <w:top w:val="single" w:sz="4" w:space="1" w:color="auto"/>
          <w:left w:val="single" w:sz="4" w:space="4" w:color="auto"/>
          <w:bottom w:val="single" w:sz="4" w:space="1" w:color="auto"/>
          <w:right w:val="single" w:sz="4" w:space="4" w:color="auto"/>
        </w:pBdr>
        <w:spacing w:line="240" w:lineRule="auto"/>
        <w:rPr>
          <w:i/>
          <w:iCs/>
          <w:lang w:val="en-US"/>
        </w:rPr>
      </w:pPr>
      <w:r w:rsidRPr="00702ACD">
        <w:rPr>
          <w:i/>
          <w:iCs/>
          <w:u w:val="single"/>
          <w:lang w:val="en-US"/>
        </w:rPr>
        <w:t>Comments</w:t>
      </w:r>
    </w:p>
    <w:p w:rsidR="008446D0" w:rsidRPr="00702ACD" w:rsidRDefault="008446D0" w:rsidP="000A04AA">
      <w:pPr>
        <w:pBdr>
          <w:top w:val="single" w:sz="4" w:space="1" w:color="auto"/>
          <w:left w:val="single" w:sz="4" w:space="4" w:color="auto"/>
          <w:bottom w:val="single" w:sz="4" w:space="1" w:color="auto"/>
          <w:right w:val="single" w:sz="4" w:space="4" w:color="auto"/>
        </w:pBdr>
        <w:spacing w:line="240" w:lineRule="auto"/>
        <w:rPr>
          <w:i/>
          <w:iCs/>
          <w:lang w:val="en-US"/>
        </w:rPr>
      </w:pPr>
      <w:r w:rsidRPr="00702ACD">
        <w:rPr>
          <w:i/>
          <w:iCs/>
          <w:lang w:val="en-US"/>
        </w:rPr>
        <w:t>Local FCM laboratories should implement IQC programs for the reagents used, especially concerning the mAbs, in order to prevent disparities related to antibody degradation (e.g. improper use after the expiration date, unappropriated storage conditions) and lot-to-lot variations.</w:t>
      </w:r>
    </w:p>
    <w:p w:rsidR="002E4692" w:rsidRPr="00702ACD" w:rsidRDefault="002E4692" w:rsidP="00247B90">
      <w:pPr>
        <w:pStyle w:val="Ttulo4"/>
        <w:rPr>
          <w:lang w:val="en-US"/>
        </w:rPr>
      </w:pPr>
      <w:r w:rsidRPr="00702ACD">
        <w:rPr>
          <w:lang w:val="en-US"/>
        </w:rPr>
        <w:t>Technical protocol</w:t>
      </w:r>
    </w:p>
    <w:p w:rsidR="00D36F2E" w:rsidRPr="00702ACD" w:rsidRDefault="00D36F2E" w:rsidP="00247B90">
      <w:pPr>
        <w:pStyle w:val="Ttulo5"/>
        <w:rPr>
          <w:lang w:val="en-US"/>
        </w:rPr>
      </w:pPr>
      <w:r w:rsidRPr="00702ACD">
        <w:rPr>
          <w:lang w:val="en-US"/>
        </w:rPr>
        <w:t>Platelet</w:t>
      </w:r>
      <w:r w:rsidR="00262C99" w:rsidRPr="00702ACD">
        <w:rPr>
          <w:lang w:val="en-US"/>
        </w:rPr>
        <w:t xml:space="preserve"> staining</w:t>
      </w:r>
    </w:p>
    <w:p w:rsidR="00DB1C92" w:rsidRPr="00702ACD" w:rsidRDefault="00DB1C92" w:rsidP="00DB1C92">
      <w:pPr>
        <w:rPr>
          <w:lang w:val="en-US"/>
        </w:rPr>
      </w:pPr>
      <w:r w:rsidRPr="00702ACD">
        <w:rPr>
          <w:lang w:val="en-US"/>
        </w:rPr>
        <w:t>Sample staining is performed by adding 100 µL of PBS-BSA</w:t>
      </w:r>
      <w:r w:rsidR="00C31D35" w:rsidRPr="00702ACD">
        <w:rPr>
          <w:lang w:val="en-US"/>
        </w:rPr>
        <w:t>(0.2%)</w:t>
      </w:r>
      <w:r w:rsidRPr="00702ACD">
        <w:rPr>
          <w:lang w:val="en-US"/>
        </w:rPr>
        <w:t>, 10 µL of citrated whole blood and 10 µL of the mAb to the corresponding tube, mixing gently, and incubating for 15 minutes in darkness at room temperature. After incubation, cells are suspended with 500 µL of PBS-</w:t>
      </w:r>
      <w:r w:rsidR="00C31D35" w:rsidRPr="00702ACD">
        <w:rPr>
          <w:lang w:val="en-US"/>
        </w:rPr>
        <w:t>BSA(</w:t>
      </w:r>
      <w:r w:rsidR="007941E9" w:rsidRPr="00702ACD">
        <w:rPr>
          <w:lang w:val="en-US"/>
        </w:rPr>
        <w:t>0.2%</w:t>
      </w:r>
      <w:r w:rsidR="00C31D35" w:rsidRPr="00702ACD">
        <w:rPr>
          <w:lang w:val="en-US"/>
        </w:rPr>
        <w:t>)</w:t>
      </w:r>
      <w:r w:rsidRPr="00702ACD">
        <w:rPr>
          <w:lang w:val="en-US"/>
        </w:rPr>
        <w:t xml:space="preserve">, mixed gently again, and immediately analyzed in the flow cytometer. </w:t>
      </w:r>
    </w:p>
    <w:p w:rsidR="00D36F2E" w:rsidRPr="00702ACD" w:rsidRDefault="00262C99" w:rsidP="00247B90">
      <w:pPr>
        <w:pStyle w:val="Ttulo5"/>
        <w:rPr>
          <w:lang w:val="en-US"/>
        </w:rPr>
      </w:pPr>
      <w:r w:rsidRPr="00702ACD">
        <w:rPr>
          <w:lang w:val="en-US"/>
        </w:rPr>
        <w:t>Sample acquisition</w:t>
      </w:r>
    </w:p>
    <w:p w:rsidR="00DB1C92" w:rsidRPr="00702ACD" w:rsidRDefault="00DB1C92" w:rsidP="00DB1C92">
      <w:pPr>
        <w:rPr>
          <w:lang w:val="en-US"/>
        </w:rPr>
      </w:pPr>
      <w:r w:rsidRPr="00702ACD">
        <w:rPr>
          <w:lang w:val="en-US"/>
        </w:rPr>
        <w:t xml:space="preserve">All samples are </w:t>
      </w:r>
      <w:r w:rsidR="00CD7F49" w:rsidRPr="00702ACD">
        <w:rPr>
          <w:lang w:val="en-US"/>
        </w:rPr>
        <w:t>acquired</w:t>
      </w:r>
      <w:r w:rsidRPr="00702ACD">
        <w:rPr>
          <w:lang w:val="en-US"/>
        </w:rPr>
        <w:t xml:space="preserve"> in a Navios™ flow cytometer (BC). </w:t>
      </w:r>
      <w:r w:rsidR="005055DA" w:rsidRPr="00702ACD">
        <w:rPr>
          <w:lang w:val="en-US"/>
        </w:rPr>
        <w:t xml:space="preserve">The minimum number of PLT events acquired per tube is of 5,000. All the events acquired are recorded and stored as listmode files (.lmd). </w:t>
      </w:r>
      <w:r w:rsidR="007941E9" w:rsidRPr="00702ACD">
        <w:rPr>
          <w:lang w:val="en-US"/>
        </w:rPr>
        <w:t>Forward scatter (</w:t>
      </w:r>
      <w:r w:rsidR="005055DA" w:rsidRPr="00702ACD">
        <w:rPr>
          <w:lang w:val="en-US"/>
        </w:rPr>
        <w:t>FSC</w:t>
      </w:r>
      <w:r w:rsidR="007941E9" w:rsidRPr="00702ACD">
        <w:rPr>
          <w:lang w:val="en-US"/>
        </w:rPr>
        <w:t xml:space="preserve">) </w:t>
      </w:r>
      <w:r w:rsidR="005055DA" w:rsidRPr="00702ACD">
        <w:rPr>
          <w:lang w:val="en-US"/>
        </w:rPr>
        <w:t xml:space="preserve">and </w:t>
      </w:r>
      <w:r w:rsidR="007941E9" w:rsidRPr="00702ACD">
        <w:rPr>
          <w:lang w:val="en-US"/>
        </w:rPr>
        <w:t>side scatter (</w:t>
      </w:r>
      <w:r w:rsidR="005055DA" w:rsidRPr="00702ACD">
        <w:rPr>
          <w:lang w:val="en-US"/>
        </w:rPr>
        <w:t>SSC</w:t>
      </w:r>
      <w:r w:rsidR="007941E9" w:rsidRPr="00702ACD">
        <w:rPr>
          <w:lang w:val="en-US"/>
        </w:rPr>
        <w:t>)</w:t>
      </w:r>
      <w:r w:rsidR="005055DA" w:rsidRPr="00702ACD">
        <w:rPr>
          <w:lang w:val="en-US"/>
        </w:rPr>
        <w:t>, represented as FSC and SSC integral, are captured on a logarithmic scale; for fluorescence parameters, a logarithmic amplification is also used.</w:t>
      </w:r>
    </w:p>
    <w:p w:rsidR="00D36F2E" w:rsidRPr="00702ACD" w:rsidRDefault="00262C99" w:rsidP="00247B90">
      <w:pPr>
        <w:pStyle w:val="Ttulo5"/>
        <w:rPr>
          <w:lang w:val="en-US"/>
        </w:rPr>
      </w:pPr>
      <w:r w:rsidRPr="00702ACD">
        <w:rPr>
          <w:lang w:val="en-US"/>
        </w:rPr>
        <w:t>Data analysis</w:t>
      </w:r>
    </w:p>
    <w:p w:rsidR="00D36F2E" w:rsidRPr="00702ACD" w:rsidRDefault="00DB1C92" w:rsidP="00262C99">
      <w:pPr>
        <w:rPr>
          <w:lang w:val="en-US"/>
        </w:rPr>
      </w:pPr>
      <w:r w:rsidRPr="00702ACD">
        <w:rPr>
          <w:lang w:val="en-US"/>
        </w:rPr>
        <w:t>PLTs are discriminated from debris and from other cells and gated based on their light scatter properties</w:t>
      </w:r>
      <w:r w:rsidR="007941E9" w:rsidRPr="00702ACD">
        <w:rPr>
          <w:lang w:val="en-US"/>
        </w:rPr>
        <w:t xml:space="preserve">, </w:t>
      </w:r>
      <w:r w:rsidRPr="00702ACD">
        <w:rPr>
          <w:lang w:val="en-US"/>
        </w:rPr>
        <w:t xml:space="preserve">FSC and SSC, and cell surface expression of the PLT-associated GP, and the median fluorescence intensity (MFI) is measured for each platelet GP analyzed. </w:t>
      </w:r>
    </w:p>
    <w:p w:rsidR="00BF7D1C" w:rsidRPr="00702ACD" w:rsidRDefault="0067712C" w:rsidP="00501E6D">
      <w:pPr>
        <w:pBdr>
          <w:top w:val="single" w:sz="4" w:space="1" w:color="auto"/>
          <w:left w:val="single" w:sz="4" w:space="4" w:color="auto"/>
          <w:bottom w:val="single" w:sz="4" w:space="1" w:color="auto"/>
          <w:right w:val="single" w:sz="4" w:space="4" w:color="auto"/>
        </w:pBdr>
        <w:spacing w:line="240" w:lineRule="auto"/>
        <w:rPr>
          <w:i/>
          <w:iCs/>
          <w:lang w:val="en-US"/>
        </w:rPr>
      </w:pPr>
      <w:r w:rsidRPr="00702ACD">
        <w:rPr>
          <w:i/>
          <w:iCs/>
          <w:u w:val="single"/>
          <w:lang w:val="en-US"/>
        </w:rPr>
        <w:t>Comments</w:t>
      </w:r>
      <w:r w:rsidR="00BE185D" w:rsidRPr="00702ACD">
        <w:rPr>
          <w:i/>
          <w:iCs/>
          <w:lang w:val="en-US"/>
        </w:rPr>
        <w:t xml:space="preserve"> </w:t>
      </w:r>
    </w:p>
    <w:p w:rsidR="00BE185D" w:rsidRPr="00702ACD" w:rsidRDefault="00BE185D" w:rsidP="00501E6D">
      <w:pPr>
        <w:pBdr>
          <w:top w:val="single" w:sz="4" w:space="1" w:color="auto"/>
          <w:left w:val="single" w:sz="4" w:space="4" w:color="auto"/>
          <w:bottom w:val="single" w:sz="4" w:space="1" w:color="auto"/>
          <w:right w:val="single" w:sz="4" w:space="4" w:color="auto"/>
        </w:pBdr>
        <w:spacing w:line="240" w:lineRule="auto"/>
        <w:rPr>
          <w:bCs/>
          <w:i/>
          <w:iCs/>
          <w:lang w:val="en-US"/>
        </w:rPr>
      </w:pPr>
      <w:r w:rsidRPr="00702ACD">
        <w:rPr>
          <w:i/>
          <w:iCs/>
          <w:lang w:val="en-US"/>
        </w:rPr>
        <w:t>For PLT glycoprotein evaluation we use the NAVIOS acquisition/analysis software; however, FCM data analysis</w:t>
      </w:r>
      <w:r w:rsidRPr="00702ACD">
        <w:rPr>
          <w:bCs/>
          <w:i/>
          <w:iCs/>
          <w:lang w:val="en-US"/>
        </w:rPr>
        <w:t xml:space="preserve"> may also be done using other compatible software, such as the </w:t>
      </w:r>
      <w:proofErr w:type="spellStart"/>
      <w:r w:rsidRPr="00702ACD">
        <w:rPr>
          <w:bCs/>
          <w:i/>
          <w:iCs/>
          <w:lang w:val="en-US"/>
        </w:rPr>
        <w:t>Infinicyt</w:t>
      </w:r>
      <w:r w:rsidRPr="00702ACD">
        <w:rPr>
          <w:bCs/>
          <w:i/>
          <w:iCs/>
          <w:vertAlign w:val="superscript"/>
          <w:lang w:val="en-US"/>
        </w:rPr>
        <w:t>TM</w:t>
      </w:r>
      <w:proofErr w:type="spellEnd"/>
      <w:r w:rsidRPr="00702ACD">
        <w:rPr>
          <w:bCs/>
          <w:i/>
          <w:iCs/>
          <w:lang w:val="en-US"/>
        </w:rPr>
        <w:t xml:space="preserve"> (Cytognos, Salamanca, Spain).</w:t>
      </w:r>
    </w:p>
    <w:p w:rsidR="00D36F2E" w:rsidRPr="00702ACD" w:rsidRDefault="00D36F2E" w:rsidP="00247B90">
      <w:pPr>
        <w:pStyle w:val="Ttulo4"/>
        <w:rPr>
          <w:lang w:val="en-US"/>
        </w:rPr>
      </w:pPr>
      <w:r w:rsidRPr="00702ACD">
        <w:rPr>
          <w:lang w:val="en-US"/>
        </w:rPr>
        <w:t xml:space="preserve">Expression of results </w:t>
      </w:r>
    </w:p>
    <w:p w:rsidR="00DB1C92" w:rsidRDefault="00DB1C92" w:rsidP="00262C99">
      <w:pPr>
        <w:rPr>
          <w:lang w:val="en-US"/>
        </w:rPr>
      </w:pPr>
      <w:r w:rsidRPr="00702ACD">
        <w:rPr>
          <w:lang w:val="en-US"/>
        </w:rPr>
        <w:t xml:space="preserve">The results </w:t>
      </w:r>
      <w:r w:rsidR="00262C99" w:rsidRPr="00702ACD">
        <w:rPr>
          <w:lang w:val="en-US"/>
        </w:rPr>
        <w:t>a</w:t>
      </w:r>
      <w:r w:rsidRPr="00702ACD">
        <w:rPr>
          <w:lang w:val="en-US"/>
        </w:rPr>
        <w:t>re expressed as a percentage of normal (patient MFI/mean control MFI*100) and corrected for PLT size as evaluated by the FSC (</w:t>
      </w:r>
      <w:r w:rsidRPr="00702ACD">
        <w:rPr>
          <w:b/>
          <w:bCs/>
          <w:lang w:val="en-US"/>
        </w:rPr>
        <w:t>Figure 1</w:t>
      </w:r>
      <w:r w:rsidRPr="00702ACD">
        <w:rPr>
          <w:lang w:val="en-US"/>
        </w:rPr>
        <w:t>).</w:t>
      </w:r>
      <w:r>
        <w:rPr>
          <w:lang w:val="en-US"/>
        </w:rPr>
        <w:t xml:space="preserve"> </w:t>
      </w:r>
    </w:p>
    <w:tbl>
      <w:tblPr>
        <w:tblStyle w:val="TabelacomGrelha"/>
        <w:tblW w:w="0" w:type="auto"/>
        <w:tblLook w:val="04A0" w:firstRow="1" w:lastRow="0" w:firstColumn="1" w:lastColumn="0" w:noHBand="0" w:noVBand="1"/>
      </w:tblPr>
      <w:tblGrid>
        <w:gridCol w:w="8316"/>
        <w:gridCol w:w="1426"/>
      </w:tblGrid>
      <w:tr w:rsidR="000A04AA" w:rsidRPr="005D7D8B" w:rsidTr="008446D0">
        <w:tc>
          <w:tcPr>
            <w:tcW w:w="7933" w:type="dxa"/>
          </w:tcPr>
          <w:p w:rsidR="00DB1C92" w:rsidRPr="00605EC4" w:rsidRDefault="00DB1C92" w:rsidP="00387331">
            <w:pPr>
              <w:jc w:val="center"/>
              <w:rPr>
                <w:lang w:val="en-US"/>
              </w:rPr>
            </w:pPr>
            <w:r w:rsidRPr="00605EC4">
              <w:rPr>
                <w:noProof/>
                <w:lang w:eastAsia="pt-PT"/>
              </w:rPr>
              <w:lastRenderedPageBreak/>
              <w:drawing>
                <wp:inline distT="0" distB="0" distL="0" distR="0" wp14:anchorId="4FA209FE" wp14:editId="1666266C">
                  <wp:extent cx="5133983" cy="3444240"/>
                  <wp:effectExtent l="0" t="0" r="9525" b="3810"/>
                  <wp:docPr id="92" name="Image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03218" cy="3490688"/>
                          </a:xfrm>
                          <a:prstGeom prst="rect">
                            <a:avLst/>
                          </a:prstGeom>
                          <a:noFill/>
                          <a:ln>
                            <a:noFill/>
                          </a:ln>
                        </pic:spPr>
                      </pic:pic>
                    </a:graphicData>
                  </a:graphic>
                </wp:inline>
              </w:drawing>
            </w:r>
          </w:p>
        </w:tc>
        <w:tc>
          <w:tcPr>
            <w:tcW w:w="1803" w:type="dxa"/>
            <w:vAlign w:val="center"/>
          </w:tcPr>
          <w:p w:rsidR="00DB1C92" w:rsidRPr="008446D0" w:rsidRDefault="00DB1C92" w:rsidP="00387331">
            <w:pPr>
              <w:jc w:val="left"/>
              <w:rPr>
                <w:sz w:val="16"/>
                <w:szCs w:val="16"/>
                <w:lang w:val="en-US"/>
              </w:rPr>
            </w:pPr>
            <w:r w:rsidRPr="008446D0">
              <w:rPr>
                <w:b/>
                <w:bCs/>
                <w:sz w:val="16"/>
                <w:szCs w:val="16"/>
                <w:lang w:val="en-US"/>
              </w:rPr>
              <w:t>Abbreviations</w:t>
            </w:r>
            <w:r w:rsidRPr="008446D0">
              <w:rPr>
                <w:sz w:val="16"/>
                <w:szCs w:val="16"/>
                <w:lang w:val="en-US"/>
              </w:rPr>
              <w:t>:</w:t>
            </w:r>
          </w:p>
          <w:p w:rsidR="00DB1C92" w:rsidRPr="008446D0" w:rsidRDefault="00DB1C92" w:rsidP="00387331">
            <w:pPr>
              <w:jc w:val="left"/>
              <w:rPr>
                <w:sz w:val="16"/>
                <w:szCs w:val="16"/>
                <w:lang w:val="en-US"/>
              </w:rPr>
            </w:pPr>
            <w:r w:rsidRPr="008446D0">
              <w:rPr>
                <w:sz w:val="16"/>
                <w:szCs w:val="16"/>
                <w:lang w:val="en-US"/>
              </w:rPr>
              <w:t>GTLS, Glanzmann´s Thrombasthenia like syndrome;</w:t>
            </w:r>
          </w:p>
          <w:p w:rsidR="00DB1C92" w:rsidRPr="008446D0" w:rsidRDefault="00DB1C92" w:rsidP="00387331">
            <w:pPr>
              <w:jc w:val="left"/>
              <w:rPr>
                <w:sz w:val="16"/>
                <w:szCs w:val="16"/>
                <w:lang w:val="en-US"/>
              </w:rPr>
            </w:pPr>
            <w:r w:rsidRPr="008446D0">
              <w:rPr>
                <w:sz w:val="16"/>
                <w:szCs w:val="16"/>
                <w:lang w:val="en-US"/>
              </w:rPr>
              <w:t xml:space="preserve">FSC, forward scatter; </w:t>
            </w:r>
          </w:p>
          <w:p w:rsidR="00DB1C92" w:rsidRPr="008446D0" w:rsidRDefault="00DB1C92" w:rsidP="00387331">
            <w:pPr>
              <w:jc w:val="left"/>
              <w:rPr>
                <w:sz w:val="16"/>
                <w:szCs w:val="16"/>
                <w:lang w:val="en-US"/>
              </w:rPr>
            </w:pPr>
            <w:r w:rsidRPr="008446D0">
              <w:rPr>
                <w:sz w:val="16"/>
                <w:szCs w:val="16"/>
                <w:lang w:val="en-US"/>
              </w:rPr>
              <w:t>MFI, median fluorescence intensity.</w:t>
            </w:r>
          </w:p>
          <w:p w:rsidR="00DB1C92" w:rsidRPr="008446D0" w:rsidRDefault="00DB1C92" w:rsidP="00387331">
            <w:pPr>
              <w:jc w:val="left"/>
              <w:rPr>
                <w:sz w:val="16"/>
                <w:szCs w:val="16"/>
                <w:lang w:val="en-US"/>
              </w:rPr>
            </w:pPr>
          </w:p>
          <w:p w:rsidR="00DB1C92" w:rsidRPr="008446D0" w:rsidRDefault="00DB1C92" w:rsidP="00387331">
            <w:pPr>
              <w:jc w:val="left"/>
              <w:rPr>
                <w:sz w:val="16"/>
                <w:szCs w:val="16"/>
                <w:lang w:val="en-US"/>
              </w:rPr>
            </w:pPr>
            <w:r w:rsidRPr="008446D0">
              <w:rPr>
                <w:b/>
                <w:bCs/>
                <w:sz w:val="16"/>
                <w:szCs w:val="16"/>
                <w:lang w:val="en-US"/>
              </w:rPr>
              <w:t>Color code</w:t>
            </w:r>
            <w:r w:rsidRPr="008446D0">
              <w:rPr>
                <w:sz w:val="16"/>
                <w:szCs w:val="16"/>
                <w:lang w:val="en-US"/>
              </w:rPr>
              <w:t xml:space="preserve">: </w:t>
            </w:r>
          </w:p>
          <w:p w:rsidR="00DB1C92" w:rsidRPr="008446D0" w:rsidRDefault="00DB1C92" w:rsidP="00387331">
            <w:pPr>
              <w:jc w:val="left"/>
              <w:rPr>
                <w:sz w:val="16"/>
                <w:szCs w:val="16"/>
                <w:lang w:val="en-US"/>
              </w:rPr>
            </w:pPr>
            <w:r w:rsidRPr="008446D0">
              <w:rPr>
                <w:sz w:val="16"/>
                <w:szCs w:val="16"/>
                <w:lang w:val="en-US"/>
              </w:rPr>
              <w:t xml:space="preserve">blue, control platelets; </w:t>
            </w:r>
          </w:p>
          <w:p w:rsidR="00DB1C92" w:rsidRPr="008446D0" w:rsidRDefault="00DB1C92" w:rsidP="00387331">
            <w:pPr>
              <w:jc w:val="left"/>
              <w:rPr>
                <w:sz w:val="16"/>
                <w:szCs w:val="16"/>
                <w:lang w:val="en-US"/>
              </w:rPr>
            </w:pPr>
            <w:r w:rsidRPr="008446D0">
              <w:rPr>
                <w:sz w:val="16"/>
                <w:szCs w:val="16"/>
                <w:lang w:val="en-US"/>
              </w:rPr>
              <w:t xml:space="preserve">red, patient´s platelets; </w:t>
            </w:r>
          </w:p>
          <w:p w:rsidR="00DB1C92" w:rsidRPr="007565F7" w:rsidRDefault="00DB1C92" w:rsidP="00387331">
            <w:pPr>
              <w:jc w:val="left"/>
              <w:rPr>
                <w:sz w:val="18"/>
                <w:szCs w:val="18"/>
                <w:lang w:val="en-US"/>
              </w:rPr>
            </w:pPr>
            <w:r w:rsidRPr="008446D0">
              <w:rPr>
                <w:sz w:val="16"/>
                <w:szCs w:val="16"/>
                <w:lang w:val="en-US"/>
              </w:rPr>
              <w:t>gray, leukocytes.</w:t>
            </w:r>
          </w:p>
        </w:tc>
      </w:tr>
    </w:tbl>
    <w:p w:rsidR="00DB1C92" w:rsidRPr="00967A61" w:rsidRDefault="00967A61" w:rsidP="00967A61">
      <w:pPr>
        <w:pStyle w:val="Legenda"/>
        <w:rPr>
          <w:lang w:val="en-US"/>
        </w:rPr>
      </w:pPr>
      <w:r w:rsidRPr="00134D3B">
        <w:rPr>
          <w:b/>
          <w:bCs/>
          <w:lang w:val="en-US"/>
        </w:rPr>
        <w:t xml:space="preserve">Figure </w:t>
      </w:r>
      <w:r w:rsidR="00B646DF" w:rsidRPr="00134D3B">
        <w:rPr>
          <w:b/>
          <w:bCs/>
        </w:rPr>
        <w:fldChar w:fldCharType="begin"/>
      </w:r>
      <w:r w:rsidR="00B646DF" w:rsidRPr="00134D3B">
        <w:rPr>
          <w:b/>
          <w:bCs/>
          <w:lang w:val="en-US"/>
        </w:rPr>
        <w:instrText xml:space="preserve"> SEQ Figure \* ARABIC </w:instrText>
      </w:r>
      <w:r w:rsidR="00B646DF" w:rsidRPr="00134D3B">
        <w:rPr>
          <w:b/>
          <w:bCs/>
        </w:rPr>
        <w:fldChar w:fldCharType="separate"/>
      </w:r>
      <w:r w:rsidR="00501A9C" w:rsidRPr="00134D3B">
        <w:rPr>
          <w:b/>
          <w:bCs/>
          <w:noProof/>
          <w:lang w:val="en-US"/>
        </w:rPr>
        <w:t>1</w:t>
      </w:r>
      <w:r w:rsidR="00B646DF" w:rsidRPr="00134D3B">
        <w:rPr>
          <w:b/>
          <w:bCs/>
          <w:noProof/>
        </w:rPr>
        <w:fldChar w:fldCharType="end"/>
      </w:r>
      <w:r w:rsidR="00DB1C92" w:rsidRPr="00134D3B">
        <w:rPr>
          <w:b/>
          <w:bCs/>
          <w:shd w:val="clear" w:color="auto" w:fill="FFFFFF"/>
          <w:lang w:val="en-US"/>
        </w:rPr>
        <w:t>.</w:t>
      </w:r>
      <w:r w:rsidR="00DB1C92" w:rsidRPr="00967A61">
        <w:rPr>
          <w:shd w:val="clear" w:color="auto" w:fill="FFFFFF"/>
          <w:lang w:val="en-US"/>
        </w:rPr>
        <w:t xml:space="preserve"> </w:t>
      </w:r>
      <w:r w:rsidR="00DB1C92" w:rsidRPr="00967A61">
        <w:rPr>
          <w:lang w:val="en-US"/>
        </w:rPr>
        <w:t>Forward scatter (FSC), CD41a (GPIIb/IIIa) and CD42b (GPIb) histograms from a representative healthy control and a representative GTLS patient, as evaluated by flow cytometry.</w:t>
      </w:r>
    </w:p>
    <w:p w:rsidR="00FC5CD0" w:rsidRDefault="00FC5CD0" w:rsidP="00247B90">
      <w:pPr>
        <w:pStyle w:val="Ttulo4"/>
        <w:rPr>
          <w:lang w:val="en-GB"/>
        </w:rPr>
      </w:pPr>
      <w:r>
        <w:rPr>
          <w:lang w:val="en-GB"/>
        </w:rPr>
        <w:t>Expected results</w:t>
      </w:r>
    </w:p>
    <w:p w:rsidR="00FC5CD0" w:rsidRDefault="00FC5CD0" w:rsidP="00247B90">
      <w:pPr>
        <w:pStyle w:val="Ttulo5"/>
        <w:rPr>
          <w:lang w:val="en-GB"/>
        </w:rPr>
      </w:pPr>
      <w:r>
        <w:rPr>
          <w:lang w:val="en-GB"/>
        </w:rPr>
        <w:t>Normal Reference Values</w:t>
      </w:r>
    </w:p>
    <w:p w:rsidR="00FC5CD0" w:rsidRDefault="00FC5CD0" w:rsidP="00FC5CD0">
      <w:pPr>
        <w:rPr>
          <w:lang w:val="en-US"/>
        </w:rPr>
      </w:pPr>
      <w:r w:rsidRPr="00E6090B">
        <w:rPr>
          <w:lang w:val="en-US"/>
        </w:rPr>
        <w:t>Normal reference values</w:t>
      </w:r>
      <w:r>
        <w:rPr>
          <w:lang w:val="en-US"/>
        </w:rPr>
        <w:t xml:space="preserve"> for PLT glycoproteins</w:t>
      </w:r>
      <w:r w:rsidRPr="00E6090B">
        <w:rPr>
          <w:lang w:val="en-US"/>
        </w:rPr>
        <w:t xml:space="preserve"> with our method</w:t>
      </w:r>
      <w:r>
        <w:rPr>
          <w:lang w:val="en-US"/>
        </w:rPr>
        <w:t xml:space="preserve"> and using the mAbs mentioned above</w:t>
      </w:r>
      <w:r w:rsidRPr="00E6090B">
        <w:rPr>
          <w:lang w:val="en-US"/>
        </w:rPr>
        <w:t xml:space="preserve"> </w:t>
      </w:r>
      <w:r>
        <w:rPr>
          <w:lang w:val="en-US"/>
        </w:rPr>
        <w:t>ar</w:t>
      </w:r>
      <w:r w:rsidRPr="00E6090B">
        <w:rPr>
          <w:lang w:val="en-US"/>
        </w:rPr>
        <w:t>e as follows: CD41a (</w:t>
      </w:r>
      <w:r>
        <w:rPr>
          <w:lang w:val="en-US"/>
        </w:rPr>
        <w:t>GPIIb/IIIa</w:t>
      </w:r>
      <w:r w:rsidRPr="00E6090B">
        <w:rPr>
          <w:lang w:val="en-US"/>
        </w:rPr>
        <w:t>) (85-115%); CD61 (G</w:t>
      </w:r>
      <w:r>
        <w:rPr>
          <w:lang w:val="en-US"/>
        </w:rPr>
        <w:t>P</w:t>
      </w:r>
      <w:r w:rsidRPr="00E6090B">
        <w:rPr>
          <w:lang w:val="en-US"/>
        </w:rPr>
        <w:t>IIIa) (80-120%); CD42b (G</w:t>
      </w:r>
      <w:r>
        <w:rPr>
          <w:lang w:val="en-US"/>
        </w:rPr>
        <w:t>P</w:t>
      </w:r>
      <w:r w:rsidRPr="00E6090B">
        <w:rPr>
          <w:lang w:val="en-US"/>
        </w:rPr>
        <w:t xml:space="preserve">Ib) (70-130%). </w:t>
      </w:r>
      <w:r w:rsidRPr="00D30220">
        <w:rPr>
          <w:lang w:val="en-US"/>
        </w:rPr>
        <w:t>These values were based on the study of a</w:t>
      </w:r>
      <w:r>
        <w:rPr>
          <w:lang w:val="en-US"/>
        </w:rPr>
        <w:t>bout</w:t>
      </w:r>
      <w:r w:rsidRPr="00D30220">
        <w:rPr>
          <w:lang w:val="en-US"/>
        </w:rPr>
        <w:t xml:space="preserve"> 50 healthy adults (blood donors) whose results, expressed as mean ± standard deviation and [percentile 5 – 95] values were: CD41a (n=56): 100 ± 16% [85-117%]; CD61 (n=52): 100 ± 17% [81-119%]; CD42b (n=52): 100 ± 21% [70-137%].</w:t>
      </w:r>
    </w:p>
    <w:p w:rsidR="00FC5CD0" w:rsidRDefault="00FC5CD0" w:rsidP="00247B90">
      <w:pPr>
        <w:pStyle w:val="Ttulo5"/>
        <w:rPr>
          <w:lang w:val="en-US"/>
        </w:rPr>
      </w:pPr>
      <w:r>
        <w:rPr>
          <w:lang w:val="en-US"/>
        </w:rPr>
        <w:t>Expected Results in GTLS Patients</w:t>
      </w:r>
    </w:p>
    <w:p w:rsidR="00FC5CD0" w:rsidRDefault="00FC5CD0" w:rsidP="00FC5CD0">
      <w:pPr>
        <w:rPr>
          <w:lang w:val="en-US"/>
        </w:rPr>
      </w:pPr>
      <w:r>
        <w:rPr>
          <w:lang w:val="en-US"/>
        </w:rPr>
        <w:t xml:space="preserve">GTLS patients are expected to have low levels of </w:t>
      </w:r>
      <w:r w:rsidRPr="00E6090B">
        <w:rPr>
          <w:lang w:val="en-US"/>
        </w:rPr>
        <w:t>CD41a (</w:t>
      </w:r>
      <w:r>
        <w:rPr>
          <w:lang w:val="en-US"/>
        </w:rPr>
        <w:t>GPIIb/IIIa</w:t>
      </w:r>
      <w:r w:rsidRPr="00E6090B">
        <w:rPr>
          <w:lang w:val="en-US"/>
        </w:rPr>
        <w:t>)</w:t>
      </w:r>
      <w:r>
        <w:rPr>
          <w:lang w:val="en-US"/>
        </w:rPr>
        <w:t xml:space="preserve"> (&lt;85% of the normal values) and </w:t>
      </w:r>
      <w:r w:rsidRPr="00E6090B">
        <w:rPr>
          <w:lang w:val="en-US"/>
        </w:rPr>
        <w:t>CD61 (G</w:t>
      </w:r>
      <w:r>
        <w:rPr>
          <w:lang w:val="en-US"/>
        </w:rPr>
        <w:t>P</w:t>
      </w:r>
      <w:r w:rsidRPr="00E6090B">
        <w:rPr>
          <w:lang w:val="en-US"/>
        </w:rPr>
        <w:t>IIIa)</w:t>
      </w:r>
      <w:r>
        <w:rPr>
          <w:lang w:val="en-US"/>
        </w:rPr>
        <w:t xml:space="preserve"> (&lt;85% of the normal values), and normal or increased levels of </w:t>
      </w:r>
      <w:r w:rsidRPr="00E6090B">
        <w:rPr>
          <w:lang w:val="en-US"/>
        </w:rPr>
        <w:t>CD42b (G</w:t>
      </w:r>
      <w:r>
        <w:rPr>
          <w:lang w:val="en-US"/>
        </w:rPr>
        <w:t>P</w:t>
      </w:r>
      <w:r w:rsidRPr="00E6090B">
        <w:rPr>
          <w:lang w:val="en-US"/>
        </w:rPr>
        <w:t>Ib)</w:t>
      </w:r>
      <w:r>
        <w:rPr>
          <w:lang w:val="en-US"/>
        </w:rPr>
        <w:t>.</w:t>
      </w:r>
    </w:p>
    <w:p w:rsidR="00FC5CD0" w:rsidRPr="008A54E8" w:rsidRDefault="00FC5CD0" w:rsidP="00247B90">
      <w:pPr>
        <w:pStyle w:val="Ttulo4"/>
        <w:rPr>
          <w:lang w:val="en-US"/>
        </w:rPr>
      </w:pPr>
      <w:r>
        <w:rPr>
          <w:lang w:val="en-US"/>
        </w:rPr>
        <w:t>Protocol validation</w:t>
      </w:r>
    </w:p>
    <w:p w:rsidR="00FC5CD0" w:rsidRDefault="00FC5CD0" w:rsidP="00FC5CD0">
      <w:pPr>
        <w:rPr>
          <w:lang w:val="en-US"/>
        </w:rPr>
      </w:pPr>
      <w:r w:rsidRPr="00D30220">
        <w:rPr>
          <w:lang w:val="en-US"/>
        </w:rPr>
        <w:t xml:space="preserve">This </w:t>
      </w:r>
      <w:r>
        <w:rPr>
          <w:lang w:val="en-US"/>
        </w:rPr>
        <w:t>protocol, is being used in our laboratory since 1992 and has been applied to the diagnosis of dozens of patients with PLT defects, including GT, Bernard Soulier syndrome and other rare familial PLT disorders / inherited PLT function defects.</w:t>
      </w:r>
    </w:p>
    <w:p w:rsidR="00FC5CD0" w:rsidRPr="00343431" w:rsidRDefault="00FC5CD0" w:rsidP="00FC5CD0">
      <w:pPr>
        <w:rPr>
          <w:lang w:val="en-GB"/>
        </w:rPr>
      </w:pPr>
      <w:r>
        <w:rPr>
          <w:lang w:val="en-US"/>
        </w:rPr>
        <w:t>It</w:t>
      </w:r>
      <w:r w:rsidRPr="00D30220">
        <w:rPr>
          <w:lang w:val="en-US"/>
        </w:rPr>
        <w:t xml:space="preserve"> was initially validated </w:t>
      </w:r>
      <w:r>
        <w:rPr>
          <w:lang w:val="en-US"/>
        </w:rPr>
        <w:t xml:space="preserve">for the study of GTLS </w:t>
      </w:r>
      <w:r w:rsidRPr="00D30220">
        <w:rPr>
          <w:lang w:val="en-US"/>
        </w:rPr>
        <w:t>in a subset of 11 patients and 8 controls</w:t>
      </w:r>
      <w:r>
        <w:rPr>
          <w:lang w:val="en-US"/>
        </w:rPr>
        <w:t xml:space="preserve"> (healthy adult individuals, blood donors)</w:t>
      </w:r>
      <w:r w:rsidRPr="00D30220">
        <w:rPr>
          <w:lang w:val="en-US"/>
        </w:rPr>
        <w:t>, by quantifying platelet GPs in parallel using the commercially available kits</w:t>
      </w:r>
      <w:r>
        <w:rPr>
          <w:lang w:val="en-US"/>
        </w:rPr>
        <w:t xml:space="preserve"> from </w:t>
      </w:r>
      <w:proofErr w:type="spellStart"/>
      <w:r>
        <w:rPr>
          <w:lang w:val="en-US"/>
        </w:rPr>
        <w:t>Biocytex</w:t>
      </w:r>
      <w:proofErr w:type="spellEnd"/>
      <w:r>
        <w:rPr>
          <w:lang w:val="en-US"/>
        </w:rPr>
        <w:t xml:space="preserve"> (Marseille, France):</w:t>
      </w:r>
      <w:r w:rsidRPr="00D30220">
        <w:rPr>
          <w:lang w:val="en-US"/>
        </w:rPr>
        <w:t xml:space="preserve"> Platelet </w:t>
      </w:r>
      <w:proofErr w:type="spellStart"/>
      <w:r w:rsidRPr="00D30220">
        <w:rPr>
          <w:lang w:val="en-US"/>
        </w:rPr>
        <w:t>Gp</w:t>
      </w:r>
      <w:proofErr w:type="spellEnd"/>
      <w:r w:rsidRPr="00D30220">
        <w:rPr>
          <w:lang w:val="en-US"/>
        </w:rPr>
        <w:t xml:space="preserve"> Screen (</w:t>
      </w:r>
      <w:r>
        <w:rPr>
          <w:lang w:val="en-US"/>
        </w:rPr>
        <w:t>Ref.</w:t>
      </w:r>
      <w:r w:rsidRPr="00D30220">
        <w:rPr>
          <w:lang w:val="en-US"/>
        </w:rPr>
        <w:t xml:space="preserve"> 7008) and Platelet </w:t>
      </w:r>
      <w:proofErr w:type="spellStart"/>
      <w:r w:rsidRPr="00D30220">
        <w:rPr>
          <w:lang w:val="en-US"/>
        </w:rPr>
        <w:t>Gp</w:t>
      </w:r>
      <w:proofErr w:type="spellEnd"/>
      <w:r w:rsidRPr="00D30220">
        <w:rPr>
          <w:lang w:val="en-US"/>
        </w:rPr>
        <w:t>/Receptors</w:t>
      </w:r>
      <w:r>
        <w:rPr>
          <w:lang w:val="en-US"/>
        </w:rPr>
        <w:t xml:space="preserve"> (Ref.</w:t>
      </w:r>
      <w:r w:rsidRPr="00D30220">
        <w:rPr>
          <w:lang w:val="en-US"/>
        </w:rPr>
        <w:t xml:space="preserve"> 7004)</w:t>
      </w:r>
      <w:r>
        <w:rPr>
          <w:lang w:val="en-US"/>
        </w:rPr>
        <w:t xml:space="preserve"> (</w:t>
      </w:r>
      <w:r w:rsidRPr="00134D3B">
        <w:rPr>
          <w:b/>
          <w:bCs/>
          <w:highlight w:val="lightGray"/>
          <w:lang w:val="en-US"/>
        </w:rPr>
        <w:t>Table 1</w:t>
      </w:r>
      <w:r>
        <w:rPr>
          <w:lang w:val="en-US"/>
        </w:rPr>
        <w:t>)</w:t>
      </w:r>
      <w:r w:rsidRPr="00D30220">
        <w:rPr>
          <w:lang w:val="en-US"/>
        </w:rPr>
        <w:t xml:space="preserve">. </w:t>
      </w:r>
      <w:r>
        <w:rPr>
          <w:lang w:val="en-US"/>
        </w:rPr>
        <w:t>S</w:t>
      </w:r>
      <w:r w:rsidRPr="00D30220">
        <w:rPr>
          <w:lang w:val="en-US"/>
        </w:rPr>
        <w:t>amples were processed according to the manufacture instructions and the results were expressed as numbers of GP molecules per platelet</w:t>
      </w:r>
      <w:r>
        <w:rPr>
          <w:lang w:val="en-GB"/>
        </w:rPr>
        <w:t>.</w:t>
      </w:r>
    </w:p>
    <w:p w:rsidR="00FC5CD0" w:rsidRPr="00967A61" w:rsidRDefault="00FC5CD0" w:rsidP="00FC5CD0">
      <w:pPr>
        <w:pStyle w:val="Legenda"/>
        <w:rPr>
          <w:lang w:val="en-US"/>
        </w:rPr>
      </w:pPr>
      <w:r w:rsidRPr="00134D3B">
        <w:rPr>
          <w:b/>
          <w:bCs/>
          <w:lang w:val="en-US"/>
        </w:rPr>
        <w:lastRenderedPageBreak/>
        <w:t xml:space="preserve">Table </w:t>
      </w:r>
      <w:r w:rsidRPr="00134D3B">
        <w:rPr>
          <w:b/>
          <w:bCs/>
        </w:rPr>
        <w:fldChar w:fldCharType="begin"/>
      </w:r>
      <w:r w:rsidRPr="00134D3B">
        <w:rPr>
          <w:b/>
          <w:bCs/>
          <w:lang w:val="en-US"/>
        </w:rPr>
        <w:instrText xml:space="preserve"> SEQ Table \* ARABIC </w:instrText>
      </w:r>
      <w:r w:rsidRPr="00134D3B">
        <w:rPr>
          <w:b/>
          <w:bCs/>
        </w:rPr>
        <w:fldChar w:fldCharType="separate"/>
      </w:r>
      <w:r w:rsidRPr="00134D3B">
        <w:rPr>
          <w:b/>
          <w:bCs/>
          <w:noProof/>
          <w:lang w:val="en-US"/>
        </w:rPr>
        <w:t>1</w:t>
      </w:r>
      <w:r w:rsidRPr="00134D3B">
        <w:rPr>
          <w:b/>
          <w:bCs/>
        </w:rPr>
        <w:fldChar w:fldCharType="end"/>
      </w:r>
      <w:r w:rsidRPr="00134D3B">
        <w:rPr>
          <w:b/>
          <w:bCs/>
          <w:lang w:val="en-US"/>
        </w:rPr>
        <w:t>.</w:t>
      </w:r>
      <w:r>
        <w:rPr>
          <w:lang w:val="en-US"/>
        </w:rPr>
        <w:t xml:space="preserve"> </w:t>
      </w:r>
      <w:r w:rsidRPr="00967A61">
        <w:rPr>
          <w:lang w:val="en-US"/>
        </w:rPr>
        <w:t>Comparison of the in house developed semi-quantitative method used to evaluate platelet GP expression in patients with GTLS, with commercially available kits for quantification of platelet GP.</w:t>
      </w:r>
    </w:p>
    <w:tbl>
      <w:tblPr>
        <w:tblStyle w:val="TabelacomGrelha"/>
        <w:tblW w:w="5000" w:type="pct"/>
        <w:tblLook w:val="04A0" w:firstRow="1" w:lastRow="0" w:firstColumn="1" w:lastColumn="0" w:noHBand="0" w:noVBand="1"/>
      </w:tblPr>
      <w:tblGrid>
        <w:gridCol w:w="1791"/>
        <w:gridCol w:w="1350"/>
        <w:gridCol w:w="1350"/>
        <w:gridCol w:w="1350"/>
        <w:gridCol w:w="1411"/>
        <w:gridCol w:w="1190"/>
        <w:gridCol w:w="1300"/>
      </w:tblGrid>
      <w:tr w:rsidR="00FC5CD0" w:rsidRPr="005D7D8B" w:rsidTr="00E317D5">
        <w:tc>
          <w:tcPr>
            <w:tcW w:w="919" w:type="pct"/>
          </w:tcPr>
          <w:p w:rsidR="00FC5CD0" w:rsidRPr="000F2662" w:rsidRDefault="00FC5CD0" w:rsidP="00E317D5">
            <w:pPr>
              <w:spacing w:line="240" w:lineRule="auto"/>
              <w:rPr>
                <w:rFonts w:cs="Arial"/>
                <w:sz w:val="18"/>
                <w:szCs w:val="18"/>
                <w:lang w:val="en-US"/>
              </w:rPr>
            </w:pPr>
          </w:p>
        </w:tc>
        <w:tc>
          <w:tcPr>
            <w:tcW w:w="2078" w:type="pct"/>
            <w:gridSpan w:val="3"/>
          </w:tcPr>
          <w:p w:rsidR="00FC5CD0" w:rsidRPr="000F2662" w:rsidRDefault="00FC5CD0" w:rsidP="00E317D5">
            <w:pPr>
              <w:spacing w:line="240" w:lineRule="auto"/>
              <w:jc w:val="center"/>
              <w:rPr>
                <w:rFonts w:cs="Arial"/>
                <w:sz w:val="18"/>
                <w:szCs w:val="18"/>
                <w:lang w:val="en-US" w:eastAsia="pt-PT"/>
              </w:rPr>
            </w:pPr>
            <w:r w:rsidRPr="000F2662">
              <w:rPr>
                <w:rFonts w:cs="Arial"/>
                <w:sz w:val="18"/>
                <w:szCs w:val="18"/>
                <w:lang w:val="en-US"/>
              </w:rPr>
              <w:t>Quantitative c</w:t>
            </w:r>
            <w:r w:rsidRPr="000F2662">
              <w:rPr>
                <w:rFonts w:cs="Arial"/>
                <w:sz w:val="18"/>
                <w:szCs w:val="18"/>
                <w:lang w:val="en-US" w:eastAsia="pt-PT"/>
              </w:rPr>
              <w:t>ommercially available kits</w:t>
            </w:r>
          </w:p>
          <w:p w:rsidR="00FC5CD0" w:rsidRPr="000F2662" w:rsidRDefault="00FC5CD0" w:rsidP="00E317D5">
            <w:pPr>
              <w:spacing w:line="240" w:lineRule="auto"/>
              <w:jc w:val="center"/>
              <w:rPr>
                <w:rFonts w:cs="Arial"/>
                <w:sz w:val="18"/>
                <w:szCs w:val="18"/>
                <w:lang w:val="en-US"/>
              </w:rPr>
            </w:pPr>
            <w:r w:rsidRPr="000F2662">
              <w:rPr>
                <w:rFonts w:cs="Arial"/>
                <w:sz w:val="18"/>
                <w:szCs w:val="18"/>
                <w:lang w:val="en-US"/>
              </w:rPr>
              <w:t>(</w:t>
            </w:r>
            <w:bookmarkStart w:id="4" w:name="_Hlk21866784"/>
            <w:r w:rsidRPr="000F2662">
              <w:rPr>
                <w:rFonts w:cs="Arial"/>
                <w:sz w:val="18"/>
                <w:szCs w:val="18"/>
                <w:lang w:val="en-US"/>
              </w:rPr>
              <w:t>number of GP molecules per platelet</w:t>
            </w:r>
            <w:bookmarkEnd w:id="4"/>
            <w:r w:rsidRPr="000F2662">
              <w:rPr>
                <w:rFonts w:cs="Arial"/>
                <w:sz w:val="18"/>
                <w:szCs w:val="18"/>
                <w:lang w:val="en-US"/>
              </w:rPr>
              <w:t>) †</w:t>
            </w:r>
          </w:p>
          <w:p w:rsidR="00FC5CD0" w:rsidRPr="000F2662" w:rsidRDefault="00FC5CD0" w:rsidP="00E317D5">
            <w:pPr>
              <w:spacing w:line="240" w:lineRule="auto"/>
              <w:jc w:val="center"/>
              <w:rPr>
                <w:rFonts w:cs="Arial"/>
                <w:sz w:val="18"/>
                <w:szCs w:val="18"/>
              </w:rPr>
            </w:pPr>
            <w:r w:rsidRPr="000F2662">
              <w:rPr>
                <w:rFonts w:cs="Arial"/>
                <w:sz w:val="18"/>
                <w:szCs w:val="18"/>
                <w:lang w:val="en-US"/>
              </w:rPr>
              <w:t>(Years: 1995-1998)</w:t>
            </w:r>
          </w:p>
        </w:tc>
        <w:tc>
          <w:tcPr>
            <w:tcW w:w="2002" w:type="pct"/>
            <w:gridSpan w:val="3"/>
          </w:tcPr>
          <w:p w:rsidR="00FC5CD0" w:rsidRPr="000F2662" w:rsidRDefault="00FC5CD0" w:rsidP="00E317D5">
            <w:pPr>
              <w:spacing w:line="240" w:lineRule="auto"/>
              <w:jc w:val="center"/>
              <w:rPr>
                <w:rFonts w:cs="Arial"/>
                <w:sz w:val="18"/>
                <w:szCs w:val="18"/>
                <w:lang w:val="en-US"/>
              </w:rPr>
            </w:pPr>
            <w:r w:rsidRPr="000F2662">
              <w:rPr>
                <w:rFonts w:cs="Arial"/>
                <w:sz w:val="18"/>
                <w:szCs w:val="18"/>
                <w:lang w:val="en-US"/>
              </w:rPr>
              <w:t>Semi-quantitative in house developed method ‡</w:t>
            </w:r>
          </w:p>
          <w:p w:rsidR="00FC5CD0" w:rsidRPr="000F2662" w:rsidRDefault="00FC5CD0" w:rsidP="00E317D5">
            <w:pPr>
              <w:spacing w:line="240" w:lineRule="auto"/>
              <w:jc w:val="center"/>
              <w:rPr>
                <w:rFonts w:cs="Arial"/>
                <w:sz w:val="18"/>
                <w:szCs w:val="18"/>
                <w:lang w:val="en-US"/>
              </w:rPr>
            </w:pPr>
            <w:r w:rsidRPr="000F2662">
              <w:rPr>
                <w:rFonts w:cs="Arial"/>
                <w:sz w:val="18"/>
                <w:szCs w:val="18"/>
                <w:lang w:val="en-US"/>
              </w:rPr>
              <w:t>(% of normal GP values) §</w:t>
            </w:r>
          </w:p>
          <w:p w:rsidR="00FC5CD0" w:rsidRPr="000F2662" w:rsidRDefault="00FC5CD0" w:rsidP="00E317D5">
            <w:pPr>
              <w:spacing w:line="240" w:lineRule="auto"/>
              <w:jc w:val="center"/>
              <w:rPr>
                <w:rFonts w:cs="Arial"/>
                <w:sz w:val="18"/>
                <w:szCs w:val="18"/>
                <w:lang w:val="en-US"/>
              </w:rPr>
            </w:pPr>
            <w:r w:rsidRPr="000F2662">
              <w:rPr>
                <w:rFonts w:cs="Arial"/>
                <w:sz w:val="18"/>
                <w:szCs w:val="18"/>
                <w:lang w:val="en-US"/>
              </w:rPr>
              <w:t>(Years: 1995-1998)</w:t>
            </w:r>
          </w:p>
        </w:tc>
      </w:tr>
      <w:tr w:rsidR="00FC5CD0" w:rsidRPr="000F2662" w:rsidTr="00E317D5">
        <w:tc>
          <w:tcPr>
            <w:tcW w:w="919" w:type="pct"/>
          </w:tcPr>
          <w:p w:rsidR="00FC5CD0" w:rsidRPr="000F2662" w:rsidRDefault="00FC5CD0" w:rsidP="00E317D5">
            <w:pPr>
              <w:spacing w:line="240" w:lineRule="auto"/>
              <w:rPr>
                <w:rFonts w:cs="Arial"/>
                <w:sz w:val="18"/>
                <w:szCs w:val="18"/>
                <w:lang w:val="en-US"/>
              </w:rPr>
            </w:pPr>
            <w:r w:rsidRPr="000F2662">
              <w:rPr>
                <w:rFonts w:cs="Arial"/>
                <w:sz w:val="18"/>
                <w:szCs w:val="18"/>
                <w:lang w:val="en-US"/>
              </w:rPr>
              <w:br w:type="page"/>
            </w:r>
          </w:p>
        </w:tc>
        <w:tc>
          <w:tcPr>
            <w:tcW w:w="693" w:type="pct"/>
          </w:tcPr>
          <w:p w:rsidR="00FC5CD0" w:rsidRPr="000F2662" w:rsidRDefault="00FC5CD0" w:rsidP="00E317D5">
            <w:pPr>
              <w:spacing w:line="240" w:lineRule="auto"/>
              <w:jc w:val="center"/>
              <w:rPr>
                <w:rFonts w:cs="Arial"/>
                <w:sz w:val="18"/>
                <w:szCs w:val="18"/>
              </w:rPr>
            </w:pPr>
            <w:r w:rsidRPr="000F2662">
              <w:rPr>
                <w:rFonts w:cs="Arial"/>
                <w:sz w:val="18"/>
                <w:szCs w:val="18"/>
              </w:rPr>
              <w:t>CD41</w:t>
            </w:r>
          </w:p>
          <w:p w:rsidR="00FC5CD0" w:rsidRPr="000F2662" w:rsidRDefault="00FC5CD0" w:rsidP="00E317D5">
            <w:pPr>
              <w:spacing w:line="240" w:lineRule="auto"/>
              <w:jc w:val="center"/>
              <w:rPr>
                <w:rFonts w:cs="Arial"/>
                <w:sz w:val="18"/>
                <w:szCs w:val="18"/>
              </w:rPr>
            </w:pPr>
            <w:r w:rsidRPr="000F2662">
              <w:rPr>
                <w:rFonts w:cs="Arial"/>
                <w:sz w:val="18"/>
                <w:szCs w:val="18"/>
              </w:rPr>
              <w:t>(</w:t>
            </w:r>
            <w:r>
              <w:rPr>
                <w:rFonts w:cs="Arial"/>
                <w:sz w:val="18"/>
                <w:szCs w:val="18"/>
              </w:rPr>
              <w:t>GPIIIa</w:t>
            </w:r>
            <w:r w:rsidRPr="000F2662">
              <w:rPr>
                <w:rFonts w:cs="Arial"/>
                <w:sz w:val="18"/>
                <w:szCs w:val="18"/>
              </w:rPr>
              <w:t>)</w:t>
            </w:r>
          </w:p>
        </w:tc>
        <w:tc>
          <w:tcPr>
            <w:tcW w:w="693" w:type="pct"/>
          </w:tcPr>
          <w:p w:rsidR="00FC5CD0" w:rsidRPr="000F2662" w:rsidRDefault="00FC5CD0" w:rsidP="00E317D5">
            <w:pPr>
              <w:spacing w:line="240" w:lineRule="auto"/>
              <w:jc w:val="center"/>
              <w:rPr>
                <w:rFonts w:cs="Arial"/>
                <w:sz w:val="18"/>
                <w:szCs w:val="18"/>
              </w:rPr>
            </w:pPr>
            <w:r w:rsidRPr="000F2662">
              <w:rPr>
                <w:rFonts w:cs="Arial"/>
                <w:sz w:val="18"/>
                <w:szCs w:val="18"/>
              </w:rPr>
              <w:t>CD61</w:t>
            </w:r>
          </w:p>
          <w:p w:rsidR="00FC5CD0" w:rsidRPr="000F2662" w:rsidRDefault="00FC5CD0" w:rsidP="00E317D5">
            <w:pPr>
              <w:spacing w:line="240" w:lineRule="auto"/>
              <w:jc w:val="center"/>
              <w:rPr>
                <w:rFonts w:cs="Arial"/>
                <w:sz w:val="18"/>
                <w:szCs w:val="18"/>
              </w:rPr>
            </w:pPr>
            <w:r w:rsidRPr="000F2662">
              <w:rPr>
                <w:rFonts w:cs="Arial"/>
                <w:sz w:val="18"/>
                <w:szCs w:val="18"/>
              </w:rPr>
              <w:t>(</w:t>
            </w:r>
            <w:r>
              <w:rPr>
                <w:rFonts w:cs="Arial"/>
                <w:sz w:val="18"/>
                <w:szCs w:val="18"/>
              </w:rPr>
              <w:t>GPIIIa</w:t>
            </w:r>
            <w:r w:rsidRPr="000F2662">
              <w:rPr>
                <w:rFonts w:cs="Arial"/>
                <w:sz w:val="18"/>
                <w:szCs w:val="18"/>
              </w:rPr>
              <w:t>)</w:t>
            </w:r>
          </w:p>
        </w:tc>
        <w:tc>
          <w:tcPr>
            <w:tcW w:w="693" w:type="pct"/>
          </w:tcPr>
          <w:p w:rsidR="00FC5CD0" w:rsidRPr="000F2662" w:rsidRDefault="00FC5CD0" w:rsidP="00E317D5">
            <w:pPr>
              <w:spacing w:line="240" w:lineRule="auto"/>
              <w:jc w:val="center"/>
              <w:rPr>
                <w:rFonts w:cs="Arial"/>
                <w:sz w:val="18"/>
                <w:szCs w:val="18"/>
              </w:rPr>
            </w:pPr>
            <w:r w:rsidRPr="000F2662">
              <w:rPr>
                <w:rFonts w:cs="Arial"/>
                <w:sz w:val="18"/>
                <w:szCs w:val="18"/>
              </w:rPr>
              <w:t>CD42b</w:t>
            </w:r>
          </w:p>
          <w:p w:rsidR="00FC5CD0" w:rsidRPr="000F2662" w:rsidRDefault="00FC5CD0" w:rsidP="00E317D5">
            <w:pPr>
              <w:spacing w:line="240" w:lineRule="auto"/>
              <w:jc w:val="center"/>
              <w:rPr>
                <w:rFonts w:cs="Arial"/>
                <w:sz w:val="18"/>
                <w:szCs w:val="18"/>
              </w:rPr>
            </w:pPr>
            <w:r w:rsidRPr="000F2662">
              <w:rPr>
                <w:rFonts w:cs="Arial"/>
                <w:sz w:val="18"/>
                <w:szCs w:val="18"/>
              </w:rPr>
              <w:t>(</w:t>
            </w:r>
            <w:r>
              <w:rPr>
                <w:rFonts w:cs="Arial"/>
                <w:sz w:val="18"/>
                <w:szCs w:val="18"/>
              </w:rPr>
              <w:t>GPIb</w:t>
            </w:r>
            <w:r w:rsidRPr="000F2662">
              <w:rPr>
                <w:rFonts w:cs="Arial"/>
                <w:sz w:val="18"/>
                <w:szCs w:val="18"/>
              </w:rPr>
              <w:t>)</w:t>
            </w:r>
          </w:p>
        </w:tc>
        <w:tc>
          <w:tcPr>
            <w:tcW w:w="724" w:type="pct"/>
          </w:tcPr>
          <w:p w:rsidR="00FC5CD0" w:rsidRPr="000F2662" w:rsidRDefault="00FC5CD0" w:rsidP="00E317D5">
            <w:pPr>
              <w:spacing w:line="240" w:lineRule="auto"/>
              <w:jc w:val="center"/>
              <w:rPr>
                <w:rFonts w:cs="Arial"/>
                <w:sz w:val="18"/>
                <w:szCs w:val="18"/>
              </w:rPr>
            </w:pPr>
            <w:r w:rsidRPr="000F2662">
              <w:rPr>
                <w:rFonts w:cs="Arial"/>
                <w:sz w:val="18"/>
                <w:szCs w:val="18"/>
              </w:rPr>
              <w:t>CD41a</w:t>
            </w:r>
          </w:p>
          <w:p w:rsidR="00FC5CD0" w:rsidRPr="000F2662" w:rsidRDefault="00FC5CD0" w:rsidP="00E317D5">
            <w:pPr>
              <w:spacing w:line="240" w:lineRule="auto"/>
              <w:jc w:val="center"/>
              <w:rPr>
                <w:rFonts w:cs="Arial"/>
                <w:sz w:val="18"/>
                <w:szCs w:val="18"/>
              </w:rPr>
            </w:pPr>
            <w:r w:rsidRPr="000F2662">
              <w:rPr>
                <w:rFonts w:cs="Arial"/>
                <w:sz w:val="18"/>
                <w:szCs w:val="18"/>
              </w:rPr>
              <w:t>(</w:t>
            </w:r>
            <w:r>
              <w:rPr>
                <w:rFonts w:cs="Arial"/>
                <w:sz w:val="18"/>
                <w:szCs w:val="18"/>
              </w:rPr>
              <w:t>GPIIb/</w:t>
            </w:r>
            <w:proofErr w:type="spellStart"/>
            <w:r>
              <w:rPr>
                <w:rFonts w:cs="Arial"/>
                <w:sz w:val="18"/>
                <w:szCs w:val="18"/>
              </w:rPr>
              <w:t>IIIa</w:t>
            </w:r>
            <w:proofErr w:type="spellEnd"/>
            <w:r w:rsidRPr="000F2662">
              <w:rPr>
                <w:rFonts w:cs="Arial"/>
                <w:sz w:val="18"/>
                <w:szCs w:val="18"/>
              </w:rPr>
              <w:t>)</w:t>
            </w:r>
          </w:p>
        </w:tc>
        <w:tc>
          <w:tcPr>
            <w:tcW w:w="611" w:type="pct"/>
          </w:tcPr>
          <w:p w:rsidR="00FC5CD0" w:rsidRPr="000F2662" w:rsidRDefault="00FC5CD0" w:rsidP="00E317D5">
            <w:pPr>
              <w:spacing w:line="240" w:lineRule="auto"/>
              <w:jc w:val="center"/>
              <w:rPr>
                <w:rFonts w:cs="Arial"/>
                <w:sz w:val="18"/>
                <w:szCs w:val="18"/>
              </w:rPr>
            </w:pPr>
            <w:r w:rsidRPr="000F2662">
              <w:rPr>
                <w:rFonts w:cs="Arial"/>
                <w:sz w:val="18"/>
                <w:szCs w:val="18"/>
              </w:rPr>
              <w:t>CD61</w:t>
            </w:r>
          </w:p>
          <w:p w:rsidR="00FC5CD0" w:rsidRPr="000F2662" w:rsidRDefault="00FC5CD0" w:rsidP="00E317D5">
            <w:pPr>
              <w:spacing w:line="240" w:lineRule="auto"/>
              <w:jc w:val="center"/>
              <w:rPr>
                <w:rFonts w:cs="Arial"/>
                <w:sz w:val="18"/>
                <w:szCs w:val="18"/>
              </w:rPr>
            </w:pPr>
            <w:r w:rsidRPr="000F2662">
              <w:rPr>
                <w:rFonts w:cs="Arial"/>
                <w:sz w:val="18"/>
                <w:szCs w:val="18"/>
              </w:rPr>
              <w:t>(</w:t>
            </w:r>
            <w:r>
              <w:rPr>
                <w:rFonts w:cs="Arial"/>
                <w:sz w:val="18"/>
                <w:szCs w:val="18"/>
              </w:rPr>
              <w:t>GPIIIa</w:t>
            </w:r>
            <w:r w:rsidRPr="000F2662">
              <w:rPr>
                <w:rFonts w:cs="Arial"/>
                <w:sz w:val="18"/>
                <w:szCs w:val="18"/>
              </w:rPr>
              <w:t>)</w:t>
            </w:r>
          </w:p>
        </w:tc>
        <w:tc>
          <w:tcPr>
            <w:tcW w:w="668" w:type="pct"/>
          </w:tcPr>
          <w:p w:rsidR="00FC5CD0" w:rsidRPr="000F2662" w:rsidRDefault="00FC5CD0" w:rsidP="00E317D5">
            <w:pPr>
              <w:spacing w:line="240" w:lineRule="auto"/>
              <w:jc w:val="center"/>
              <w:rPr>
                <w:rFonts w:cs="Arial"/>
                <w:sz w:val="18"/>
                <w:szCs w:val="18"/>
              </w:rPr>
            </w:pPr>
            <w:r w:rsidRPr="000F2662">
              <w:rPr>
                <w:rFonts w:cs="Arial"/>
                <w:sz w:val="18"/>
                <w:szCs w:val="18"/>
              </w:rPr>
              <w:t>CD42b</w:t>
            </w:r>
          </w:p>
          <w:p w:rsidR="00FC5CD0" w:rsidRPr="000F2662" w:rsidRDefault="00FC5CD0" w:rsidP="00E317D5">
            <w:pPr>
              <w:spacing w:line="240" w:lineRule="auto"/>
              <w:jc w:val="center"/>
              <w:rPr>
                <w:rFonts w:cs="Arial"/>
                <w:sz w:val="18"/>
                <w:szCs w:val="18"/>
              </w:rPr>
            </w:pPr>
            <w:r w:rsidRPr="000F2662">
              <w:rPr>
                <w:rFonts w:cs="Arial"/>
                <w:sz w:val="18"/>
                <w:szCs w:val="18"/>
              </w:rPr>
              <w:t>(</w:t>
            </w:r>
            <w:r>
              <w:rPr>
                <w:rFonts w:cs="Arial"/>
                <w:sz w:val="18"/>
                <w:szCs w:val="18"/>
              </w:rPr>
              <w:t>GPIb</w:t>
            </w:r>
            <w:r w:rsidRPr="000F2662">
              <w:rPr>
                <w:rFonts w:cs="Arial"/>
                <w:sz w:val="18"/>
                <w:szCs w:val="18"/>
              </w:rPr>
              <w:t>)</w:t>
            </w:r>
          </w:p>
        </w:tc>
      </w:tr>
      <w:tr w:rsidR="00FC5CD0" w:rsidRPr="000F2662" w:rsidTr="00E317D5">
        <w:tc>
          <w:tcPr>
            <w:tcW w:w="919" w:type="pct"/>
          </w:tcPr>
          <w:p w:rsidR="00FC5CD0" w:rsidRPr="000F2662" w:rsidRDefault="00FC5CD0" w:rsidP="00E317D5">
            <w:pPr>
              <w:spacing w:line="240" w:lineRule="auto"/>
              <w:rPr>
                <w:rFonts w:cs="Arial"/>
                <w:sz w:val="18"/>
                <w:szCs w:val="18"/>
                <w:lang w:val="en-US"/>
              </w:rPr>
            </w:pPr>
            <w:r w:rsidRPr="000F2662">
              <w:rPr>
                <w:rFonts w:cs="Arial"/>
                <w:sz w:val="18"/>
                <w:szCs w:val="18"/>
                <w:lang w:val="en-US"/>
              </w:rPr>
              <w:t>Controls</w:t>
            </w:r>
            <w:r w:rsidRPr="000F2662">
              <w:rPr>
                <w:rFonts w:cs="Arial"/>
                <w:sz w:val="18"/>
                <w:szCs w:val="18"/>
                <w:lang w:val="en-US" w:eastAsia="pt-PT"/>
              </w:rPr>
              <w:t xml:space="preserve">* </w:t>
            </w:r>
          </w:p>
        </w:tc>
        <w:tc>
          <w:tcPr>
            <w:tcW w:w="693" w:type="pct"/>
          </w:tcPr>
          <w:p w:rsidR="00FC5CD0" w:rsidRPr="000F2662" w:rsidRDefault="00FC5CD0" w:rsidP="00E317D5">
            <w:pPr>
              <w:spacing w:line="240" w:lineRule="auto"/>
              <w:jc w:val="center"/>
              <w:rPr>
                <w:rFonts w:cs="Arial"/>
                <w:sz w:val="18"/>
                <w:szCs w:val="18"/>
                <w:lang w:val="en-US"/>
              </w:rPr>
            </w:pPr>
            <w:r w:rsidRPr="000F2662">
              <w:rPr>
                <w:rFonts w:cs="Arial"/>
                <w:sz w:val="18"/>
                <w:szCs w:val="18"/>
                <w:lang w:val="en-US"/>
              </w:rPr>
              <w:t>N=8</w:t>
            </w:r>
          </w:p>
          <w:p w:rsidR="00FC5CD0" w:rsidRPr="000F2662" w:rsidRDefault="00FC5CD0" w:rsidP="00E317D5">
            <w:pPr>
              <w:spacing w:line="240" w:lineRule="auto"/>
              <w:jc w:val="center"/>
              <w:rPr>
                <w:rFonts w:cs="Arial"/>
                <w:sz w:val="18"/>
                <w:szCs w:val="18"/>
                <w:lang w:val="en-US"/>
              </w:rPr>
            </w:pPr>
            <w:r w:rsidRPr="000F2662">
              <w:rPr>
                <w:rFonts w:cs="Arial"/>
                <w:sz w:val="18"/>
                <w:szCs w:val="18"/>
                <w:lang w:val="en-US"/>
              </w:rPr>
              <w:t>46440 ± 14091</w:t>
            </w:r>
          </w:p>
        </w:tc>
        <w:tc>
          <w:tcPr>
            <w:tcW w:w="693" w:type="pct"/>
          </w:tcPr>
          <w:p w:rsidR="00FC5CD0" w:rsidRPr="000F2662" w:rsidRDefault="00FC5CD0" w:rsidP="00E317D5">
            <w:pPr>
              <w:spacing w:line="240" w:lineRule="auto"/>
              <w:jc w:val="center"/>
              <w:rPr>
                <w:rFonts w:cs="Arial"/>
                <w:sz w:val="18"/>
                <w:szCs w:val="18"/>
                <w:lang w:val="en-US"/>
              </w:rPr>
            </w:pPr>
            <w:r w:rsidRPr="000F2662">
              <w:rPr>
                <w:rFonts w:cs="Arial"/>
                <w:sz w:val="18"/>
                <w:szCs w:val="18"/>
                <w:lang w:val="en-US"/>
              </w:rPr>
              <w:t>N=8</w:t>
            </w:r>
          </w:p>
          <w:p w:rsidR="00FC5CD0" w:rsidRPr="000F2662" w:rsidRDefault="00FC5CD0" w:rsidP="00E317D5">
            <w:pPr>
              <w:spacing w:line="240" w:lineRule="auto"/>
              <w:jc w:val="center"/>
              <w:rPr>
                <w:rFonts w:cs="Arial"/>
                <w:sz w:val="18"/>
                <w:szCs w:val="18"/>
                <w:lang w:val="en-US"/>
              </w:rPr>
            </w:pPr>
            <w:r w:rsidRPr="000F2662">
              <w:rPr>
                <w:rFonts w:cs="Arial"/>
                <w:sz w:val="18"/>
                <w:szCs w:val="18"/>
                <w:lang w:val="en-US"/>
              </w:rPr>
              <w:t>54586 ± 12222</w:t>
            </w:r>
          </w:p>
        </w:tc>
        <w:tc>
          <w:tcPr>
            <w:tcW w:w="693" w:type="pct"/>
          </w:tcPr>
          <w:p w:rsidR="00FC5CD0" w:rsidRPr="000F2662" w:rsidRDefault="00FC5CD0" w:rsidP="00E317D5">
            <w:pPr>
              <w:spacing w:line="240" w:lineRule="auto"/>
              <w:jc w:val="center"/>
              <w:rPr>
                <w:rFonts w:cs="Arial"/>
                <w:sz w:val="18"/>
                <w:szCs w:val="18"/>
                <w:lang w:val="en-US"/>
              </w:rPr>
            </w:pPr>
            <w:r w:rsidRPr="000F2662">
              <w:rPr>
                <w:rFonts w:cs="Arial"/>
                <w:sz w:val="18"/>
                <w:szCs w:val="18"/>
                <w:lang w:val="en-US"/>
              </w:rPr>
              <w:t>N=8</w:t>
            </w:r>
          </w:p>
          <w:p w:rsidR="00FC5CD0" w:rsidRPr="000F2662" w:rsidRDefault="00FC5CD0" w:rsidP="00E317D5">
            <w:pPr>
              <w:spacing w:line="240" w:lineRule="auto"/>
              <w:jc w:val="center"/>
              <w:rPr>
                <w:rFonts w:cs="Arial"/>
                <w:sz w:val="18"/>
                <w:szCs w:val="18"/>
                <w:lang w:val="en-US"/>
              </w:rPr>
            </w:pPr>
            <w:r w:rsidRPr="000F2662">
              <w:rPr>
                <w:rFonts w:cs="Arial"/>
                <w:sz w:val="18"/>
                <w:szCs w:val="18"/>
                <w:lang w:val="en-US"/>
              </w:rPr>
              <w:t>27057 ± 19828</w:t>
            </w:r>
          </w:p>
        </w:tc>
        <w:tc>
          <w:tcPr>
            <w:tcW w:w="724" w:type="pct"/>
          </w:tcPr>
          <w:p w:rsidR="00FC5CD0" w:rsidRPr="000F2662" w:rsidRDefault="00FC5CD0" w:rsidP="00E317D5">
            <w:pPr>
              <w:spacing w:line="240" w:lineRule="auto"/>
              <w:jc w:val="center"/>
              <w:rPr>
                <w:rFonts w:cs="Arial"/>
                <w:sz w:val="18"/>
                <w:szCs w:val="18"/>
                <w:lang w:val="en-US"/>
              </w:rPr>
            </w:pPr>
            <w:r w:rsidRPr="000F2662">
              <w:rPr>
                <w:rFonts w:cs="Arial"/>
                <w:sz w:val="18"/>
                <w:szCs w:val="18"/>
                <w:lang w:val="en-US"/>
              </w:rPr>
              <w:t>N=8</w:t>
            </w:r>
          </w:p>
          <w:p w:rsidR="00FC5CD0" w:rsidRPr="000F2662" w:rsidRDefault="00FC5CD0" w:rsidP="00E317D5">
            <w:pPr>
              <w:spacing w:line="240" w:lineRule="auto"/>
              <w:jc w:val="center"/>
              <w:rPr>
                <w:rFonts w:cs="Arial"/>
                <w:sz w:val="18"/>
                <w:szCs w:val="18"/>
                <w:lang w:val="en-US"/>
              </w:rPr>
            </w:pPr>
            <w:r w:rsidRPr="000F2662">
              <w:rPr>
                <w:rFonts w:cs="Arial"/>
                <w:sz w:val="18"/>
                <w:szCs w:val="18"/>
                <w:lang w:val="en-US"/>
              </w:rPr>
              <w:t>100 ± 18</w:t>
            </w:r>
          </w:p>
          <w:p w:rsidR="00FC5CD0" w:rsidRPr="000F2662" w:rsidRDefault="00FC5CD0" w:rsidP="00E317D5">
            <w:pPr>
              <w:spacing w:line="240" w:lineRule="auto"/>
              <w:jc w:val="center"/>
              <w:rPr>
                <w:rFonts w:cs="Arial"/>
                <w:sz w:val="18"/>
                <w:szCs w:val="18"/>
                <w:lang w:val="en-US"/>
              </w:rPr>
            </w:pPr>
            <w:r w:rsidRPr="000F2662">
              <w:rPr>
                <w:rFonts w:cs="Arial"/>
                <w:sz w:val="18"/>
                <w:szCs w:val="18"/>
                <w:lang w:val="en-US"/>
              </w:rPr>
              <w:t>[80-120]</w:t>
            </w:r>
          </w:p>
        </w:tc>
        <w:tc>
          <w:tcPr>
            <w:tcW w:w="611" w:type="pct"/>
          </w:tcPr>
          <w:p w:rsidR="00FC5CD0" w:rsidRPr="000F2662" w:rsidRDefault="00FC5CD0" w:rsidP="00E317D5">
            <w:pPr>
              <w:spacing w:line="240" w:lineRule="auto"/>
              <w:jc w:val="center"/>
              <w:rPr>
                <w:rFonts w:cs="Arial"/>
                <w:sz w:val="18"/>
                <w:szCs w:val="18"/>
                <w:lang w:val="en-US"/>
              </w:rPr>
            </w:pPr>
            <w:r w:rsidRPr="000F2662">
              <w:rPr>
                <w:rFonts w:cs="Arial"/>
                <w:sz w:val="18"/>
                <w:szCs w:val="18"/>
                <w:lang w:val="en-US"/>
              </w:rPr>
              <w:t>N=8</w:t>
            </w:r>
          </w:p>
          <w:p w:rsidR="00FC5CD0" w:rsidRPr="000F2662" w:rsidRDefault="00FC5CD0" w:rsidP="00E317D5">
            <w:pPr>
              <w:spacing w:line="240" w:lineRule="auto"/>
              <w:jc w:val="center"/>
              <w:rPr>
                <w:rFonts w:cs="Arial"/>
                <w:sz w:val="18"/>
                <w:szCs w:val="18"/>
                <w:lang w:val="en-US"/>
              </w:rPr>
            </w:pPr>
            <w:r w:rsidRPr="000F2662">
              <w:rPr>
                <w:rFonts w:cs="Arial"/>
                <w:sz w:val="18"/>
                <w:szCs w:val="18"/>
                <w:lang w:val="en-US"/>
              </w:rPr>
              <w:t>100 ± 12</w:t>
            </w:r>
          </w:p>
          <w:p w:rsidR="00FC5CD0" w:rsidRPr="000F2662" w:rsidRDefault="00FC5CD0" w:rsidP="00E317D5">
            <w:pPr>
              <w:spacing w:line="240" w:lineRule="auto"/>
              <w:jc w:val="center"/>
              <w:rPr>
                <w:rFonts w:cs="Arial"/>
                <w:sz w:val="18"/>
                <w:szCs w:val="18"/>
                <w:lang w:val="en-US"/>
              </w:rPr>
            </w:pPr>
            <w:r w:rsidRPr="000F2662">
              <w:rPr>
                <w:rFonts w:cs="Arial"/>
                <w:sz w:val="18"/>
                <w:szCs w:val="18"/>
                <w:lang w:val="en-US"/>
              </w:rPr>
              <w:t>[84-120]</w:t>
            </w:r>
          </w:p>
        </w:tc>
        <w:tc>
          <w:tcPr>
            <w:tcW w:w="668" w:type="pct"/>
          </w:tcPr>
          <w:p w:rsidR="00FC5CD0" w:rsidRPr="000F2662" w:rsidRDefault="00FC5CD0" w:rsidP="00E317D5">
            <w:pPr>
              <w:spacing w:line="240" w:lineRule="auto"/>
              <w:jc w:val="center"/>
              <w:rPr>
                <w:rFonts w:cs="Arial"/>
                <w:sz w:val="18"/>
                <w:szCs w:val="18"/>
                <w:lang w:val="en-US"/>
              </w:rPr>
            </w:pPr>
            <w:r w:rsidRPr="000F2662">
              <w:rPr>
                <w:rFonts w:cs="Arial"/>
                <w:sz w:val="18"/>
                <w:szCs w:val="18"/>
                <w:lang w:val="en-US"/>
              </w:rPr>
              <w:t>N=8</w:t>
            </w:r>
          </w:p>
          <w:p w:rsidR="00FC5CD0" w:rsidRPr="000F2662" w:rsidRDefault="00FC5CD0" w:rsidP="00E317D5">
            <w:pPr>
              <w:spacing w:line="240" w:lineRule="auto"/>
              <w:jc w:val="center"/>
              <w:rPr>
                <w:rFonts w:cs="Arial"/>
                <w:sz w:val="18"/>
                <w:szCs w:val="18"/>
                <w:lang w:val="en-US"/>
              </w:rPr>
            </w:pPr>
            <w:r w:rsidRPr="000F2662">
              <w:rPr>
                <w:rFonts w:cs="Arial"/>
                <w:sz w:val="18"/>
                <w:szCs w:val="18"/>
                <w:lang w:val="en-US"/>
              </w:rPr>
              <w:t>100 ± 25</w:t>
            </w:r>
          </w:p>
          <w:p w:rsidR="00FC5CD0" w:rsidRPr="000F2662" w:rsidRDefault="00FC5CD0" w:rsidP="00E317D5">
            <w:pPr>
              <w:spacing w:line="240" w:lineRule="auto"/>
              <w:jc w:val="center"/>
              <w:rPr>
                <w:rFonts w:cs="Arial"/>
                <w:sz w:val="18"/>
                <w:szCs w:val="18"/>
                <w:lang w:val="en-US"/>
              </w:rPr>
            </w:pPr>
            <w:r w:rsidRPr="000F2662">
              <w:rPr>
                <w:rFonts w:cs="Arial"/>
                <w:sz w:val="18"/>
                <w:szCs w:val="18"/>
                <w:lang w:val="en-US"/>
              </w:rPr>
              <w:t>[73-134]</w:t>
            </w:r>
          </w:p>
        </w:tc>
      </w:tr>
      <w:tr w:rsidR="00FC5CD0" w:rsidRPr="000F2662" w:rsidTr="00E317D5">
        <w:tc>
          <w:tcPr>
            <w:tcW w:w="919" w:type="pct"/>
          </w:tcPr>
          <w:p w:rsidR="00FC5CD0" w:rsidRPr="000F2662" w:rsidRDefault="00FC5CD0" w:rsidP="00E317D5">
            <w:pPr>
              <w:spacing w:line="240" w:lineRule="auto"/>
              <w:rPr>
                <w:rFonts w:cs="Arial"/>
                <w:sz w:val="18"/>
                <w:szCs w:val="18"/>
                <w:lang w:val="en-US"/>
              </w:rPr>
            </w:pPr>
            <w:r w:rsidRPr="000F2662">
              <w:rPr>
                <w:rFonts w:cs="Arial"/>
                <w:sz w:val="18"/>
                <w:szCs w:val="18"/>
                <w:lang w:val="en-US"/>
              </w:rPr>
              <w:t>Patients</w:t>
            </w:r>
          </w:p>
        </w:tc>
        <w:tc>
          <w:tcPr>
            <w:tcW w:w="693" w:type="pct"/>
          </w:tcPr>
          <w:p w:rsidR="00FC5CD0" w:rsidRPr="000F2662" w:rsidRDefault="00FC5CD0" w:rsidP="00E317D5">
            <w:pPr>
              <w:spacing w:line="240" w:lineRule="auto"/>
              <w:jc w:val="center"/>
              <w:rPr>
                <w:rFonts w:cs="Arial"/>
                <w:sz w:val="18"/>
                <w:szCs w:val="18"/>
                <w:lang w:val="en-US"/>
              </w:rPr>
            </w:pPr>
            <w:r w:rsidRPr="000F2662">
              <w:rPr>
                <w:rFonts w:cs="Arial"/>
                <w:sz w:val="18"/>
                <w:szCs w:val="18"/>
                <w:lang w:val="en-US"/>
              </w:rPr>
              <w:t>N=11</w:t>
            </w:r>
          </w:p>
          <w:p w:rsidR="00FC5CD0" w:rsidRPr="000F2662" w:rsidRDefault="00FC5CD0" w:rsidP="00E317D5">
            <w:pPr>
              <w:spacing w:line="240" w:lineRule="auto"/>
              <w:jc w:val="center"/>
              <w:rPr>
                <w:rFonts w:cs="Arial"/>
                <w:sz w:val="18"/>
                <w:szCs w:val="18"/>
                <w:lang w:val="en-US"/>
              </w:rPr>
            </w:pPr>
            <w:r w:rsidRPr="000F2662">
              <w:rPr>
                <w:rFonts w:cs="Arial"/>
                <w:sz w:val="18"/>
                <w:szCs w:val="18"/>
                <w:lang w:val="en-US"/>
              </w:rPr>
              <w:t>29313 ± 6180</w:t>
            </w:r>
          </w:p>
        </w:tc>
        <w:tc>
          <w:tcPr>
            <w:tcW w:w="693" w:type="pct"/>
          </w:tcPr>
          <w:p w:rsidR="00FC5CD0" w:rsidRPr="000F2662" w:rsidRDefault="00FC5CD0" w:rsidP="00E317D5">
            <w:pPr>
              <w:spacing w:line="240" w:lineRule="auto"/>
              <w:jc w:val="center"/>
              <w:rPr>
                <w:rFonts w:cs="Arial"/>
                <w:sz w:val="18"/>
                <w:szCs w:val="18"/>
                <w:lang w:val="en-US"/>
              </w:rPr>
            </w:pPr>
            <w:r w:rsidRPr="000F2662">
              <w:rPr>
                <w:rFonts w:cs="Arial"/>
                <w:sz w:val="18"/>
                <w:szCs w:val="18"/>
                <w:lang w:val="en-US"/>
              </w:rPr>
              <w:t>N=11</w:t>
            </w:r>
          </w:p>
          <w:p w:rsidR="00FC5CD0" w:rsidRPr="000F2662" w:rsidRDefault="00FC5CD0" w:rsidP="00E317D5">
            <w:pPr>
              <w:spacing w:line="240" w:lineRule="auto"/>
              <w:jc w:val="center"/>
              <w:rPr>
                <w:rFonts w:cs="Arial"/>
                <w:sz w:val="18"/>
                <w:szCs w:val="18"/>
                <w:lang w:val="en-US"/>
              </w:rPr>
            </w:pPr>
            <w:r w:rsidRPr="000F2662">
              <w:rPr>
                <w:rFonts w:cs="Arial"/>
                <w:sz w:val="18"/>
                <w:szCs w:val="18"/>
                <w:lang w:val="en-US"/>
              </w:rPr>
              <w:t>32548 ± 5963</w:t>
            </w:r>
          </w:p>
        </w:tc>
        <w:tc>
          <w:tcPr>
            <w:tcW w:w="693" w:type="pct"/>
          </w:tcPr>
          <w:p w:rsidR="00FC5CD0" w:rsidRPr="000F2662" w:rsidRDefault="00FC5CD0" w:rsidP="00E317D5">
            <w:pPr>
              <w:spacing w:line="240" w:lineRule="auto"/>
              <w:jc w:val="center"/>
              <w:rPr>
                <w:rFonts w:cs="Arial"/>
                <w:sz w:val="18"/>
                <w:szCs w:val="18"/>
                <w:lang w:val="en-US"/>
              </w:rPr>
            </w:pPr>
            <w:r w:rsidRPr="000F2662">
              <w:rPr>
                <w:rFonts w:cs="Arial"/>
                <w:sz w:val="18"/>
                <w:szCs w:val="18"/>
                <w:lang w:val="en-US"/>
              </w:rPr>
              <w:t>N=11</w:t>
            </w:r>
          </w:p>
          <w:p w:rsidR="00FC5CD0" w:rsidRPr="000F2662" w:rsidRDefault="00FC5CD0" w:rsidP="00E317D5">
            <w:pPr>
              <w:spacing w:line="240" w:lineRule="auto"/>
              <w:jc w:val="center"/>
              <w:rPr>
                <w:rFonts w:cs="Arial"/>
                <w:sz w:val="18"/>
                <w:szCs w:val="18"/>
                <w:lang w:val="en-US"/>
              </w:rPr>
            </w:pPr>
            <w:r w:rsidRPr="000F2662">
              <w:rPr>
                <w:rFonts w:cs="Arial"/>
                <w:sz w:val="18"/>
                <w:szCs w:val="18"/>
                <w:lang w:val="en-US"/>
              </w:rPr>
              <w:t>40626 ± 7660</w:t>
            </w:r>
          </w:p>
        </w:tc>
        <w:tc>
          <w:tcPr>
            <w:tcW w:w="724" w:type="pct"/>
          </w:tcPr>
          <w:p w:rsidR="00FC5CD0" w:rsidRPr="000F2662" w:rsidRDefault="00FC5CD0" w:rsidP="00E317D5">
            <w:pPr>
              <w:spacing w:line="240" w:lineRule="auto"/>
              <w:jc w:val="center"/>
              <w:rPr>
                <w:rFonts w:cs="Arial"/>
                <w:sz w:val="18"/>
                <w:szCs w:val="18"/>
                <w:lang w:val="en-US"/>
              </w:rPr>
            </w:pPr>
            <w:r w:rsidRPr="000F2662">
              <w:rPr>
                <w:rFonts w:cs="Arial"/>
                <w:sz w:val="18"/>
                <w:szCs w:val="18"/>
                <w:lang w:val="en-US"/>
              </w:rPr>
              <w:t>N=11</w:t>
            </w:r>
          </w:p>
          <w:p w:rsidR="00FC5CD0" w:rsidRPr="000F2662" w:rsidRDefault="00FC5CD0" w:rsidP="00E317D5">
            <w:pPr>
              <w:spacing w:line="240" w:lineRule="auto"/>
              <w:jc w:val="center"/>
              <w:rPr>
                <w:rFonts w:cs="Arial"/>
                <w:sz w:val="18"/>
                <w:szCs w:val="18"/>
                <w:lang w:val="en-US"/>
              </w:rPr>
            </w:pPr>
            <w:r w:rsidRPr="000F2662">
              <w:rPr>
                <w:rFonts w:cs="Arial"/>
                <w:sz w:val="18"/>
                <w:szCs w:val="18"/>
                <w:lang w:val="en-US"/>
              </w:rPr>
              <w:t>49 ± 6</w:t>
            </w:r>
          </w:p>
          <w:p w:rsidR="00FC5CD0" w:rsidRPr="000F2662" w:rsidRDefault="00FC5CD0" w:rsidP="00E317D5">
            <w:pPr>
              <w:spacing w:line="240" w:lineRule="auto"/>
              <w:jc w:val="center"/>
              <w:rPr>
                <w:rFonts w:cs="Arial"/>
                <w:sz w:val="18"/>
                <w:szCs w:val="18"/>
                <w:lang w:val="en-US"/>
              </w:rPr>
            </w:pPr>
            <w:r w:rsidRPr="000F2662">
              <w:rPr>
                <w:rFonts w:cs="Arial"/>
                <w:sz w:val="18"/>
                <w:szCs w:val="18"/>
                <w:lang w:val="en-US"/>
              </w:rPr>
              <w:t>(41-65)</w:t>
            </w:r>
          </w:p>
        </w:tc>
        <w:tc>
          <w:tcPr>
            <w:tcW w:w="611" w:type="pct"/>
          </w:tcPr>
          <w:p w:rsidR="00FC5CD0" w:rsidRPr="000F2662" w:rsidRDefault="00FC5CD0" w:rsidP="00E317D5">
            <w:pPr>
              <w:spacing w:line="240" w:lineRule="auto"/>
              <w:jc w:val="center"/>
              <w:rPr>
                <w:rFonts w:cs="Arial"/>
                <w:sz w:val="18"/>
                <w:szCs w:val="18"/>
                <w:lang w:val="en-US"/>
              </w:rPr>
            </w:pPr>
            <w:r w:rsidRPr="000F2662">
              <w:rPr>
                <w:rFonts w:cs="Arial"/>
                <w:sz w:val="18"/>
                <w:szCs w:val="18"/>
                <w:lang w:val="en-US"/>
              </w:rPr>
              <w:t>N=11</w:t>
            </w:r>
          </w:p>
          <w:p w:rsidR="00FC5CD0" w:rsidRPr="000F2662" w:rsidRDefault="00FC5CD0" w:rsidP="00E317D5">
            <w:pPr>
              <w:spacing w:line="240" w:lineRule="auto"/>
              <w:jc w:val="center"/>
              <w:rPr>
                <w:rFonts w:cs="Arial"/>
                <w:sz w:val="18"/>
                <w:szCs w:val="18"/>
                <w:lang w:val="en-US"/>
              </w:rPr>
            </w:pPr>
            <w:r w:rsidRPr="000F2662">
              <w:rPr>
                <w:rFonts w:cs="Arial"/>
                <w:sz w:val="18"/>
                <w:szCs w:val="18"/>
                <w:lang w:val="en-US"/>
              </w:rPr>
              <w:t>60 ± 10</w:t>
            </w:r>
          </w:p>
          <w:p w:rsidR="00FC5CD0" w:rsidRPr="000F2662" w:rsidRDefault="00FC5CD0" w:rsidP="00E317D5">
            <w:pPr>
              <w:spacing w:line="240" w:lineRule="auto"/>
              <w:jc w:val="center"/>
              <w:rPr>
                <w:rFonts w:cs="Arial"/>
                <w:sz w:val="18"/>
                <w:szCs w:val="18"/>
                <w:lang w:val="en-US"/>
              </w:rPr>
            </w:pPr>
            <w:r w:rsidRPr="000F2662">
              <w:rPr>
                <w:rFonts w:cs="Arial"/>
                <w:sz w:val="18"/>
                <w:szCs w:val="18"/>
                <w:lang w:val="en-US"/>
              </w:rPr>
              <w:t>(48-77)</w:t>
            </w:r>
          </w:p>
        </w:tc>
        <w:tc>
          <w:tcPr>
            <w:tcW w:w="668" w:type="pct"/>
          </w:tcPr>
          <w:p w:rsidR="00FC5CD0" w:rsidRPr="000F2662" w:rsidRDefault="00FC5CD0" w:rsidP="00E317D5">
            <w:pPr>
              <w:spacing w:line="240" w:lineRule="auto"/>
              <w:jc w:val="center"/>
              <w:rPr>
                <w:rFonts w:cs="Arial"/>
                <w:sz w:val="18"/>
                <w:szCs w:val="18"/>
                <w:lang w:val="en-US"/>
              </w:rPr>
            </w:pPr>
            <w:r w:rsidRPr="000F2662">
              <w:rPr>
                <w:rFonts w:cs="Arial"/>
                <w:sz w:val="18"/>
                <w:szCs w:val="18"/>
                <w:lang w:val="en-US"/>
              </w:rPr>
              <w:t>N=11</w:t>
            </w:r>
          </w:p>
          <w:p w:rsidR="00FC5CD0" w:rsidRPr="000F2662" w:rsidRDefault="00FC5CD0" w:rsidP="00E317D5">
            <w:pPr>
              <w:spacing w:line="240" w:lineRule="auto"/>
              <w:jc w:val="center"/>
              <w:rPr>
                <w:rFonts w:cs="Arial"/>
                <w:sz w:val="18"/>
                <w:szCs w:val="18"/>
                <w:lang w:val="en-US"/>
              </w:rPr>
            </w:pPr>
            <w:r w:rsidRPr="000F2662">
              <w:rPr>
                <w:rFonts w:cs="Arial"/>
                <w:sz w:val="18"/>
                <w:szCs w:val="18"/>
                <w:lang w:val="en-US"/>
              </w:rPr>
              <w:t>172 ± 36</w:t>
            </w:r>
          </w:p>
          <w:p w:rsidR="00FC5CD0" w:rsidRPr="000F2662" w:rsidRDefault="00FC5CD0" w:rsidP="00E317D5">
            <w:pPr>
              <w:spacing w:line="240" w:lineRule="auto"/>
              <w:jc w:val="center"/>
              <w:rPr>
                <w:rFonts w:cs="Arial"/>
                <w:sz w:val="18"/>
                <w:szCs w:val="18"/>
                <w:lang w:val="en-US"/>
              </w:rPr>
            </w:pPr>
            <w:r w:rsidRPr="000F2662">
              <w:rPr>
                <w:rFonts w:cs="Arial"/>
                <w:sz w:val="18"/>
                <w:szCs w:val="18"/>
                <w:lang w:val="en-US"/>
              </w:rPr>
              <w:t>(113-225)</w:t>
            </w:r>
          </w:p>
        </w:tc>
      </w:tr>
      <w:tr w:rsidR="00FC5CD0" w:rsidRPr="000F2662" w:rsidTr="00E317D5">
        <w:tc>
          <w:tcPr>
            <w:tcW w:w="919" w:type="pct"/>
          </w:tcPr>
          <w:p w:rsidR="00FC5CD0" w:rsidRPr="000F2662" w:rsidRDefault="00FC5CD0" w:rsidP="00E317D5">
            <w:pPr>
              <w:spacing w:line="240" w:lineRule="auto"/>
              <w:rPr>
                <w:rFonts w:cs="Arial"/>
                <w:sz w:val="18"/>
                <w:szCs w:val="18"/>
                <w:lang w:val="en-US"/>
              </w:rPr>
            </w:pPr>
            <w:r w:rsidRPr="000F2662">
              <w:rPr>
                <w:rFonts w:cs="Arial"/>
                <w:sz w:val="18"/>
                <w:szCs w:val="18"/>
                <w:lang w:val="en-US"/>
              </w:rPr>
              <w:t xml:space="preserve">Unaffected´ relatives </w:t>
            </w:r>
          </w:p>
        </w:tc>
        <w:tc>
          <w:tcPr>
            <w:tcW w:w="693" w:type="pct"/>
          </w:tcPr>
          <w:p w:rsidR="00FC5CD0" w:rsidRPr="000F2662" w:rsidRDefault="00FC5CD0" w:rsidP="00E317D5">
            <w:pPr>
              <w:spacing w:line="240" w:lineRule="auto"/>
              <w:jc w:val="center"/>
              <w:rPr>
                <w:rFonts w:cs="Arial"/>
                <w:sz w:val="18"/>
                <w:szCs w:val="18"/>
                <w:lang w:val="en-US"/>
              </w:rPr>
            </w:pPr>
            <w:r w:rsidRPr="000F2662">
              <w:rPr>
                <w:rFonts w:cs="Arial"/>
                <w:sz w:val="18"/>
                <w:szCs w:val="18"/>
                <w:lang w:val="en-US"/>
              </w:rPr>
              <w:t>N=1</w:t>
            </w:r>
          </w:p>
          <w:p w:rsidR="00FC5CD0" w:rsidRPr="000F2662" w:rsidRDefault="00FC5CD0" w:rsidP="00E317D5">
            <w:pPr>
              <w:spacing w:line="240" w:lineRule="auto"/>
              <w:jc w:val="center"/>
              <w:rPr>
                <w:rFonts w:cs="Arial"/>
                <w:sz w:val="18"/>
                <w:szCs w:val="18"/>
                <w:lang w:val="en-US"/>
              </w:rPr>
            </w:pPr>
            <w:r w:rsidRPr="000F2662">
              <w:rPr>
                <w:rFonts w:cs="Arial"/>
                <w:sz w:val="18"/>
                <w:szCs w:val="18"/>
                <w:lang w:val="en-US"/>
              </w:rPr>
              <w:t>46056</w:t>
            </w:r>
          </w:p>
        </w:tc>
        <w:tc>
          <w:tcPr>
            <w:tcW w:w="693" w:type="pct"/>
          </w:tcPr>
          <w:p w:rsidR="00FC5CD0" w:rsidRPr="000F2662" w:rsidRDefault="00FC5CD0" w:rsidP="00E317D5">
            <w:pPr>
              <w:spacing w:line="240" w:lineRule="auto"/>
              <w:jc w:val="center"/>
              <w:rPr>
                <w:rFonts w:cs="Arial"/>
                <w:sz w:val="18"/>
                <w:szCs w:val="18"/>
                <w:lang w:val="en-US"/>
              </w:rPr>
            </w:pPr>
            <w:r w:rsidRPr="000F2662">
              <w:rPr>
                <w:rFonts w:cs="Arial"/>
                <w:sz w:val="18"/>
                <w:szCs w:val="18"/>
                <w:lang w:val="en-US"/>
              </w:rPr>
              <w:t>N=1</w:t>
            </w:r>
          </w:p>
          <w:p w:rsidR="00FC5CD0" w:rsidRPr="000F2662" w:rsidRDefault="00FC5CD0" w:rsidP="00E317D5">
            <w:pPr>
              <w:spacing w:line="240" w:lineRule="auto"/>
              <w:jc w:val="center"/>
              <w:rPr>
                <w:rFonts w:cs="Arial"/>
                <w:sz w:val="18"/>
                <w:szCs w:val="18"/>
                <w:lang w:val="en-US"/>
              </w:rPr>
            </w:pPr>
            <w:r w:rsidRPr="000F2662">
              <w:rPr>
                <w:rFonts w:cs="Arial"/>
                <w:sz w:val="18"/>
                <w:szCs w:val="18"/>
                <w:lang w:val="en-US"/>
              </w:rPr>
              <w:t>58528</w:t>
            </w:r>
          </w:p>
        </w:tc>
        <w:tc>
          <w:tcPr>
            <w:tcW w:w="693" w:type="pct"/>
          </w:tcPr>
          <w:p w:rsidR="00FC5CD0" w:rsidRPr="000F2662" w:rsidRDefault="00FC5CD0" w:rsidP="00E317D5">
            <w:pPr>
              <w:spacing w:line="240" w:lineRule="auto"/>
              <w:jc w:val="center"/>
              <w:rPr>
                <w:rFonts w:cs="Arial"/>
                <w:sz w:val="18"/>
                <w:szCs w:val="18"/>
                <w:lang w:val="en-US"/>
              </w:rPr>
            </w:pPr>
            <w:r w:rsidRPr="000F2662">
              <w:rPr>
                <w:rFonts w:cs="Arial"/>
                <w:sz w:val="18"/>
                <w:szCs w:val="18"/>
                <w:lang w:val="en-US"/>
              </w:rPr>
              <w:t>N=1</w:t>
            </w:r>
          </w:p>
          <w:p w:rsidR="00FC5CD0" w:rsidRPr="000F2662" w:rsidRDefault="00FC5CD0" w:rsidP="00E317D5">
            <w:pPr>
              <w:spacing w:line="240" w:lineRule="auto"/>
              <w:jc w:val="center"/>
              <w:rPr>
                <w:rFonts w:cs="Arial"/>
                <w:sz w:val="18"/>
                <w:szCs w:val="18"/>
                <w:lang w:val="en-US"/>
              </w:rPr>
            </w:pPr>
            <w:r w:rsidRPr="000F2662">
              <w:rPr>
                <w:rFonts w:cs="Arial"/>
                <w:sz w:val="18"/>
                <w:szCs w:val="18"/>
                <w:lang w:val="en-US"/>
              </w:rPr>
              <w:t>25411</w:t>
            </w:r>
          </w:p>
        </w:tc>
        <w:tc>
          <w:tcPr>
            <w:tcW w:w="724" w:type="pct"/>
          </w:tcPr>
          <w:p w:rsidR="00FC5CD0" w:rsidRPr="000F2662" w:rsidRDefault="00FC5CD0" w:rsidP="00E317D5">
            <w:pPr>
              <w:spacing w:line="240" w:lineRule="auto"/>
              <w:jc w:val="center"/>
              <w:rPr>
                <w:rFonts w:cs="Arial"/>
                <w:sz w:val="18"/>
                <w:szCs w:val="18"/>
                <w:lang w:val="en-US"/>
              </w:rPr>
            </w:pPr>
            <w:r w:rsidRPr="000F2662">
              <w:rPr>
                <w:rFonts w:cs="Arial"/>
                <w:sz w:val="18"/>
                <w:szCs w:val="18"/>
                <w:lang w:val="en-US"/>
              </w:rPr>
              <w:t>NA</w:t>
            </w:r>
          </w:p>
        </w:tc>
        <w:tc>
          <w:tcPr>
            <w:tcW w:w="611" w:type="pct"/>
          </w:tcPr>
          <w:p w:rsidR="00FC5CD0" w:rsidRPr="000F2662" w:rsidRDefault="00FC5CD0" w:rsidP="00E317D5">
            <w:pPr>
              <w:spacing w:line="240" w:lineRule="auto"/>
              <w:jc w:val="center"/>
              <w:rPr>
                <w:rFonts w:cs="Arial"/>
                <w:sz w:val="18"/>
                <w:szCs w:val="18"/>
                <w:lang w:val="en-US"/>
              </w:rPr>
            </w:pPr>
            <w:r w:rsidRPr="000F2662">
              <w:rPr>
                <w:rFonts w:cs="Arial"/>
                <w:sz w:val="18"/>
                <w:szCs w:val="18"/>
                <w:lang w:val="en-US"/>
              </w:rPr>
              <w:t>NA</w:t>
            </w:r>
          </w:p>
        </w:tc>
        <w:tc>
          <w:tcPr>
            <w:tcW w:w="668" w:type="pct"/>
          </w:tcPr>
          <w:p w:rsidR="00FC5CD0" w:rsidRPr="000F2662" w:rsidRDefault="00FC5CD0" w:rsidP="00E317D5">
            <w:pPr>
              <w:spacing w:line="240" w:lineRule="auto"/>
              <w:jc w:val="center"/>
              <w:rPr>
                <w:rFonts w:cs="Arial"/>
                <w:sz w:val="18"/>
                <w:szCs w:val="18"/>
                <w:lang w:val="en-US"/>
              </w:rPr>
            </w:pPr>
            <w:r w:rsidRPr="000F2662">
              <w:rPr>
                <w:rFonts w:cs="Arial"/>
                <w:sz w:val="18"/>
                <w:szCs w:val="18"/>
                <w:lang w:val="en-US"/>
              </w:rPr>
              <w:t>NA</w:t>
            </w:r>
          </w:p>
        </w:tc>
      </w:tr>
    </w:tbl>
    <w:p w:rsidR="00FC5CD0" w:rsidRPr="000F2662" w:rsidRDefault="00FC5CD0" w:rsidP="00FC5CD0">
      <w:pPr>
        <w:spacing w:after="0" w:line="240" w:lineRule="auto"/>
        <w:rPr>
          <w:sz w:val="16"/>
          <w:szCs w:val="16"/>
          <w:lang w:val="en-US"/>
        </w:rPr>
      </w:pPr>
      <w:r w:rsidRPr="000F2662">
        <w:rPr>
          <w:sz w:val="16"/>
          <w:szCs w:val="16"/>
          <w:lang w:val="en-US"/>
        </w:rPr>
        <w:t>Abbreviations: GP, glycoprotein.</w:t>
      </w:r>
    </w:p>
    <w:p w:rsidR="00FC5CD0" w:rsidRPr="000F2662" w:rsidRDefault="00FC5CD0" w:rsidP="00FC5CD0">
      <w:pPr>
        <w:spacing w:after="0" w:line="240" w:lineRule="auto"/>
        <w:rPr>
          <w:rFonts w:cstheme="minorHAnsi"/>
          <w:sz w:val="16"/>
          <w:szCs w:val="16"/>
          <w:lang w:val="en-US"/>
        </w:rPr>
      </w:pPr>
      <w:r>
        <w:rPr>
          <w:sz w:val="16"/>
          <w:szCs w:val="16"/>
          <w:lang w:val="en-US"/>
        </w:rPr>
        <w:t>R</w:t>
      </w:r>
      <w:r w:rsidRPr="000F2662">
        <w:rPr>
          <w:sz w:val="16"/>
          <w:szCs w:val="16"/>
          <w:lang w:val="en-US"/>
        </w:rPr>
        <w:t xml:space="preserve">esults are presented as mean </w:t>
      </w:r>
      <w:r w:rsidRPr="000F2662">
        <w:rPr>
          <w:rFonts w:cstheme="minorHAnsi"/>
          <w:sz w:val="16"/>
          <w:szCs w:val="16"/>
          <w:lang w:val="en-US"/>
        </w:rPr>
        <w:t xml:space="preserve">± one standard deviation, </w:t>
      </w:r>
      <w:r w:rsidRPr="000F2662">
        <w:rPr>
          <w:rFonts w:ascii="Arial Narrow" w:hAnsi="Arial Narrow" w:cstheme="minorHAnsi"/>
          <w:sz w:val="16"/>
          <w:szCs w:val="16"/>
          <w:lang w:val="en-US"/>
        </w:rPr>
        <w:t>[</w:t>
      </w:r>
      <w:r w:rsidRPr="000F2662">
        <w:rPr>
          <w:rFonts w:cstheme="minorHAnsi"/>
          <w:sz w:val="16"/>
          <w:szCs w:val="16"/>
          <w:lang w:val="en-US"/>
        </w:rPr>
        <w:t>P5-P95</w:t>
      </w:r>
      <w:r w:rsidRPr="000F2662">
        <w:rPr>
          <w:rFonts w:ascii="Arial Narrow" w:hAnsi="Arial Narrow" w:cstheme="minorHAnsi"/>
          <w:sz w:val="16"/>
          <w:szCs w:val="16"/>
          <w:lang w:val="en-US"/>
        </w:rPr>
        <w:t>]</w:t>
      </w:r>
      <w:r w:rsidRPr="000F2662">
        <w:rPr>
          <w:rFonts w:cstheme="minorHAnsi"/>
          <w:sz w:val="16"/>
          <w:szCs w:val="16"/>
          <w:lang w:val="en-US"/>
        </w:rPr>
        <w:t xml:space="preserve"> and (minimum-maximum) values.</w:t>
      </w:r>
    </w:p>
    <w:p w:rsidR="00FC5CD0" w:rsidRPr="000F2662" w:rsidRDefault="00FC5CD0" w:rsidP="00FC5CD0">
      <w:pPr>
        <w:spacing w:after="0" w:line="240" w:lineRule="auto"/>
        <w:rPr>
          <w:sz w:val="16"/>
          <w:szCs w:val="16"/>
          <w:lang w:val="en-US"/>
        </w:rPr>
      </w:pPr>
      <w:r w:rsidRPr="000F2662">
        <w:rPr>
          <w:sz w:val="16"/>
          <w:szCs w:val="16"/>
          <w:lang w:val="en-US"/>
        </w:rPr>
        <w:t>* Healthy adult individuals (blood donors)</w:t>
      </w:r>
    </w:p>
    <w:p w:rsidR="00FC5CD0" w:rsidRPr="000F2662" w:rsidRDefault="00FC5CD0" w:rsidP="00FC5CD0">
      <w:pPr>
        <w:spacing w:after="0" w:line="240" w:lineRule="auto"/>
        <w:rPr>
          <w:sz w:val="16"/>
          <w:szCs w:val="16"/>
          <w:lang w:val="en-US"/>
        </w:rPr>
      </w:pPr>
      <w:r w:rsidRPr="000F2662">
        <w:rPr>
          <w:sz w:val="16"/>
          <w:szCs w:val="16"/>
          <w:lang w:val="en-US"/>
        </w:rPr>
        <w:t>†</w:t>
      </w:r>
      <w:r>
        <w:rPr>
          <w:sz w:val="16"/>
          <w:szCs w:val="16"/>
          <w:lang w:val="en-US"/>
        </w:rPr>
        <w:t xml:space="preserve"> </w:t>
      </w:r>
      <w:r w:rsidRPr="000F2662">
        <w:rPr>
          <w:sz w:val="16"/>
          <w:szCs w:val="16"/>
          <w:lang w:val="en-US"/>
        </w:rPr>
        <w:t xml:space="preserve">Platelet </w:t>
      </w:r>
      <w:proofErr w:type="spellStart"/>
      <w:r w:rsidRPr="000F2662">
        <w:rPr>
          <w:sz w:val="16"/>
          <w:szCs w:val="16"/>
          <w:lang w:val="en-US"/>
        </w:rPr>
        <w:t>Gp</w:t>
      </w:r>
      <w:proofErr w:type="spellEnd"/>
      <w:r w:rsidRPr="000F2662">
        <w:rPr>
          <w:sz w:val="16"/>
          <w:szCs w:val="16"/>
          <w:lang w:val="en-US"/>
        </w:rPr>
        <w:t xml:space="preserve"> Screen (catalogue number 7008) and Platelet </w:t>
      </w:r>
      <w:proofErr w:type="spellStart"/>
      <w:r w:rsidRPr="000F2662">
        <w:rPr>
          <w:sz w:val="16"/>
          <w:szCs w:val="16"/>
          <w:lang w:val="en-US"/>
        </w:rPr>
        <w:t>Gp</w:t>
      </w:r>
      <w:proofErr w:type="spellEnd"/>
      <w:r w:rsidRPr="000F2662">
        <w:rPr>
          <w:sz w:val="16"/>
          <w:szCs w:val="16"/>
          <w:lang w:val="en-US"/>
        </w:rPr>
        <w:t>/Receptors (catalogue number 7004) kits (</w:t>
      </w:r>
      <w:proofErr w:type="spellStart"/>
      <w:r w:rsidRPr="000F2662">
        <w:rPr>
          <w:sz w:val="16"/>
          <w:szCs w:val="16"/>
          <w:lang w:val="en-US"/>
        </w:rPr>
        <w:t>Biocytex</w:t>
      </w:r>
      <w:proofErr w:type="spellEnd"/>
      <w:r w:rsidRPr="000F2662">
        <w:rPr>
          <w:sz w:val="16"/>
          <w:szCs w:val="16"/>
          <w:lang w:val="en-US"/>
        </w:rPr>
        <w:t xml:space="preserve">, Marseille, France). </w:t>
      </w:r>
    </w:p>
    <w:p w:rsidR="00FC5CD0" w:rsidRPr="000F2662" w:rsidRDefault="00FC5CD0" w:rsidP="00FC5CD0">
      <w:pPr>
        <w:spacing w:after="0" w:line="240" w:lineRule="auto"/>
        <w:rPr>
          <w:sz w:val="16"/>
          <w:szCs w:val="16"/>
          <w:lang w:val="en-US"/>
        </w:rPr>
      </w:pPr>
      <w:r w:rsidRPr="000F2662">
        <w:rPr>
          <w:sz w:val="16"/>
          <w:szCs w:val="16"/>
          <w:lang w:val="en-US"/>
        </w:rPr>
        <w:t>‡ Whole blood staining with FITC-conjugated mouse anti-human CD41a (</w:t>
      </w:r>
      <w:r>
        <w:rPr>
          <w:sz w:val="16"/>
          <w:szCs w:val="16"/>
          <w:lang w:val="en-US"/>
        </w:rPr>
        <w:t>GPIIb/IIIa</w:t>
      </w:r>
      <w:r w:rsidRPr="000F2662">
        <w:rPr>
          <w:sz w:val="16"/>
          <w:szCs w:val="16"/>
          <w:lang w:val="en-US"/>
        </w:rPr>
        <w:t>, clone HIP8) and FITC-conjugated mouse anti-human CD61 (</w:t>
      </w:r>
      <w:r>
        <w:rPr>
          <w:sz w:val="16"/>
          <w:szCs w:val="16"/>
          <w:lang w:val="en-US"/>
        </w:rPr>
        <w:t>GPIIIa</w:t>
      </w:r>
      <w:r w:rsidRPr="000F2662">
        <w:rPr>
          <w:sz w:val="16"/>
          <w:szCs w:val="16"/>
          <w:lang w:val="en-US"/>
        </w:rPr>
        <w:t>) (clone RUU-PL7F12), both from Becton Dickinson Biosciences, San Jose, CA, USA, and PE-conjugated mouse anti-human CD42b (</w:t>
      </w:r>
      <w:r>
        <w:rPr>
          <w:sz w:val="16"/>
          <w:szCs w:val="16"/>
          <w:lang w:val="en-US"/>
        </w:rPr>
        <w:t>GPIb</w:t>
      </w:r>
      <w:r w:rsidRPr="000F2662">
        <w:rPr>
          <w:sz w:val="16"/>
          <w:szCs w:val="16"/>
          <w:lang w:val="en-US"/>
        </w:rPr>
        <w:t xml:space="preserve">) (clone AN51), from </w:t>
      </w:r>
      <w:proofErr w:type="spellStart"/>
      <w:r w:rsidRPr="000F2662">
        <w:rPr>
          <w:sz w:val="16"/>
          <w:szCs w:val="16"/>
          <w:lang w:val="en-US"/>
        </w:rPr>
        <w:t>Dako</w:t>
      </w:r>
      <w:proofErr w:type="spellEnd"/>
      <w:r w:rsidRPr="000F2662">
        <w:rPr>
          <w:sz w:val="16"/>
          <w:szCs w:val="16"/>
          <w:lang w:val="en-US"/>
        </w:rPr>
        <w:t xml:space="preserve">, </w:t>
      </w:r>
      <w:proofErr w:type="spellStart"/>
      <w:r w:rsidRPr="000F2662">
        <w:rPr>
          <w:sz w:val="16"/>
          <w:szCs w:val="16"/>
          <w:lang w:val="en-US"/>
        </w:rPr>
        <w:t>Glostrup</w:t>
      </w:r>
      <w:proofErr w:type="spellEnd"/>
      <w:r w:rsidRPr="000F2662">
        <w:rPr>
          <w:sz w:val="16"/>
          <w:szCs w:val="16"/>
          <w:lang w:val="en-US"/>
        </w:rPr>
        <w:t>, Denmark.</w:t>
      </w:r>
    </w:p>
    <w:p w:rsidR="00FC5CD0" w:rsidRDefault="00FC5CD0" w:rsidP="00FC5CD0">
      <w:pPr>
        <w:spacing w:after="0" w:line="240" w:lineRule="auto"/>
        <w:rPr>
          <w:sz w:val="16"/>
          <w:szCs w:val="16"/>
          <w:lang w:val="en-US"/>
        </w:rPr>
      </w:pPr>
      <w:r w:rsidRPr="000F2662">
        <w:rPr>
          <w:sz w:val="16"/>
          <w:szCs w:val="16"/>
          <w:lang w:val="en-US"/>
        </w:rPr>
        <w:t>§ For the semi-quantitative method, PLT glycoproteins levels are expressed as percentage of normal GP values, calculated by dividing the MFI obtained in PLT from each sample after staining with fluorochrome-conjugated monoclonal antibodies directed against the correspondent PLT glycoprotein, by the mean MFI obtained in the control group.</w:t>
      </w:r>
    </w:p>
    <w:p w:rsidR="008754D7" w:rsidRDefault="008754D7" w:rsidP="00FC5CD0">
      <w:pPr>
        <w:pStyle w:val="Ttulo2"/>
        <w:rPr>
          <w:lang w:val="en-GB"/>
        </w:rPr>
      </w:pPr>
      <w:r>
        <w:rPr>
          <w:lang w:val="en-GB"/>
        </w:rPr>
        <w:br w:type="page"/>
      </w:r>
    </w:p>
    <w:p w:rsidR="00DB1C92" w:rsidRDefault="00F84CD8" w:rsidP="00247B90">
      <w:pPr>
        <w:pStyle w:val="Ttulo3"/>
        <w:rPr>
          <w:lang w:val="en-GB"/>
        </w:rPr>
      </w:pPr>
      <w:bookmarkStart w:id="5" w:name="_Hlk31354222"/>
      <w:r>
        <w:rPr>
          <w:lang w:val="en-GB"/>
        </w:rPr>
        <w:lastRenderedPageBreak/>
        <w:t xml:space="preserve">S1 </w:t>
      </w:r>
      <w:r>
        <w:rPr>
          <w:rFonts w:cs="Arial"/>
          <w:lang w:val="en-GB"/>
        </w:rPr>
        <w:t>|</w:t>
      </w:r>
      <w:r>
        <w:rPr>
          <w:lang w:val="en-GB"/>
        </w:rPr>
        <w:t xml:space="preserve"> PROTOCOL 2: </w:t>
      </w:r>
      <w:r w:rsidR="00FC5CD0">
        <w:rPr>
          <w:lang w:val="en-GB"/>
        </w:rPr>
        <w:t xml:space="preserve">FLOW </w:t>
      </w:r>
      <w:r w:rsidR="00FC5CD0" w:rsidRPr="00F84CD8">
        <w:rPr>
          <w:lang w:val="en-US"/>
        </w:rPr>
        <w:t>CYTOMETRY</w:t>
      </w:r>
      <w:r w:rsidR="00FC5CD0">
        <w:rPr>
          <w:lang w:val="en-GB"/>
        </w:rPr>
        <w:t xml:space="preserve"> PROTOCOL FOR PLATELET ACTIVATION STUDIES</w:t>
      </w:r>
    </w:p>
    <w:bookmarkEnd w:id="5"/>
    <w:p w:rsidR="00D36F2E" w:rsidRPr="00702ACD" w:rsidRDefault="00D36F2E" w:rsidP="00247B90">
      <w:pPr>
        <w:pStyle w:val="Ttulo4"/>
        <w:rPr>
          <w:lang w:val="en-US"/>
        </w:rPr>
      </w:pPr>
      <w:r w:rsidRPr="00702ACD">
        <w:rPr>
          <w:lang w:val="en-US"/>
        </w:rPr>
        <w:t>Brief explanation</w:t>
      </w:r>
    </w:p>
    <w:p w:rsidR="000A04AA" w:rsidRPr="00702ACD" w:rsidRDefault="000A04AA" w:rsidP="00D330C7">
      <w:pPr>
        <w:rPr>
          <w:color w:val="000000" w:themeColor="text1"/>
          <w:lang w:val="en-US"/>
        </w:rPr>
      </w:pPr>
      <w:r w:rsidRPr="00702ACD">
        <w:rPr>
          <w:lang w:val="en-US"/>
        </w:rPr>
        <w:t>Platelet (PLT) activation is measured in whole peripheral blood (PB) by flow cytometry (FCM)</w:t>
      </w:r>
      <w:r w:rsidRPr="00702ACD">
        <w:rPr>
          <w:color w:val="000000" w:themeColor="text1"/>
          <w:lang w:val="en-US"/>
        </w:rPr>
        <w:t xml:space="preserve"> </w:t>
      </w:r>
      <w:r w:rsidR="00DB1C92" w:rsidRPr="00702ACD">
        <w:rPr>
          <w:lang w:val="en-US"/>
        </w:rPr>
        <w:t xml:space="preserve">by measuring </w:t>
      </w:r>
      <w:r w:rsidRPr="00702ACD">
        <w:rPr>
          <w:lang w:val="en-US"/>
        </w:rPr>
        <w:t xml:space="preserve">the expression of </w:t>
      </w:r>
      <w:r w:rsidR="00DB1C92" w:rsidRPr="00702ACD">
        <w:rPr>
          <w:shd w:val="clear" w:color="auto" w:fill="FFFFFF"/>
          <w:lang w:val="en-US"/>
        </w:rPr>
        <w:t xml:space="preserve">activation-induced binding sites (AIBS) in GPIIb/IIIa </w:t>
      </w:r>
      <w:r w:rsidR="00D36F2E" w:rsidRPr="00702ACD">
        <w:rPr>
          <w:shd w:val="clear" w:color="auto" w:fill="FFFFFF"/>
          <w:lang w:val="en-US"/>
        </w:rPr>
        <w:t xml:space="preserve">(anti-PAC1 mAb) </w:t>
      </w:r>
      <w:r w:rsidR="00DB1C92" w:rsidRPr="00702ACD">
        <w:rPr>
          <w:shd w:val="clear" w:color="auto" w:fill="FFFFFF"/>
          <w:lang w:val="en-US"/>
        </w:rPr>
        <w:t xml:space="preserve">and receptor induced binding sites (RIBS) </w:t>
      </w:r>
      <w:r w:rsidR="00DB1C92" w:rsidRPr="00702ACD">
        <w:rPr>
          <w:lang w:val="en-US"/>
        </w:rPr>
        <w:t>on the fibrinogen (FG) ligand</w:t>
      </w:r>
      <w:r w:rsidR="00D36F2E" w:rsidRPr="00702ACD">
        <w:rPr>
          <w:lang w:val="en-US"/>
        </w:rPr>
        <w:t xml:space="preserve"> (anti-bFG mAb)</w:t>
      </w:r>
      <w:r w:rsidR="00DB1C92" w:rsidRPr="00702ACD">
        <w:rPr>
          <w:lang w:val="en-US"/>
        </w:rPr>
        <w:t xml:space="preserve">, </w:t>
      </w:r>
      <w:r w:rsidRPr="00702ACD">
        <w:rPr>
          <w:lang w:val="en-US"/>
        </w:rPr>
        <w:t>after stimulation with ADP (Adenosine Diphosphate) or TRAP-6 (</w:t>
      </w:r>
      <w:r w:rsidRPr="00702ACD">
        <w:rPr>
          <w:color w:val="000000" w:themeColor="text1"/>
          <w:lang w:val="en-US"/>
        </w:rPr>
        <w:t>Protease activated receptor (PAR)-1 agonist thrombin receptor activator peptide 6</w:t>
      </w:r>
      <w:r w:rsidRPr="00702ACD">
        <w:rPr>
          <w:lang w:val="en-US"/>
        </w:rPr>
        <w:t xml:space="preserve">), </w:t>
      </w:r>
      <w:r w:rsidR="00DB1C92" w:rsidRPr="00702ACD">
        <w:rPr>
          <w:lang w:val="en-US"/>
        </w:rPr>
        <w:t xml:space="preserve">using an in-house developed </w:t>
      </w:r>
      <w:r w:rsidR="00BE185D" w:rsidRPr="00702ACD">
        <w:rPr>
          <w:lang w:val="en-US"/>
        </w:rPr>
        <w:t>protocol</w:t>
      </w:r>
      <w:r w:rsidR="00DB1C92" w:rsidRPr="00702ACD">
        <w:rPr>
          <w:lang w:val="en-US"/>
        </w:rPr>
        <w:t xml:space="preserve">, based on a commercially kit that is no longer in the market (PLATELET Fibrinogen, </w:t>
      </w:r>
      <w:proofErr w:type="spellStart"/>
      <w:r w:rsidR="00DB1C92" w:rsidRPr="00702ACD">
        <w:rPr>
          <w:lang w:val="en-US"/>
        </w:rPr>
        <w:t>Biocytex</w:t>
      </w:r>
      <w:proofErr w:type="spellEnd"/>
      <w:r w:rsidR="00DB1C92" w:rsidRPr="00702ACD">
        <w:rPr>
          <w:lang w:val="en-US"/>
        </w:rPr>
        <w:t>, Marseille, France; catalogue number 7012).</w:t>
      </w:r>
      <w:r w:rsidR="00BE7815" w:rsidRPr="00702ACD">
        <w:rPr>
          <w:lang w:val="en-US"/>
        </w:rPr>
        <w:t xml:space="preserve"> </w:t>
      </w:r>
    </w:p>
    <w:p w:rsidR="00DB1C92" w:rsidRPr="00702ACD" w:rsidRDefault="00BE7815" w:rsidP="00D330C7">
      <w:pPr>
        <w:rPr>
          <w:lang w:val="en-US"/>
        </w:rPr>
      </w:pPr>
      <w:r w:rsidRPr="00702ACD">
        <w:rPr>
          <w:lang w:val="en-US"/>
        </w:rPr>
        <w:t>Two PB</w:t>
      </w:r>
      <w:r w:rsidR="000A04AA" w:rsidRPr="00702ACD">
        <w:rPr>
          <w:lang w:val="en-US"/>
        </w:rPr>
        <w:t xml:space="preserve"> </w:t>
      </w:r>
      <w:r w:rsidRPr="00702ACD">
        <w:rPr>
          <w:lang w:val="en-US"/>
        </w:rPr>
        <w:t>samples obtained from healthy individuals (blood donors) are studied daily, in parallel with patient</w:t>
      </w:r>
      <w:r w:rsidR="00605BAD" w:rsidRPr="00702ACD">
        <w:rPr>
          <w:lang w:val="en-US"/>
        </w:rPr>
        <w:t>s´</w:t>
      </w:r>
      <w:r w:rsidRPr="00702ACD">
        <w:rPr>
          <w:lang w:val="en-US"/>
        </w:rPr>
        <w:t xml:space="preserve"> samples, as normal controls.</w:t>
      </w:r>
    </w:p>
    <w:p w:rsidR="002E4692" w:rsidRPr="00702ACD" w:rsidRDefault="002E4692" w:rsidP="00247B90">
      <w:pPr>
        <w:pStyle w:val="Ttulo4"/>
        <w:rPr>
          <w:lang w:val="en-US"/>
        </w:rPr>
      </w:pPr>
      <w:r w:rsidRPr="00702ACD">
        <w:rPr>
          <w:lang w:val="en-US"/>
        </w:rPr>
        <w:t>Duration</w:t>
      </w:r>
    </w:p>
    <w:p w:rsidR="002E4692" w:rsidRPr="00702ACD" w:rsidRDefault="002E4692" w:rsidP="002E4692">
      <w:pPr>
        <w:rPr>
          <w:lang w:val="en-US"/>
        </w:rPr>
      </w:pPr>
      <w:r w:rsidRPr="00702ACD">
        <w:rPr>
          <w:lang w:val="en-US"/>
        </w:rPr>
        <w:t>Approximately 2 hours.</w:t>
      </w:r>
    </w:p>
    <w:p w:rsidR="00A66065" w:rsidRPr="00702ACD" w:rsidRDefault="00A66065" w:rsidP="00247B90">
      <w:pPr>
        <w:pStyle w:val="Ttulo4"/>
        <w:rPr>
          <w:lang w:val="en-US"/>
        </w:rPr>
      </w:pPr>
      <w:r w:rsidRPr="00702ACD">
        <w:rPr>
          <w:lang w:val="en-US"/>
        </w:rPr>
        <w:t>Temperature</w:t>
      </w:r>
    </w:p>
    <w:p w:rsidR="00A66065" w:rsidRPr="00702ACD" w:rsidRDefault="00A66065" w:rsidP="00A66065">
      <w:pPr>
        <w:jc w:val="left"/>
        <w:rPr>
          <w:lang w:val="en-US"/>
        </w:rPr>
      </w:pPr>
      <w:r w:rsidRPr="00702ACD">
        <w:rPr>
          <w:lang w:val="en-US"/>
        </w:rPr>
        <w:t>Reagents and samples should be kept at room temperature when in use and samples should be processed at room temperature (approximately 22ºC).</w:t>
      </w:r>
    </w:p>
    <w:p w:rsidR="00A66065" w:rsidRPr="00702ACD" w:rsidRDefault="00A66065" w:rsidP="00247B90">
      <w:pPr>
        <w:pStyle w:val="Ttulo4"/>
        <w:rPr>
          <w:lang w:val="en-US"/>
        </w:rPr>
      </w:pPr>
      <w:r w:rsidRPr="00702ACD">
        <w:rPr>
          <w:lang w:val="en-US"/>
        </w:rPr>
        <w:t>Peripheral blood samples</w:t>
      </w:r>
    </w:p>
    <w:p w:rsidR="00A66065" w:rsidRPr="00702ACD" w:rsidRDefault="00A66065" w:rsidP="00A66065">
      <w:pPr>
        <w:pStyle w:val="PargrafodaLista"/>
        <w:numPr>
          <w:ilvl w:val="0"/>
          <w:numId w:val="16"/>
        </w:numPr>
        <w:rPr>
          <w:lang w:val="en-US"/>
        </w:rPr>
      </w:pPr>
      <w:r w:rsidRPr="00702ACD">
        <w:rPr>
          <w:lang w:val="en-US"/>
        </w:rPr>
        <w:t>PB samples collected into sodium citrate containing tubes</w:t>
      </w:r>
      <w:r w:rsidR="000A04AA" w:rsidRPr="00702ACD">
        <w:rPr>
          <w:lang w:val="en-US"/>
        </w:rPr>
        <w:t>.</w:t>
      </w:r>
    </w:p>
    <w:p w:rsidR="00A66065" w:rsidRPr="00702ACD" w:rsidRDefault="00A66065" w:rsidP="00A66065">
      <w:pPr>
        <w:pStyle w:val="PargrafodaLista"/>
        <w:numPr>
          <w:ilvl w:val="1"/>
          <w:numId w:val="16"/>
        </w:numPr>
        <w:rPr>
          <w:lang w:val="en-US"/>
        </w:rPr>
      </w:pPr>
      <w:r w:rsidRPr="00702ACD">
        <w:rPr>
          <w:lang w:val="en-US"/>
        </w:rPr>
        <w:t>PB sample from the patient</w:t>
      </w:r>
      <w:r w:rsidR="000A04AA" w:rsidRPr="00702ACD">
        <w:rPr>
          <w:lang w:val="en-US"/>
        </w:rPr>
        <w:t>.</w:t>
      </w:r>
    </w:p>
    <w:p w:rsidR="00A66065" w:rsidRPr="00702ACD" w:rsidRDefault="00A66065" w:rsidP="00A66065">
      <w:pPr>
        <w:pStyle w:val="PargrafodaLista"/>
        <w:numPr>
          <w:ilvl w:val="1"/>
          <w:numId w:val="16"/>
        </w:numPr>
        <w:rPr>
          <w:lang w:val="en-US"/>
        </w:rPr>
      </w:pPr>
      <w:r w:rsidRPr="00702ACD">
        <w:rPr>
          <w:lang w:val="en-US"/>
        </w:rPr>
        <w:t>PB samples from 2 healthy controls to be processed in parallel</w:t>
      </w:r>
      <w:r w:rsidR="000A04AA" w:rsidRPr="00702ACD">
        <w:rPr>
          <w:lang w:val="en-US"/>
        </w:rPr>
        <w:t>.</w:t>
      </w:r>
    </w:p>
    <w:p w:rsidR="00A66065" w:rsidRPr="00702ACD" w:rsidRDefault="00A66065" w:rsidP="00A66065">
      <w:pPr>
        <w:pStyle w:val="PargrafodaLista"/>
        <w:numPr>
          <w:ilvl w:val="0"/>
          <w:numId w:val="16"/>
        </w:numPr>
        <w:rPr>
          <w:lang w:val="en-US"/>
        </w:rPr>
      </w:pPr>
      <w:r w:rsidRPr="00702ACD">
        <w:rPr>
          <w:lang w:val="en-US"/>
        </w:rPr>
        <w:t>Leave the PB samples resting for 60 minutes at room temperature after collection until study begins.</w:t>
      </w:r>
    </w:p>
    <w:p w:rsidR="002E4692" w:rsidRPr="00702ACD" w:rsidRDefault="002E4692" w:rsidP="00247B90">
      <w:pPr>
        <w:pStyle w:val="Ttulo4"/>
        <w:rPr>
          <w:lang w:val="en-US"/>
        </w:rPr>
      </w:pPr>
      <w:r w:rsidRPr="00702ACD">
        <w:rPr>
          <w:lang w:val="en-US"/>
        </w:rPr>
        <w:t>Reagents</w:t>
      </w:r>
    </w:p>
    <w:p w:rsidR="002E4692" w:rsidRPr="00702ACD" w:rsidRDefault="002E4692" w:rsidP="00247B90">
      <w:pPr>
        <w:pStyle w:val="Ttulo5"/>
        <w:rPr>
          <w:lang w:val="en-US"/>
        </w:rPr>
      </w:pPr>
      <w:r w:rsidRPr="00702ACD">
        <w:rPr>
          <w:lang w:val="en-US"/>
        </w:rPr>
        <w:t>Monoclonal antibodies (mAbs)</w:t>
      </w:r>
    </w:p>
    <w:p w:rsidR="002E4692" w:rsidRPr="00702ACD" w:rsidRDefault="002E4692" w:rsidP="002E4692">
      <w:pPr>
        <w:rPr>
          <w:lang w:val="en-US"/>
        </w:rPr>
      </w:pPr>
      <w:r w:rsidRPr="00702ACD">
        <w:rPr>
          <w:color w:val="000000" w:themeColor="text1"/>
          <w:lang w:val="en-US"/>
        </w:rPr>
        <w:t xml:space="preserve">PLT staining is performed using fluorescein </w:t>
      </w:r>
      <w:r w:rsidRPr="00702ACD">
        <w:rPr>
          <w:lang w:val="en-US"/>
        </w:rPr>
        <w:t xml:space="preserve">isothiocyanate (FITC) and phycoerythrin (PE) -conjugated mouse anti-human mAbs from Becton Dickinson (BD, San Jose, CA, USA), from </w:t>
      </w:r>
      <w:proofErr w:type="spellStart"/>
      <w:r w:rsidRPr="00702ACD">
        <w:rPr>
          <w:lang w:val="en-US"/>
        </w:rPr>
        <w:t>Dako</w:t>
      </w:r>
      <w:proofErr w:type="spellEnd"/>
      <w:r w:rsidRPr="00702ACD">
        <w:rPr>
          <w:lang w:val="en-US"/>
        </w:rPr>
        <w:t xml:space="preserve"> (DK, </w:t>
      </w:r>
      <w:proofErr w:type="spellStart"/>
      <w:r w:rsidRPr="00702ACD">
        <w:rPr>
          <w:lang w:val="en-US"/>
        </w:rPr>
        <w:t>Glostrup</w:t>
      </w:r>
      <w:proofErr w:type="spellEnd"/>
      <w:r w:rsidRPr="00702ACD">
        <w:rPr>
          <w:lang w:val="en-US"/>
        </w:rPr>
        <w:t xml:space="preserve">, Denmark) and from </w:t>
      </w:r>
      <w:proofErr w:type="spellStart"/>
      <w:r w:rsidRPr="00702ACD">
        <w:rPr>
          <w:lang w:val="en-US"/>
        </w:rPr>
        <w:t>Biocytex</w:t>
      </w:r>
      <w:proofErr w:type="spellEnd"/>
      <w:r w:rsidRPr="00702ACD">
        <w:rPr>
          <w:lang w:val="en-US"/>
        </w:rPr>
        <w:t xml:space="preserve"> (Marseille, France), whose catalogue numbers (Ref.) are indicated below.</w:t>
      </w:r>
    </w:p>
    <w:p w:rsidR="00596AFA" w:rsidRPr="00702ACD" w:rsidRDefault="00596AFA" w:rsidP="00596AFA">
      <w:pPr>
        <w:pStyle w:val="PargrafodaLista"/>
        <w:numPr>
          <w:ilvl w:val="0"/>
          <w:numId w:val="17"/>
        </w:numPr>
        <w:rPr>
          <w:bCs/>
          <w:lang w:val="en-US"/>
        </w:rPr>
      </w:pPr>
      <w:r w:rsidRPr="00702ACD">
        <w:rPr>
          <w:lang w:val="en-US"/>
        </w:rPr>
        <w:t>PE-conjugated mouse anti-human CD42b (GPIb) (clone AN51; DK, Ref. R7014)</w:t>
      </w:r>
    </w:p>
    <w:p w:rsidR="00596AFA" w:rsidRPr="00702ACD" w:rsidRDefault="00596AFA" w:rsidP="00596AFA">
      <w:pPr>
        <w:pStyle w:val="PargrafodaLista"/>
        <w:numPr>
          <w:ilvl w:val="0"/>
          <w:numId w:val="17"/>
        </w:numPr>
        <w:rPr>
          <w:bCs/>
          <w:lang w:val="en-US"/>
        </w:rPr>
      </w:pPr>
      <w:r w:rsidRPr="00702ACD">
        <w:rPr>
          <w:lang w:val="en-US"/>
        </w:rPr>
        <w:t xml:space="preserve">FITC-conjugated mouse anti-human PAC-1 (clone PAC-1; BD, Ref. 340507) </w:t>
      </w:r>
    </w:p>
    <w:p w:rsidR="00596AFA" w:rsidRPr="00702ACD" w:rsidRDefault="00596AFA" w:rsidP="00596AFA">
      <w:pPr>
        <w:pStyle w:val="PargrafodaLista"/>
        <w:numPr>
          <w:ilvl w:val="0"/>
          <w:numId w:val="17"/>
        </w:numPr>
        <w:rPr>
          <w:bCs/>
          <w:lang w:val="en-US"/>
        </w:rPr>
      </w:pPr>
      <w:r w:rsidRPr="00702ACD">
        <w:rPr>
          <w:lang w:val="en-US"/>
        </w:rPr>
        <w:t xml:space="preserve">FITC-conjugated mouse anti-human bound fibrinogen (clone 9F9; </w:t>
      </w:r>
      <w:proofErr w:type="spellStart"/>
      <w:r w:rsidRPr="00702ACD">
        <w:rPr>
          <w:lang w:val="en-US"/>
        </w:rPr>
        <w:t>Biocytex</w:t>
      </w:r>
      <w:proofErr w:type="spellEnd"/>
      <w:r w:rsidRPr="00702ACD">
        <w:rPr>
          <w:lang w:val="en-US"/>
        </w:rPr>
        <w:t xml:space="preserve">, Ref. 5009-F100T). </w:t>
      </w:r>
    </w:p>
    <w:p w:rsidR="002E4692" w:rsidRPr="00702ACD" w:rsidRDefault="002E4692" w:rsidP="002E4692">
      <w:pPr>
        <w:rPr>
          <w:lang w:val="en-US"/>
        </w:rPr>
      </w:pPr>
      <w:r w:rsidRPr="00702ACD">
        <w:rPr>
          <w:lang w:val="en-US"/>
        </w:rPr>
        <w:t>The anti-CD42b mAb was used for gating the PLT cell population and anti-PAC1 and anti-bFG mAbs are used to measure PLT activation.</w:t>
      </w:r>
    </w:p>
    <w:p w:rsidR="002E4692" w:rsidRPr="006357EA" w:rsidRDefault="002E4692" w:rsidP="002E4692">
      <w:pPr>
        <w:rPr>
          <w:lang w:val="en-US"/>
        </w:rPr>
      </w:pPr>
      <w:r w:rsidRPr="00702ACD">
        <w:rPr>
          <w:lang w:val="en-US"/>
        </w:rPr>
        <w:t>Background staining is evaluated in both cases using FITC- and PE-conjugated isotype mAbs.</w:t>
      </w:r>
    </w:p>
    <w:p w:rsidR="00605BAD" w:rsidRPr="00702ACD" w:rsidRDefault="00605BAD" w:rsidP="007B0EF5">
      <w:pPr>
        <w:pBdr>
          <w:top w:val="single" w:sz="4" w:space="1" w:color="auto"/>
          <w:left w:val="single" w:sz="4" w:space="4" w:color="auto"/>
          <w:bottom w:val="single" w:sz="4" w:space="1" w:color="auto"/>
          <w:right w:val="single" w:sz="4" w:space="4" w:color="auto"/>
        </w:pBdr>
        <w:spacing w:before="1080" w:line="240" w:lineRule="auto"/>
        <w:rPr>
          <w:i/>
          <w:iCs/>
          <w:szCs w:val="20"/>
          <w:u w:val="single"/>
          <w:lang w:val="en-US"/>
        </w:rPr>
      </w:pPr>
      <w:r w:rsidRPr="00702ACD">
        <w:rPr>
          <w:i/>
          <w:iCs/>
          <w:szCs w:val="20"/>
          <w:u w:val="single"/>
          <w:lang w:val="en-US"/>
        </w:rPr>
        <w:lastRenderedPageBreak/>
        <w:t>Comments</w:t>
      </w:r>
    </w:p>
    <w:p w:rsidR="002E4692" w:rsidRPr="00702ACD" w:rsidRDefault="002E4692" w:rsidP="002E4692">
      <w:pPr>
        <w:pBdr>
          <w:top w:val="single" w:sz="4" w:space="1" w:color="auto"/>
          <w:left w:val="single" w:sz="4" w:space="4" w:color="auto"/>
          <w:bottom w:val="single" w:sz="4" w:space="1" w:color="auto"/>
          <w:right w:val="single" w:sz="4" w:space="4" w:color="auto"/>
        </w:pBdr>
        <w:spacing w:line="240" w:lineRule="auto"/>
        <w:rPr>
          <w:i/>
          <w:iCs/>
          <w:szCs w:val="20"/>
          <w:lang w:val="en-US"/>
        </w:rPr>
      </w:pPr>
      <w:r w:rsidRPr="00702ACD">
        <w:rPr>
          <w:i/>
          <w:iCs/>
          <w:szCs w:val="20"/>
          <w:lang w:val="en-US"/>
        </w:rPr>
        <w:t>Anti-CD61 and anti-CD41a mAbs are specific for the proteins of the GPIIb/IIIa complex: anti-CD61 recognizes the GPIIIa, whereas anti-human CD41a recognizes the calcium dependent GPIIb/IIIa complex. Anti-CD42b is specific for the GPIb glycoprotein. CD41a expression increases after PLT activation (</w:t>
      </w:r>
      <w:proofErr w:type="spellStart"/>
      <w:r w:rsidR="00645180">
        <w:fldChar w:fldCharType="begin"/>
      </w:r>
      <w:r w:rsidR="00645180" w:rsidRPr="00A50434">
        <w:rPr>
          <w:lang w:val="en-US"/>
        </w:rPr>
        <w:instrText xml:space="preserve"> HYPERLINK "https://www.ncbi.nlm.nih.gov/pubmed/?term=15894353" </w:instrText>
      </w:r>
      <w:r w:rsidR="00645180">
        <w:fldChar w:fldCharType="separate"/>
      </w:r>
      <w:r w:rsidRPr="00702ACD">
        <w:rPr>
          <w:rStyle w:val="Hiperligao"/>
          <w:i/>
          <w:iCs/>
          <w:szCs w:val="20"/>
          <w:lang w:val="en-US"/>
        </w:rPr>
        <w:t>Matzdorff</w:t>
      </w:r>
      <w:proofErr w:type="spellEnd"/>
      <w:r w:rsidRPr="00702ACD">
        <w:rPr>
          <w:rStyle w:val="Hiperligao"/>
          <w:i/>
          <w:iCs/>
          <w:szCs w:val="20"/>
          <w:lang w:val="en-US"/>
        </w:rPr>
        <w:t xml:space="preserve"> A, 2006</w:t>
      </w:r>
      <w:r w:rsidR="00645180">
        <w:rPr>
          <w:rStyle w:val="Hiperligao"/>
          <w:i/>
          <w:iCs/>
          <w:szCs w:val="20"/>
          <w:lang w:val="en-US"/>
        </w:rPr>
        <w:fldChar w:fldCharType="end"/>
      </w:r>
      <w:r w:rsidRPr="00702ACD">
        <w:rPr>
          <w:i/>
          <w:iCs/>
          <w:szCs w:val="20"/>
          <w:lang w:val="en-US"/>
        </w:rPr>
        <w:t>), an opposite effect being observed on the levels of CD42b (</w:t>
      </w:r>
      <w:hyperlink r:id="rId21" w:history="1">
        <w:r w:rsidRPr="00702ACD">
          <w:rPr>
            <w:rStyle w:val="Hiperligao"/>
            <w:i/>
            <w:iCs/>
            <w:szCs w:val="20"/>
            <w:lang w:val="en-US"/>
          </w:rPr>
          <w:t>Michelson AD, 1994</w:t>
        </w:r>
      </w:hyperlink>
      <w:r w:rsidRPr="00702ACD">
        <w:rPr>
          <w:i/>
          <w:iCs/>
          <w:szCs w:val="20"/>
          <w:lang w:val="en-US"/>
        </w:rPr>
        <w:t>).</w:t>
      </w:r>
    </w:p>
    <w:p w:rsidR="002E4692" w:rsidRPr="00702ACD" w:rsidRDefault="002E4692" w:rsidP="002E4692">
      <w:pPr>
        <w:pBdr>
          <w:top w:val="single" w:sz="4" w:space="1" w:color="auto"/>
          <w:left w:val="single" w:sz="4" w:space="4" w:color="auto"/>
          <w:bottom w:val="single" w:sz="4" w:space="1" w:color="auto"/>
          <w:right w:val="single" w:sz="4" w:space="4" w:color="auto"/>
        </w:pBdr>
        <w:spacing w:line="240" w:lineRule="auto"/>
        <w:rPr>
          <w:i/>
          <w:iCs/>
          <w:szCs w:val="20"/>
          <w:lang w:val="en-US"/>
        </w:rPr>
      </w:pPr>
      <w:r w:rsidRPr="00702ACD">
        <w:rPr>
          <w:i/>
          <w:iCs/>
          <w:szCs w:val="20"/>
          <w:lang w:val="en-US"/>
        </w:rPr>
        <w:t>Anti-PAC-1 and anti-bFG mAbs are both conformation-specific, as they distinguish between resting and activated PLTs by recognizing ligand-induced binding sites (LIBS) on the GPIIb/IIIa receptor (</w:t>
      </w:r>
      <w:hyperlink r:id="rId22" w:history="1">
        <w:r w:rsidRPr="00702ACD">
          <w:rPr>
            <w:rStyle w:val="Hiperligao"/>
            <w:i/>
            <w:iCs/>
            <w:szCs w:val="20"/>
            <w:lang w:val="en-US"/>
          </w:rPr>
          <w:t>Ginsberg MH, 1990</w:t>
        </w:r>
      </w:hyperlink>
      <w:r w:rsidRPr="00702ACD">
        <w:rPr>
          <w:i/>
          <w:iCs/>
          <w:szCs w:val="20"/>
          <w:lang w:val="en-US"/>
        </w:rPr>
        <w:t>), and receptor induced binding sites (RIBS) on the FG ligand (</w:t>
      </w:r>
      <w:proofErr w:type="spellStart"/>
      <w:r w:rsidR="00645180">
        <w:fldChar w:fldCharType="begin"/>
      </w:r>
      <w:r w:rsidR="00645180" w:rsidRPr="00A50434">
        <w:rPr>
          <w:lang w:val="en-US"/>
        </w:rPr>
        <w:instrText xml:space="preserve"> HYPERLINK "https://www.ncbi.nlm.nih.gov/pubmed/?term=7691805" </w:instrText>
      </w:r>
      <w:r w:rsidR="00645180">
        <w:fldChar w:fldCharType="separate"/>
      </w:r>
      <w:r w:rsidRPr="00702ACD">
        <w:rPr>
          <w:rStyle w:val="Hiperligao"/>
          <w:i/>
          <w:iCs/>
          <w:szCs w:val="20"/>
          <w:lang w:val="en-US"/>
        </w:rPr>
        <w:t>Ugarova</w:t>
      </w:r>
      <w:proofErr w:type="spellEnd"/>
      <w:r w:rsidRPr="00702ACD">
        <w:rPr>
          <w:rStyle w:val="Hiperligao"/>
          <w:i/>
          <w:iCs/>
          <w:szCs w:val="20"/>
          <w:lang w:val="en-US"/>
        </w:rPr>
        <w:t xml:space="preserve"> TP, 1993</w:t>
      </w:r>
      <w:r w:rsidR="00645180">
        <w:rPr>
          <w:rStyle w:val="Hiperligao"/>
          <w:i/>
          <w:iCs/>
          <w:szCs w:val="20"/>
          <w:lang w:val="en-US"/>
        </w:rPr>
        <w:fldChar w:fldCharType="end"/>
      </w:r>
      <w:r w:rsidRPr="00702ACD">
        <w:rPr>
          <w:i/>
          <w:iCs/>
          <w:szCs w:val="20"/>
          <w:lang w:val="en-US"/>
        </w:rPr>
        <w:t>), respectively. The anti-PAC-1 mAb recognizes a GPIIb/IIIa epitope expressed on activated platelets at or near the fibrinogen-binding site (</w:t>
      </w:r>
      <w:proofErr w:type="spellStart"/>
      <w:r w:rsidR="00645180">
        <w:fldChar w:fldCharType="begin"/>
      </w:r>
      <w:r w:rsidR="00645180" w:rsidRPr="00A50434">
        <w:rPr>
          <w:lang w:val="en-US"/>
        </w:rPr>
        <w:instrText xml:space="preserve"> HYPERLINK "https://www.ncbi.nlm.nih.gov/pubmed/?term=2411729" </w:instrText>
      </w:r>
      <w:r w:rsidR="00645180">
        <w:fldChar w:fldCharType="separate"/>
      </w:r>
      <w:r w:rsidRPr="00702ACD">
        <w:rPr>
          <w:rStyle w:val="Hiperligao"/>
          <w:i/>
          <w:iCs/>
          <w:szCs w:val="20"/>
          <w:lang w:val="en-US"/>
        </w:rPr>
        <w:t>Shattil</w:t>
      </w:r>
      <w:proofErr w:type="spellEnd"/>
      <w:r w:rsidRPr="00702ACD">
        <w:rPr>
          <w:rStyle w:val="Hiperligao"/>
          <w:i/>
          <w:iCs/>
          <w:szCs w:val="20"/>
          <w:lang w:val="en-US"/>
        </w:rPr>
        <w:t xml:space="preserve"> SJ, 1985</w:t>
      </w:r>
      <w:r w:rsidR="00645180">
        <w:rPr>
          <w:rStyle w:val="Hiperligao"/>
          <w:i/>
          <w:iCs/>
          <w:szCs w:val="20"/>
          <w:lang w:val="en-US"/>
        </w:rPr>
        <w:fldChar w:fldCharType="end"/>
      </w:r>
      <w:r w:rsidRPr="00702ACD">
        <w:rPr>
          <w:i/>
          <w:iCs/>
          <w:szCs w:val="20"/>
          <w:lang w:val="en-US"/>
        </w:rPr>
        <w:t>) (</w:t>
      </w:r>
      <w:hyperlink r:id="rId23" w:history="1">
        <w:r w:rsidRPr="00702ACD">
          <w:rPr>
            <w:rStyle w:val="Hiperligao"/>
            <w:i/>
            <w:iCs/>
            <w:szCs w:val="20"/>
            <w:lang w:val="en-US"/>
          </w:rPr>
          <w:t>Ginsberg MH, 1990</w:t>
        </w:r>
      </w:hyperlink>
      <w:r w:rsidRPr="00702ACD">
        <w:rPr>
          <w:i/>
          <w:iCs/>
          <w:szCs w:val="20"/>
          <w:lang w:val="en-US"/>
        </w:rPr>
        <w:t xml:space="preserve">). Anti-human bFG is specific for human FG bound to the GPIIb/IIIa receptor by recognizing the 9F9 epitope located in the NH2-terminal part of the </w:t>
      </w:r>
      <w:r w:rsidRPr="00702ACD">
        <w:rPr>
          <w:rFonts w:ascii="Symbol" w:hAnsi="Symbol"/>
          <w:i/>
          <w:iCs/>
          <w:szCs w:val="20"/>
          <w:lang w:val="en-US"/>
        </w:rPr>
        <w:t></w:t>
      </w:r>
      <w:r w:rsidRPr="00702ACD">
        <w:rPr>
          <w:i/>
          <w:iCs/>
          <w:szCs w:val="20"/>
          <w:lang w:val="en-US"/>
        </w:rPr>
        <w:t xml:space="preserve">-chain of fragment D (g112-119) </w:t>
      </w:r>
      <w:r w:rsidR="00EA62AA">
        <w:fldChar w:fldCharType="begin"/>
      </w:r>
      <w:r w:rsidR="00EA62AA" w:rsidRPr="005D7D8B">
        <w:rPr>
          <w:lang w:val="en-US"/>
        </w:rPr>
        <w:instrText xml:space="preserve"> HYPERLINK "https://www.n</w:instrText>
      </w:r>
      <w:r w:rsidR="00EA62AA" w:rsidRPr="005D7D8B">
        <w:rPr>
          <w:lang w:val="en-US"/>
        </w:rPr>
        <w:instrText xml:space="preserve">cbi.nlm.nih.gov/pubmed/?term=7691805" </w:instrText>
      </w:r>
      <w:r w:rsidR="00EA62AA">
        <w:fldChar w:fldCharType="separate"/>
      </w:r>
      <w:proofErr w:type="spellStart"/>
      <w:r w:rsidRPr="00702ACD">
        <w:rPr>
          <w:rStyle w:val="Hiperligao"/>
          <w:i/>
          <w:iCs/>
          <w:szCs w:val="20"/>
          <w:lang w:val="en-US"/>
        </w:rPr>
        <w:t>Ugarova</w:t>
      </w:r>
      <w:proofErr w:type="spellEnd"/>
      <w:r w:rsidRPr="00702ACD">
        <w:rPr>
          <w:rStyle w:val="Hiperligao"/>
          <w:i/>
          <w:iCs/>
          <w:szCs w:val="20"/>
          <w:lang w:val="en-US"/>
        </w:rPr>
        <w:t xml:space="preserve"> TP, 1993</w:t>
      </w:r>
      <w:r w:rsidR="00EA62AA">
        <w:rPr>
          <w:rStyle w:val="Hiperligao"/>
          <w:i/>
          <w:iCs/>
          <w:szCs w:val="20"/>
          <w:lang w:val="en-US"/>
        </w:rPr>
        <w:fldChar w:fldCharType="end"/>
      </w:r>
      <w:r w:rsidRPr="00702ACD">
        <w:rPr>
          <w:i/>
          <w:iCs/>
          <w:szCs w:val="20"/>
          <w:lang w:val="en-US"/>
        </w:rPr>
        <w:t>). Both have been used for a long time to detect activated platelets in humans (</w:t>
      </w:r>
      <w:r w:rsidR="00EA62AA">
        <w:fldChar w:fldCharType="begin"/>
      </w:r>
      <w:r w:rsidR="00EA62AA" w:rsidRPr="005D7D8B">
        <w:rPr>
          <w:lang w:val="en-US"/>
        </w:rPr>
        <w:instrText xml:space="preserve"> HYPERLINK "https://www.ncbi.nlm.nih.gov/pubmed/?term=2294986" </w:instrText>
      </w:r>
      <w:r w:rsidR="00EA62AA">
        <w:fldChar w:fldCharType="separate"/>
      </w:r>
      <w:r w:rsidRPr="00702ACD">
        <w:rPr>
          <w:rStyle w:val="Hiperligao"/>
          <w:i/>
          <w:iCs/>
          <w:szCs w:val="20"/>
          <w:lang w:val="en-US"/>
        </w:rPr>
        <w:t>Abrams CS, 1990</w:t>
      </w:r>
      <w:r w:rsidR="00EA62AA">
        <w:rPr>
          <w:rStyle w:val="Hiperligao"/>
          <w:i/>
          <w:iCs/>
          <w:szCs w:val="20"/>
          <w:lang w:val="en-US"/>
        </w:rPr>
        <w:fldChar w:fldCharType="end"/>
      </w:r>
      <w:r w:rsidRPr="00702ACD">
        <w:rPr>
          <w:i/>
          <w:iCs/>
          <w:szCs w:val="20"/>
          <w:lang w:val="en-US"/>
        </w:rPr>
        <w:t>).</w:t>
      </w:r>
    </w:p>
    <w:p w:rsidR="002E4692" w:rsidRPr="00702ACD" w:rsidRDefault="002E4692" w:rsidP="002E4692">
      <w:pPr>
        <w:rPr>
          <w:i/>
          <w:iCs/>
          <w:lang w:val="en-US"/>
        </w:rPr>
      </w:pPr>
      <w:r w:rsidRPr="00702ACD">
        <w:rPr>
          <w:i/>
          <w:iCs/>
          <w:u w:val="single"/>
          <w:lang w:val="en-US"/>
        </w:rPr>
        <w:t>Comments</w:t>
      </w:r>
      <w:r w:rsidRPr="00702ACD">
        <w:rPr>
          <w:i/>
          <w:iCs/>
          <w:lang w:val="en-US"/>
        </w:rPr>
        <w:t>: Local FCM laboratories should implement IQC programs for the reagents used, especially concerning the mAbs, in order to prevent disparities related to antibody degradation (e.g. improper use after the expiration date, unappropriated storage conditions) and lot-to-lot variations.</w:t>
      </w:r>
    </w:p>
    <w:p w:rsidR="002E4692" w:rsidRPr="00702ACD" w:rsidRDefault="002E4692" w:rsidP="00247B90">
      <w:pPr>
        <w:pStyle w:val="Ttulo5"/>
        <w:rPr>
          <w:lang w:val="en-US"/>
        </w:rPr>
      </w:pPr>
      <w:r w:rsidRPr="00702ACD">
        <w:rPr>
          <w:lang w:val="en-US"/>
        </w:rPr>
        <w:t xml:space="preserve">Platelet agonists </w:t>
      </w:r>
    </w:p>
    <w:p w:rsidR="002E4692" w:rsidRPr="00702ACD" w:rsidRDefault="002E4692" w:rsidP="002E4692">
      <w:pPr>
        <w:rPr>
          <w:lang w:val="en-US"/>
        </w:rPr>
      </w:pPr>
      <w:r w:rsidRPr="00702ACD">
        <w:rPr>
          <w:lang w:val="en-US"/>
        </w:rPr>
        <w:t xml:space="preserve">PLT agonists used in PLT activation studies included the P2Y12 agonist ADP (Chrono-Log Corporation – CLC, Havertown, PA, USA; </w:t>
      </w:r>
      <w:r w:rsidRPr="00702ACD">
        <w:rPr>
          <w:color w:val="000000" w:themeColor="text1"/>
          <w:lang w:val="en-US"/>
        </w:rPr>
        <w:t>catalogue number</w:t>
      </w:r>
      <w:r w:rsidRPr="00702ACD">
        <w:rPr>
          <w:lang w:val="en-US"/>
        </w:rPr>
        <w:t xml:space="preserve"> PN-384) (final concentration: 10 µM) and the protease activated receptor (PAR)-1 agonist thrombin receptor activator peptide 6 (TRAP-6) </w:t>
      </w:r>
      <w:r w:rsidRPr="00702ACD">
        <w:rPr>
          <w:color w:val="000000" w:themeColor="text1"/>
          <w:lang w:val="en-US"/>
        </w:rPr>
        <w:t>(</w:t>
      </w:r>
      <w:proofErr w:type="spellStart"/>
      <w:r w:rsidRPr="00702ACD">
        <w:rPr>
          <w:lang w:val="en-US"/>
        </w:rPr>
        <w:t>Stago</w:t>
      </w:r>
      <w:proofErr w:type="spellEnd"/>
      <w:r w:rsidRPr="00702ACD">
        <w:rPr>
          <w:lang w:val="en-US"/>
        </w:rPr>
        <w:t xml:space="preserve">, </w:t>
      </w:r>
      <w:proofErr w:type="spellStart"/>
      <w:r w:rsidRPr="00702ACD">
        <w:rPr>
          <w:lang w:val="en-US"/>
        </w:rPr>
        <w:t>Asnières</w:t>
      </w:r>
      <w:proofErr w:type="spellEnd"/>
      <w:r w:rsidRPr="00702ACD">
        <w:rPr>
          <w:lang w:val="en-US"/>
        </w:rPr>
        <w:t xml:space="preserve">-sur-Seine, </w:t>
      </w:r>
      <w:r w:rsidRPr="00702ACD">
        <w:rPr>
          <w:color w:val="000000" w:themeColor="text1"/>
          <w:lang w:val="en-US"/>
        </w:rPr>
        <w:t>France; catalogue number 86926</w:t>
      </w:r>
      <w:r w:rsidRPr="00702ACD">
        <w:rPr>
          <w:lang w:val="en-US"/>
        </w:rPr>
        <w:t>) (final concentration: 20 µM).</w:t>
      </w:r>
    </w:p>
    <w:p w:rsidR="00605BAD" w:rsidRPr="00702ACD" w:rsidRDefault="00605BAD" w:rsidP="00605BAD">
      <w:pPr>
        <w:pBdr>
          <w:top w:val="single" w:sz="4" w:space="1" w:color="auto"/>
          <w:left w:val="single" w:sz="4" w:space="4" w:color="auto"/>
          <w:bottom w:val="single" w:sz="4" w:space="1" w:color="auto"/>
          <w:right w:val="single" w:sz="4" w:space="4" w:color="auto"/>
        </w:pBdr>
        <w:spacing w:line="240" w:lineRule="auto"/>
        <w:rPr>
          <w:i/>
          <w:iCs/>
          <w:szCs w:val="20"/>
          <w:u w:val="single"/>
          <w:lang w:val="en-US"/>
        </w:rPr>
      </w:pPr>
      <w:r w:rsidRPr="00702ACD">
        <w:rPr>
          <w:i/>
          <w:iCs/>
          <w:szCs w:val="20"/>
          <w:u w:val="single"/>
          <w:lang w:val="en-US"/>
        </w:rPr>
        <w:t>Comments</w:t>
      </w:r>
    </w:p>
    <w:p w:rsidR="002E4692" w:rsidRPr="00702ACD" w:rsidRDefault="002E4692" w:rsidP="002E4692">
      <w:pPr>
        <w:pBdr>
          <w:top w:val="single" w:sz="4" w:space="1" w:color="auto"/>
          <w:left w:val="single" w:sz="4" w:space="4" w:color="auto"/>
          <w:bottom w:val="single" w:sz="4" w:space="1" w:color="auto"/>
          <w:right w:val="single" w:sz="4" w:space="4" w:color="auto"/>
        </w:pBdr>
        <w:spacing w:line="240" w:lineRule="auto"/>
        <w:rPr>
          <w:i/>
          <w:iCs/>
          <w:color w:val="000000" w:themeColor="text1"/>
          <w:szCs w:val="20"/>
          <w:lang w:val="en-US"/>
        </w:rPr>
      </w:pPr>
      <w:r w:rsidRPr="00702ACD">
        <w:rPr>
          <w:i/>
          <w:iCs/>
          <w:color w:val="000000" w:themeColor="text1"/>
          <w:szCs w:val="20"/>
          <w:lang w:val="en-US"/>
        </w:rPr>
        <w:t xml:space="preserve">TRAP-6 and ADP have different potency as PLT agonists and diverse mechanisms of action. TRAP-6 is a synthetic hexapeptide fragment (SFLLRN) that acts as a strong agonist for the thrombin receptor (also known protease-activated receptor 1, PAR-1) and stimulates mobilization of free intracellular calcium, rapidly phosphorylates phosphodiesterase and induces PLTs to aggregate </w:t>
      </w:r>
      <w:r w:rsidRPr="00702ACD">
        <w:rPr>
          <w:rFonts w:cs="Arial"/>
          <w:i/>
          <w:iCs/>
          <w:szCs w:val="20"/>
          <w:lang w:val="en-US"/>
        </w:rPr>
        <w:t>(</w:t>
      </w:r>
      <w:proofErr w:type="spellStart"/>
      <w:r w:rsidR="00645180">
        <w:fldChar w:fldCharType="begin"/>
      </w:r>
      <w:r w:rsidR="00645180" w:rsidRPr="00A50434">
        <w:rPr>
          <w:lang w:val="en-US"/>
        </w:rPr>
        <w:instrText xml:space="preserve"> HYPERLINK "https://www.ncbi.nlm.nih.gov/pubmed/?term=1313429" </w:instrText>
      </w:r>
      <w:r w:rsidR="00645180">
        <w:fldChar w:fldCharType="separate"/>
      </w:r>
      <w:r w:rsidRPr="00702ACD">
        <w:rPr>
          <w:rStyle w:val="Hiperligao"/>
          <w:rFonts w:cs="Arial"/>
          <w:i/>
          <w:iCs/>
          <w:szCs w:val="20"/>
          <w:lang w:val="en-US"/>
        </w:rPr>
        <w:t>Vassalo</w:t>
      </w:r>
      <w:proofErr w:type="spellEnd"/>
      <w:r w:rsidRPr="00702ACD">
        <w:rPr>
          <w:rStyle w:val="Hiperligao"/>
          <w:rFonts w:cs="Arial"/>
          <w:i/>
          <w:iCs/>
          <w:szCs w:val="20"/>
          <w:lang w:val="en-US"/>
        </w:rPr>
        <w:t xml:space="preserve"> RR, 1992</w:t>
      </w:r>
      <w:r w:rsidR="00645180">
        <w:rPr>
          <w:rStyle w:val="Hiperligao"/>
          <w:rFonts w:cs="Arial"/>
          <w:i/>
          <w:iCs/>
          <w:szCs w:val="20"/>
          <w:lang w:val="en-US"/>
        </w:rPr>
        <w:fldChar w:fldCharType="end"/>
      </w:r>
      <w:r w:rsidRPr="00702ACD">
        <w:rPr>
          <w:rFonts w:cs="Arial"/>
          <w:i/>
          <w:iCs/>
          <w:szCs w:val="20"/>
          <w:lang w:val="en-US"/>
        </w:rPr>
        <w:t>)</w:t>
      </w:r>
      <w:r w:rsidRPr="00702ACD">
        <w:rPr>
          <w:i/>
          <w:iCs/>
          <w:color w:val="000000" w:themeColor="text1"/>
          <w:szCs w:val="20"/>
          <w:lang w:val="en-US"/>
        </w:rPr>
        <w:t xml:space="preserve">. ADP is a weak PLT agonist that acts on the P2Y12, a G-coupled purinergic receptor </w:t>
      </w:r>
      <w:r w:rsidRPr="00702ACD">
        <w:rPr>
          <w:rFonts w:cs="Arial"/>
          <w:i/>
          <w:iCs/>
          <w:szCs w:val="20"/>
          <w:lang w:val="en-US"/>
        </w:rPr>
        <w:t>(</w:t>
      </w:r>
      <w:proofErr w:type="spellStart"/>
      <w:r w:rsidR="00645180">
        <w:fldChar w:fldCharType="begin"/>
      </w:r>
      <w:r w:rsidR="00645180" w:rsidRPr="00A50434">
        <w:rPr>
          <w:lang w:val="en-US"/>
        </w:rPr>
        <w:instrText xml:space="preserve"> HYPERLINK "https://www.ncbi.nlm.nih.gov/pubmed/?term=14755328" </w:instrText>
      </w:r>
      <w:r w:rsidR="00645180">
        <w:fldChar w:fldCharType="separate"/>
      </w:r>
      <w:r w:rsidRPr="00702ACD">
        <w:rPr>
          <w:rStyle w:val="Hiperligao"/>
          <w:i/>
          <w:iCs/>
          <w:szCs w:val="20"/>
          <w:lang w:val="en-US"/>
        </w:rPr>
        <w:t>Dorsam</w:t>
      </w:r>
      <w:proofErr w:type="spellEnd"/>
      <w:r w:rsidRPr="00702ACD">
        <w:rPr>
          <w:rStyle w:val="Hiperligao"/>
          <w:i/>
          <w:iCs/>
          <w:szCs w:val="20"/>
          <w:lang w:val="en-US"/>
        </w:rPr>
        <w:t xml:space="preserve"> RT, 2004</w:t>
      </w:r>
      <w:r w:rsidR="00645180">
        <w:rPr>
          <w:rStyle w:val="Hiperligao"/>
          <w:i/>
          <w:iCs/>
          <w:szCs w:val="20"/>
          <w:lang w:val="en-US"/>
        </w:rPr>
        <w:fldChar w:fldCharType="end"/>
      </w:r>
      <w:r w:rsidRPr="00702ACD">
        <w:rPr>
          <w:i/>
          <w:iCs/>
          <w:szCs w:val="20"/>
          <w:lang w:val="en-US"/>
        </w:rPr>
        <w:t>)</w:t>
      </w:r>
      <w:r w:rsidRPr="00702ACD">
        <w:rPr>
          <w:i/>
          <w:iCs/>
          <w:color w:val="000000" w:themeColor="text1"/>
          <w:szCs w:val="20"/>
          <w:lang w:val="en-US"/>
        </w:rPr>
        <w:t xml:space="preserve">. </w:t>
      </w:r>
    </w:p>
    <w:p w:rsidR="002E4692" w:rsidRPr="00702ACD" w:rsidRDefault="002E4692" w:rsidP="00247B90">
      <w:pPr>
        <w:pStyle w:val="Ttulo5"/>
        <w:rPr>
          <w:lang w:val="en-US"/>
        </w:rPr>
      </w:pPr>
      <w:r w:rsidRPr="00702ACD">
        <w:rPr>
          <w:lang w:val="en-US"/>
        </w:rPr>
        <w:t>Other reagents</w:t>
      </w:r>
    </w:p>
    <w:p w:rsidR="002E4692" w:rsidRPr="00702ACD" w:rsidRDefault="002E4692" w:rsidP="002E4692">
      <w:pPr>
        <w:pStyle w:val="PargrafodaLista"/>
        <w:numPr>
          <w:ilvl w:val="0"/>
          <w:numId w:val="25"/>
        </w:numPr>
        <w:rPr>
          <w:color w:val="000000" w:themeColor="text1"/>
          <w:lang w:val="en-US"/>
        </w:rPr>
      </w:pPr>
      <w:proofErr w:type="spellStart"/>
      <w:r w:rsidRPr="00702ACD">
        <w:rPr>
          <w:color w:val="000000" w:themeColor="text1"/>
        </w:rPr>
        <w:t>Bovine</w:t>
      </w:r>
      <w:proofErr w:type="spellEnd"/>
      <w:r w:rsidRPr="00702ACD">
        <w:rPr>
          <w:color w:val="000000" w:themeColor="text1"/>
        </w:rPr>
        <w:t xml:space="preserve"> </w:t>
      </w:r>
      <w:proofErr w:type="spellStart"/>
      <w:r w:rsidRPr="00702ACD">
        <w:rPr>
          <w:color w:val="000000" w:themeColor="text1"/>
        </w:rPr>
        <w:t>Serum</w:t>
      </w:r>
      <w:proofErr w:type="spellEnd"/>
      <w:r w:rsidRPr="00702ACD">
        <w:rPr>
          <w:color w:val="000000" w:themeColor="text1"/>
        </w:rPr>
        <w:t xml:space="preserve"> </w:t>
      </w:r>
      <w:proofErr w:type="spellStart"/>
      <w:r w:rsidRPr="00702ACD">
        <w:rPr>
          <w:color w:val="000000" w:themeColor="text1"/>
        </w:rPr>
        <w:t>Albumin</w:t>
      </w:r>
      <w:proofErr w:type="spellEnd"/>
      <w:r w:rsidRPr="00702ACD">
        <w:rPr>
          <w:color w:val="000000" w:themeColor="text1"/>
        </w:rPr>
        <w:t xml:space="preserve"> (BSA) (Sigma, </w:t>
      </w:r>
      <w:proofErr w:type="spellStart"/>
      <w:r w:rsidRPr="00702ACD">
        <w:rPr>
          <w:color w:val="000000" w:themeColor="text1"/>
        </w:rPr>
        <w:t>Ref</w:t>
      </w:r>
      <w:proofErr w:type="spellEnd"/>
      <w:r w:rsidRPr="00702ACD">
        <w:rPr>
          <w:color w:val="000000" w:themeColor="text1"/>
        </w:rPr>
        <w:t xml:space="preserve">. </w:t>
      </w:r>
      <w:r w:rsidRPr="00702ACD">
        <w:rPr>
          <w:color w:val="000000" w:themeColor="text1"/>
          <w:lang w:val="en-US"/>
        </w:rPr>
        <w:t>A3294-50G)</w:t>
      </w:r>
    </w:p>
    <w:p w:rsidR="002E4692" w:rsidRPr="00702ACD" w:rsidRDefault="002E4692" w:rsidP="002E4692">
      <w:pPr>
        <w:pStyle w:val="PargrafodaLista"/>
        <w:numPr>
          <w:ilvl w:val="0"/>
          <w:numId w:val="25"/>
        </w:numPr>
        <w:rPr>
          <w:color w:val="000000" w:themeColor="text1"/>
          <w:lang w:val="en-US"/>
        </w:rPr>
      </w:pPr>
      <w:r w:rsidRPr="00702ACD">
        <w:rPr>
          <w:color w:val="000000" w:themeColor="text1"/>
          <w:lang w:val="en-US"/>
        </w:rPr>
        <w:t xml:space="preserve">Ethylenediaminetetraacetic acid dipotassium salt dihydrate, </w:t>
      </w:r>
      <w:proofErr w:type="spellStart"/>
      <w:r w:rsidRPr="00702ACD">
        <w:rPr>
          <w:color w:val="000000" w:themeColor="text1"/>
          <w:lang w:val="en-US"/>
        </w:rPr>
        <w:t>puriss</w:t>
      </w:r>
      <w:proofErr w:type="spellEnd"/>
      <w:r w:rsidRPr="00702ACD">
        <w:rPr>
          <w:color w:val="000000" w:themeColor="text1"/>
          <w:lang w:val="en-US"/>
        </w:rPr>
        <w:t>. p.a., &gt;=99.0% (KT) (EDTA-K2) (Sigma-Aldrich; Ref. SAF-03660-100G).</w:t>
      </w:r>
    </w:p>
    <w:p w:rsidR="002E4692" w:rsidRPr="00702ACD" w:rsidRDefault="002E4692" w:rsidP="002E4692">
      <w:pPr>
        <w:pStyle w:val="PargrafodaLista"/>
        <w:numPr>
          <w:ilvl w:val="0"/>
          <w:numId w:val="25"/>
        </w:numPr>
        <w:rPr>
          <w:color w:val="000000" w:themeColor="text1"/>
          <w:lang w:val="en-US"/>
        </w:rPr>
      </w:pPr>
      <w:r w:rsidRPr="00702ACD">
        <w:rPr>
          <w:color w:val="000000" w:themeColor="text1"/>
          <w:lang w:val="en-US"/>
        </w:rPr>
        <w:t>Phosphate buffered saline (PBS) (15 packets; 15x500mL) (BC, Ref. 6603369) – Each package contains 15 foil-wrapped packets of PBS Buffer reagent. Each package is brought up to a 500 mL volume with distilled water to yield a 0.01 M potassium phosphate, 0.15 M sodium chloride at a pH of 7.2 ± 0.2.</w:t>
      </w:r>
    </w:p>
    <w:p w:rsidR="002E4692" w:rsidRPr="00702ACD" w:rsidRDefault="002E4692" w:rsidP="002E4692">
      <w:pPr>
        <w:pStyle w:val="PargrafodaLista"/>
        <w:numPr>
          <w:ilvl w:val="0"/>
          <w:numId w:val="25"/>
        </w:numPr>
        <w:rPr>
          <w:color w:val="000000" w:themeColor="text1"/>
          <w:lang w:val="en-US"/>
        </w:rPr>
      </w:pPr>
      <w:r w:rsidRPr="00702ACD">
        <w:rPr>
          <w:color w:val="000000" w:themeColor="text1"/>
          <w:lang w:val="en-US"/>
        </w:rPr>
        <w:t>ADP (Chrono-Log Corporation – CLC, Havertown, PA, USA; Ref. PN-384) – Each vial contains 2.5mg of lyophilized adenosine diphosphate.</w:t>
      </w:r>
    </w:p>
    <w:p w:rsidR="002E4692" w:rsidRPr="00702ACD" w:rsidRDefault="002E4692" w:rsidP="002E4692">
      <w:pPr>
        <w:pStyle w:val="PargrafodaLista"/>
        <w:numPr>
          <w:ilvl w:val="0"/>
          <w:numId w:val="25"/>
        </w:numPr>
        <w:rPr>
          <w:color w:val="000000" w:themeColor="text1"/>
          <w:lang w:val="en-US"/>
        </w:rPr>
      </w:pPr>
      <w:r w:rsidRPr="00702ACD">
        <w:rPr>
          <w:color w:val="000000" w:themeColor="text1"/>
          <w:lang w:val="en-US"/>
        </w:rPr>
        <w:t>TRAP-6 (Protease activated receptor (PAR)-1 agonist thrombin receptor activator peptide 6) (</w:t>
      </w:r>
      <w:proofErr w:type="spellStart"/>
      <w:r w:rsidRPr="00702ACD">
        <w:rPr>
          <w:color w:val="000000" w:themeColor="text1"/>
          <w:lang w:val="en-US"/>
        </w:rPr>
        <w:t>Stago</w:t>
      </w:r>
      <w:proofErr w:type="spellEnd"/>
      <w:r w:rsidRPr="00702ACD">
        <w:rPr>
          <w:color w:val="000000" w:themeColor="text1"/>
          <w:lang w:val="en-US"/>
        </w:rPr>
        <w:t xml:space="preserve">, </w:t>
      </w:r>
      <w:proofErr w:type="spellStart"/>
      <w:r w:rsidRPr="00702ACD">
        <w:rPr>
          <w:color w:val="000000" w:themeColor="text1"/>
          <w:lang w:val="en-US"/>
        </w:rPr>
        <w:t>Asnières</w:t>
      </w:r>
      <w:proofErr w:type="spellEnd"/>
      <w:r w:rsidRPr="00702ACD">
        <w:rPr>
          <w:color w:val="000000" w:themeColor="text1"/>
          <w:lang w:val="en-US"/>
        </w:rPr>
        <w:t>-sur-Seine, France; Ref. 86926) – Each package contains 3 vials of 1 mL; concentration: 500 µM; stability 18-25ºC: 8 hours; 2-8ºC: 2 weeks; -20ºC: 1 month.</w:t>
      </w:r>
    </w:p>
    <w:p w:rsidR="002E4692" w:rsidRDefault="002E4692" w:rsidP="007B0EF5">
      <w:pPr>
        <w:pStyle w:val="Ttulo4"/>
        <w:spacing w:before="840"/>
        <w:rPr>
          <w:lang w:val="en-US"/>
        </w:rPr>
      </w:pPr>
      <w:r>
        <w:rPr>
          <w:lang w:val="en-US"/>
        </w:rPr>
        <w:lastRenderedPageBreak/>
        <w:t>Solutions</w:t>
      </w:r>
    </w:p>
    <w:p w:rsidR="002E4692" w:rsidRPr="00702ACD" w:rsidRDefault="002E4692" w:rsidP="002E4692">
      <w:pPr>
        <w:pStyle w:val="PargrafodaLista"/>
        <w:numPr>
          <w:ilvl w:val="0"/>
          <w:numId w:val="25"/>
        </w:numPr>
        <w:rPr>
          <w:color w:val="000000" w:themeColor="text1"/>
          <w:lang w:val="en-US"/>
        </w:rPr>
      </w:pPr>
      <w:r w:rsidRPr="001A1181">
        <w:rPr>
          <w:color w:val="000000" w:themeColor="text1"/>
          <w:lang w:val="en-US"/>
        </w:rPr>
        <w:t>PBS</w:t>
      </w:r>
      <w:r>
        <w:rPr>
          <w:color w:val="000000" w:themeColor="text1"/>
          <w:lang w:val="en-US"/>
        </w:rPr>
        <w:t>-</w:t>
      </w:r>
      <w:r w:rsidRPr="001A1181">
        <w:rPr>
          <w:color w:val="000000" w:themeColor="text1"/>
          <w:lang w:val="en-US"/>
        </w:rPr>
        <w:t>BSA</w:t>
      </w:r>
      <w:r>
        <w:rPr>
          <w:color w:val="000000" w:themeColor="text1"/>
          <w:lang w:val="en-US"/>
        </w:rPr>
        <w:t xml:space="preserve">(0.2%) containing </w:t>
      </w:r>
      <w:r w:rsidRPr="001A1181">
        <w:rPr>
          <w:color w:val="000000" w:themeColor="text1"/>
          <w:lang w:val="en-US"/>
        </w:rPr>
        <w:t xml:space="preserve">9 mM EDTA </w:t>
      </w:r>
      <w:r>
        <w:rPr>
          <w:color w:val="000000" w:themeColor="text1"/>
          <w:lang w:val="en-US"/>
        </w:rPr>
        <w:t xml:space="preserve">– </w:t>
      </w:r>
      <w:r w:rsidRPr="001A1181">
        <w:rPr>
          <w:color w:val="000000" w:themeColor="text1"/>
          <w:lang w:val="en-US"/>
        </w:rPr>
        <w:t>PBS-</w:t>
      </w:r>
      <w:r>
        <w:rPr>
          <w:color w:val="000000" w:themeColor="text1"/>
          <w:lang w:val="en-US"/>
        </w:rPr>
        <w:t>BSA(</w:t>
      </w:r>
      <w:r w:rsidRPr="001A1181">
        <w:rPr>
          <w:color w:val="000000" w:themeColor="text1"/>
          <w:lang w:val="en-US"/>
        </w:rPr>
        <w:t>0.2%</w:t>
      </w:r>
      <w:r>
        <w:rPr>
          <w:color w:val="000000" w:themeColor="text1"/>
          <w:lang w:val="en-US"/>
        </w:rPr>
        <w:t>)</w:t>
      </w:r>
      <w:r w:rsidRPr="001A1181">
        <w:rPr>
          <w:color w:val="000000" w:themeColor="text1"/>
          <w:lang w:val="en-US"/>
        </w:rPr>
        <w:t>-</w:t>
      </w:r>
      <w:r>
        <w:rPr>
          <w:color w:val="000000" w:themeColor="text1"/>
          <w:lang w:val="en-US"/>
        </w:rPr>
        <w:t>EDTA(</w:t>
      </w:r>
      <w:r w:rsidRPr="001A1181">
        <w:rPr>
          <w:color w:val="000000" w:themeColor="text1"/>
          <w:lang w:val="en-US"/>
        </w:rPr>
        <w:t>9mM)</w:t>
      </w:r>
      <w:r>
        <w:rPr>
          <w:color w:val="000000" w:themeColor="text1"/>
          <w:lang w:val="en-US"/>
        </w:rPr>
        <w:t xml:space="preserve"> – </w:t>
      </w:r>
      <w:r w:rsidRPr="001A1181">
        <w:rPr>
          <w:color w:val="000000" w:themeColor="text1"/>
          <w:lang w:val="en-US"/>
        </w:rPr>
        <w:t xml:space="preserve">conserved at the refrigerator </w:t>
      </w:r>
      <w:r w:rsidRPr="00702ACD">
        <w:rPr>
          <w:color w:val="000000" w:themeColor="text1"/>
          <w:lang w:val="en-US"/>
        </w:rPr>
        <w:t>(-4ºC) and less to stay at room temperature before use.</w:t>
      </w:r>
    </w:p>
    <w:p w:rsidR="002E4692" w:rsidRPr="00702ACD" w:rsidRDefault="002E4692" w:rsidP="002E4692">
      <w:pPr>
        <w:pStyle w:val="PargrafodaLista"/>
        <w:numPr>
          <w:ilvl w:val="0"/>
          <w:numId w:val="17"/>
        </w:numPr>
        <w:rPr>
          <w:b/>
          <w:bCs/>
          <w:color w:val="000000" w:themeColor="text1"/>
          <w:lang w:val="en-US"/>
        </w:rPr>
      </w:pPr>
      <w:r w:rsidRPr="00702ACD">
        <w:rPr>
          <w:color w:val="000000" w:themeColor="text1"/>
          <w:lang w:val="en-US"/>
        </w:rPr>
        <w:t>Formaldehyde stock solution 10% conserved at room temperature.</w:t>
      </w:r>
    </w:p>
    <w:p w:rsidR="002E4692" w:rsidRPr="00702ACD" w:rsidRDefault="002E4692" w:rsidP="002E4692">
      <w:pPr>
        <w:pStyle w:val="PargrafodaLista"/>
        <w:numPr>
          <w:ilvl w:val="0"/>
          <w:numId w:val="17"/>
        </w:numPr>
        <w:rPr>
          <w:b/>
          <w:bCs/>
          <w:color w:val="000000" w:themeColor="text1"/>
          <w:lang w:val="en-US"/>
        </w:rPr>
      </w:pPr>
      <w:r w:rsidRPr="00702ACD">
        <w:rPr>
          <w:lang w:val="en-US"/>
        </w:rPr>
        <w:t>TRAP-6 and ADP solutions:</w:t>
      </w:r>
    </w:p>
    <w:p w:rsidR="002E4692" w:rsidRPr="00702ACD" w:rsidRDefault="002E4692" w:rsidP="002E4692">
      <w:pPr>
        <w:pStyle w:val="PargrafodaLista"/>
        <w:numPr>
          <w:ilvl w:val="1"/>
          <w:numId w:val="17"/>
        </w:numPr>
        <w:rPr>
          <w:bCs/>
          <w:lang w:val="en-US"/>
        </w:rPr>
      </w:pPr>
      <w:r w:rsidRPr="00702ACD">
        <w:rPr>
          <w:lang w:val="en-US"/>
        </w:rPr>
        <w:t xml:space="preserve">TRAP-6 (500 </w:t>
      </w:r>
      <w:r w:rsidRPr="00702ACD">
        <w:t>μ</w:t>
      </w:r>
      <w:r w:rsidRPr="00702ACD">
        <w:rPr>
          <w:lang w:val="en-US"/>
        </w:rPr>
        <w:t xml:space="preserve">M) and ADP (1000 </w:t>
      </w:r>
      <w:r w:rsidRPr="00702ACD">
        <w:t>μ</w:t>
      </w:r>
      <w:r w:rsidRPr="00702ACD">
        <w:rPr>
          <w:lang w:val="en-US"/>
        </w:rPr>
        <w:t xml:space="preserve">M) stock solutions, conserved frozen at -20ºC: </w:t>
      </w:r>
    </w:p>
    <w:p w:rsidR="002E4692" w:rsidRPr="00702ACD" w:rsidRDefault="002E4692" w:rsidP="002E4692">
      <w:pPr>
        <w:pStyle w:val="PargrafodaLista"/>
        <w:numPr>
          <w:ilvl w:val="1"/>
          <w:numId w:val="17"/>
        </w:numPr>
        <w:rPr>
          <w:bCs/>
          <w:lang w:val="en-US"/>
        </w:rPr>
      </w:pPr>
      <w:r w:rsidRPr="00702ACD">
        <w:rPr>
          <w:lang w:val="en-US"/>
        </w:rPr>
        <w:t xml:space="preserve">Thaw aliquots of TRAP-6 and ADP stock solutions at room temperature at the day of the experiment, and prepare TRAP-6 and ADP working solutions as follows: </w:t>
      </w:r>
    </w:p>
    <w:p w:rsidR="002E4692" w:rsidRPr="00702ACD" w:rsidRDefault="002E4692" w:rsidP="002E4692">
      <w:pPr>
        <w:pStyle w:val="PargrafodaLista"/>
        <w:numPr>
          <w:ilvl w:val="2"/>
          <w:numId w:val="17"/>
        </w:numPr>
        <w:rPr>
          <w:bCs/>
          <w:lang w:val="en-US"/>
        </w:rPr>
      </w:pPr>
      <w:r w:rsidRPr="00702ACD">
        <w:rPr>
          <w:bCs/>
          <w:lang w:val="en-US"/>
        </w:rPr>
        <w:t xml:space="preserve">TRAP-6 working solution (80 </w:t>
      </w:r>
      <w:r w:rsidRPr="00702ACD">
        <w:rPr>
          <w:bCs/>
        </w:rPr>
        <w:t>μ</w:t>
      </w:r>
      <w:r w:rsidRPr="00702ACD">
        <w:rPr>
          <w:bCs/>
          <w:lang w:val="en-US"/>
        </w:rPr>
        <w:t xml:space="preserve">M): 20 </w:t>
      </w:r>
      <w:r w:rsidRPr="00702ACD">
        <w:rPr>
          <w:bCs/>
        </w:rPr>
        <w:t>μ</w:t>
      </w:r>
      <w:r w:rsidRPr="00702ACD">
        <w:rPr>
          <w:bCs/>
          <w:lang w:val="en-US"/>
        </w:rPr>
        <w:t xml:space="preserve">L TRAP-6 stock solution (500 </w:t>
      </w:r>
      <w:r w:rsidRPr="00702ACD">
        <w:rPr>
          <w:bCs/>
        </w:rPr>
        <w:t>μ</w:t>
      </w:r>
      <w:r w:rsidRPr="00702ACD">
        <w:rPr>
          <w:bCs/>
          <w:lang w:val="en-US"/>
        </w:rPr>
        <w:t xml:space="preserve">M) + 105 </w:t>
      </w:r>
      <w:r w:rsidRPr="00702ACD">
        <w:rPr>
          <w:bCs/>
        </w:rPr>
        <w:t>μ</w:t>
      </w:r>
      <w:r w:rsidRPr="00702ACD">
        <w:rPr>
          <w:bCs/>
          <w:lang w:val="en-US"/>
        </w:rPr>
        <w:t>L distilled H</w:t>
      </w:r>
      <w:r w:rsidRPr="00702ACD">
        <w:rPr>
          <w:bCs/>
          <w:vertAlign w:val="subscript"/>
          <w:lang w:val="en-US"/>
        </w:rPr>
        <w:t>2</w:t>
      </w:r>
      <w:r w:rsidRPr="00702ACD">
        <w:rPr>
          <w:bCs/>
          <w:lang w:val="en-US"/>
        </w:rPr>
        <w:t>O</w:t>
      </w:r>
    </w:p>
    <w:p w:rsidR="002E4692" w:rsidRPr="00702ACD" w:rsidRDefault="002E4692" w:rsidP="002E4692">
      <w:pPr>
        <w:pStyle w:val="PargrafodaLista"/>
        <w:numPr>
          <w:ilvl w:val="2"/>
          <w:numId w:val="17"/>
        </w:numPr>
        <w:rPr>
          <w:bCs/>
          <w:lang w:val="en-US"/>
        </w:rPr>
      </w:pPr>
      <w:r w:rsidRPr="00702ACD">
        <w:rPr>
          <w:bCs/>
          <w:lang w:val="en-US"/>
        </w:rPr>
        <w:t xml:space="preserve">ADP working solution (40 </w:t>
      </w:r>
      <w:r w:rsidRPr="00702ACD">
        <w:rPr>
          <w:bCs/>
        </w:rPr>
        <w:t>μ</w:t>
      </w:r>
      <w:r w:rsidRPr="00702ACD">
        <w:rPr>
          <w:bCs/>
          <w:lang w:val="en-US"/>
        </w:rPr>
        <w:t xml:space="preserve">M): 20 </w:t>
      </w:r>
      <w:r w:rsidRPr="00702ACD">
        <w:rPr>
          <w:bCs/>
        </w:rPr>
        <w:t>μ</w:t>
      </w:r>
      <w:r w:rsidRPr="00702ACD">
        <w:rPr>
          <w:bCs/>
          <w:lang w:val="en-US"/>
        </w:rPr>
        <w:t xml:space="preserve">L ADP stock solution (1000 </w:t>
      </w:r>
      <w:r w:rsidRPr="00702ACD">
        <w:rPr>
          <w:bCs/>
        </w:rPr>
        <w:t>μ</w:t>
      </w:r>
      <w:r w:rsidRPr="00702ACD">
        <w:rPr>
          <w:bCs/>
          <w:lang w:val="en-US"/>
        </w:rPr>
        <w:t xml:space="preserve">M) + 480 </w:t>
      </w:r>
      <w:r w:rsidRPr="00702ACD">
        <w:rPr>
          <w:bCs/>
        </w:rPr>
        <w:t>μ</w:t>
      </w:r>
      <w:r w:rsidRPr="00702ACD">
        <w:rPr>
          <w:bCs/>
          <w:lang w:val="en-US"/>
        </w:rPr>
        <w:t>L saline.</w:t>
      </w:r>
    </w:p>
    <w:p w:rsidR="002E4692" w:rsidRPr="00702ACD" w:rsidRDefault="002E4692" w:rsidP="00247B90">
      <w:pPr>
        <w:pStyle w:val="Ttulo4"/>
        <w:rPr>
          <w:lang w:val="en-US"/>
        </w:rPr>
      </w:pPr>
      <w:r w:rsidRPr="00702ACD">
        <w:rPr>
          <w:lang w:val="en-US"/>
        </w:rPr>
        <w:t>Technical protocol</w:t>
      </w:r>
    </w:p>
    <w:p w:rsidR="00D36F2E" w:rsidRPr="00702ACD" w:rsidRDefault="00D36F2E" w:rsidP="00247B90">
      <w:pPr>
        <w:pStyle w:val="Ttulo5"/>
        <w:rPr>
          <w:lang w:val="en-US"/>
        </w:rPr>
      </w:pPr>
      <w:r w:rsidRPr="00702ACD">
        <w:rPr>
          <w:lang w:val="en-US"/>
        </w:rPr>
        <w:t>Platelet activation</w:t>
      </w:r>
    </w:p>
    <w:p w:rsidR="00DB1C92" w:rsidRPr="00702ACD" w:rsidRDefault="00DB1C92" w:rsidP="00DB1C92">
      <w:pPr>
        <w:rPr>
          <w:lang w:val="en-US"/>
        </w:rPr>
      </w:pPr>
      <w:r w:rsidRPr="00702ACD">
        <w:rPr>
          <w:lang w:val="en-US"/>
        </w:rPr>
        <w:t xml:space="preserve">The citrated whole PB samples (1 patient e 2 healthy individuals processed in parallel) </w:t>
      </w:r>
      <w:r w:rsidR="00D42A7C" w:rsidRPr="00702ACD">
        <w:rPr>
          <w:lang w:val="en-US"/>
        </w:rPr>
        <w:t>a</w:t>
      </w:r>
      <w:r w:rsidRPr="00702ACD">
        <w:rPr>
          <w:lang w:val="en-US"/>
        </w:rPr>
        <w:t>re incubated (2 minutes</w:t>
      </w:r>
      <w:r w:rsidRPr="00702ACD">
        <w:rPr>
          <w:color w:val="000000" w:themeColor="text1"/>
          <w:lang w:val="en-US"/>
        </w:rPr>
        <w:t xml:space="preserve"> in darkness at room temperature</w:t>
      </w:r>
      <w:r w:rsidRPr="00702ACD">
        <w:rPr>
          <w:lang w:val="en-US"/>
        </w:rPr>
        <w:t>) either with PBS-BSA containing 6.25 mM EDTA</w:t>
      </w:r>
      <w:r w:rsidR="00093307" w:rsidRPr="00702ACD">
        <w:rPr>
          <w:lang w:val="en-US"/>
        </w:rPr>
        <w:t>-K3</w:t>
      </w:r>
      <w:r w:rsidRPr="00702ACD">
        <w:rPr>
          <w:lang w:val="en-US"/>
        </w:rPr>
        <w:t xml:space="preserve"> (PBS-</w:t>
      </w:r>
      <w:r w:rsidR="00C31D35" w:rsidRPr="00702ACD">
        <w:rPr>
          <w:lang w:val="en-US"/>
        </w:rPr>
        <w:t>BSA(</w:t>
      </w:r>
      <w:r w:rsidR="00D71ED7" w:rsidRPr="00702ACD">
        <w:rPr>
          <w:lang w:val="en-US"/>
        </w:rPr>
        <w:t>0.2%</w:t>
      </w:r>
      <w:r w:rsidR="00C31D35" w:rsidRPr="00702ACD">
        <w:rPr>
          <w:lang w:val="en-US"/>
        </w:rPr>
        <w:t>)</w:t>
      </w:r>
      <w:r w:rsidRPr="00702ACD">
        <w:rPr>
          <w:lang w:val="en-US"/>
        </w:rPr>
        <w:t>-</w:t>
      </w:r>
      <w:r w:rsidR="00C31D35" w:rsidRPr="00702ACD">
        <w:rPr>
          <w:lang w:val="en-US"/>
        </w:rPr>
        <w:t>EDTA(</w:t>
      </w:r>
      <w:r w:rsidR="00B75C59" w:rsidRPr="00702ACD">
        <w:rPr>
          <w:lang w:val="en-US"/>
        </w:rPr>
        <w:t>6.25mM</w:t>
      </w:r>
      <w:r w:rsidRPr="00702ACD">
        <w:rPr>
          <w:lang w:val="en-US"/>
        </w:rPr>
        <w:t>) (inhibitory conditions), with PBS-BSA (basal conditions), or with PBS-BSA containing a physiological PLT agonist (stimulatory conditions)</w:t>
      </w:r>
      <w:r w:rsidR="00093307" w:rsidRPr="00702ACD">
        <w:rPr>
          <w:lang w:val="en-US"/>
        </w:rPr>
        <w:t xml:space="preserve">, either ADP (10 </w:t>
      </w:r>
      <w:r w:rsidR="00B75C59" w:rsidRPr="00702ACD">
        <w:rPr>
          <w:rFonts w:cs="Arial"/>
          <w:lang w:val="en-US"/>
        </w:rPr>
        <w:t>µ</w:t>
      </w:r>
      <w:r w:rsidR="00093307" w:rsidRPr="00702ACD">
        <w:rPr>
          <w:lang w:val="en-US"/>
        </w:rPr>
        <w:t xml:space="preserve">M) or TRAP-6 (20 </w:t>
      </w:r>
      <w:r w:rsidR="00B75C59" w:rsidRPr="00702ACD">
        <w:rPr>
          <w:rFonts w:cs="Arial"/>
          <w:lang w:val="en-US"/>
        </w:rPr>
        <w:t>µ</w:t>
      </w:r>
      <w:r w:rsidR="00B75C59" w:rsidRPr="00702ACD">
        <w:rPr>
          <w:lang w:val="en-US"/>
        </w:rPr>
        <w:t>M</w:t>
      </w:r>
      <w:r w:rsidR="00093307" w:rsidRPr="00702ACD">
        <w:rPr>
          <w:lang w:val="en-US"/>
        </w:rPr>
        <w:t>)</w:t>
      </w:r>
      <w:r w:rsidRPr="00702ACD">
        <w:rPr>
          <w:lang w:val="en-US"/>
        </w:rPr>
        <w:t xml:space="preserve">. </w:t>
      </w:r>
    </w:p>
    <w:p w:rsidR="00D36F2E" w:rsidRPr="00702ACD" w:rsidRDefault="00D36F2E" w:rsidP="00247B90">
      <w:pPr>
        <w:pStyle w:val="Ttulo5"/>
        <w:rPr>
          <w:lang w:val="en-US"/>
        </w:rPr>
      </w:pPr>
      <w:r w:rsidRPr="00702ACD">
        <w:rPr>
          <w:lang w:val="en-US"/>
        </w:rPr>
        <w:t>Platelet staining</w:t>
      </w:r>
    </w:p>
    <w:p w:rsidR="00DB1C92" w:rsidRDefault="00DB1C92" w:rsidP="00DB1C92">
      <w:pPr>
        <w:rPr>
          <w:lang w:val="en-US"/>
        </w:rPr>
      </w:pPr>
      <w:r w:rsidRPr="00702ACD">
        <w:rPr>
          <w:lang w:val="en-US"/>
        </w:rPr>
        <w:t xml:space="preserve">Platelet staining </w:t>
      </w:r>
      <w:r w:rsidR="00D42A7C" w:rsidRPr="00702ACD">
        <w:rPr>
          <w:lang w:val="en-US"/>
        </w:rPr>
        <w:t>i</w:t>
      </w:r>
      <w:r w:rsidRPr="00702ACD">
        <w:rPr>
          <w:lang w:val="en-US"/>
        </w:rPr>
        <w:t xml:space="preserve">s performed by adding 10 µL of PE-conjugated anti-CD42b mAb, and 20 µL of FITC-conjugated anti-PAC-1 or </w:t>
      </w:r>
      <w:r w:rsidR="00545471" w:rsidRPr="00702ACD">
        <w:rPr>
          <w:lang w:val="en-US"/>
        </w:rPr>
        <w:t>1</w:t>
      </w:r>
      <w:r w:rsidRPr="00702ACD">
        <w:rPr>
          <w:lang w:val="en-US"/>
        </w:rPr>
        <w:t xml:space="preserve">0 µL of FITC conjugated anti-bFG </w:t>
      </w:r>
      <w:r w:rsidR="00545471" w:rsidRPr="00702ACD">
        <w:rPr>
          <w:lang w:val="en-US"/>
        </w:rPr>
        <w:t>(+ 10 µL of PBS in the last case)</w:t>
      </w:r>
      <w:r w:rsidRPr="00702ACD">
        <w:rPr>
          <w:lang w:val="en-US"/>
        </w:rPr>
        <w:t xml:space="preserve"> and incubating for 10 minutes in darkness at room temperature.</w:t>
      </w:r>
      <w:r w:rsidRPr="00AA5312">
        <w:rPr>
          <w:lang w:val="en-US"/>
        </w:rPr>
        <w:t xml:space="preserve"> </w:t>
      </w:r>
    </w:p>
    <w:p w:rsidR="00BF7D1C" w:rsidRPr="000A04AA" w:rsidRDefault="00C741F7" w:rsidP="00501E6D">
      <w:pPr>
        <w:pBdr>
          <w:top w:val="single" w:sz="4" w:space="1" w:color="auto"/>
          <w:left w:val="single" w:sz="4" w:space="4" w:color="auto"/>
          <w:bottom w:val="single" w:sz="4" w:space="1" w:color="auto"/>
          <w:right w:val="single" w:sz="4" w:space="4" w:color="auto"/>
        </w:pBdr>
        <w:spacing w:line="240" w:lineRule="auto"/>
        <w:rPr>
          <w:i/>
          <w:iCs/>
          <w:szCs w:val="20"/>
          <w:lang w:val="en-US"/>
        </w:rPr>
      </w:pPr>
      <w:r w:rsidRPr="000A04AA">
        <w:rPr>
          <w:i/>
          <w:iCs/>
          <w:szCs w:val="20"/>
          <w:u w:val="single"/>
          <w:lang w:val="en-US"/>
        </w:rPr>
        <w:t>Comment</w:t>
      </w:r>
      <w:r w:rsidR="006D2EB1" w:rsidRPr="000A04AA">
        <w:rPr>
          <w:i/>
          <w:iCs/>
          <w:szCs w:val="20"/>
          <w:u w:val="single"/>
          <w:lang w:val="en-US"/>
        </w:rPr>
        <w:t>s</w:t>
      </w:r>
      <w:r w:rsidRPr="000A04AA">
        <w:rPr>
          <w:i/>
          <w:iCs/>
          <w:szCs w:val="20"/>
          <w:lang w:val="en-US"/>
        </w:rPr>
        <w:t xml:space="preserve"> </w:t>
      </w:r>
    </w:p>
    <w:p w:rsidR="00C741F7" w:rsidRPr="000A04AA" w:rsidRDefault="00C741F7" w:rsidP="00501E6D">
      <w:pPr>
        <w:pBdr>
          <w:top w:val="single" w:sz="4" w:space="1" w:color="auto"/>
          <w:left w:val="single" w:sz="4" w:space="4" w:color="auto"/>
          <w:bottom w:val="single" w:sz="4" w:space="1" w:color="auto"/>
          <w:right w:val="single" w:sz="4" w:space="4" w:color="auto"/>
        </w:pBdr>
        <w:spacing w:line="240" w:lineRule="auto"/>
        <w:rPr>
          <w:i/>
          <w:iCs/>
          <w:szCs w:val="20"/>
          <w:lang w:val="en-US"/>
        </w:rPr>
      </w:pPr>
      <w:r w:rsidRPr="000A04AA">
        <w:rPr>
          <w:i/>
          <w:iCs/>
          <w:szCs w:val="20"/>
          <w:lang w:val="en-US"/>
        </w:rPr>
        <w:t xml:space="preserve">We recommend to stain for PAC-1 and bFG in </w:t>
      </w:r>
      <w:r w:rsidR="00A64AC6" w:rsidRPr="000A04AA">
        <w:rPr>
          <w:i/>
          <w:iCs/>
          <w:szCs w:val="20"/>
          <w:lang w:val="en-US"/>
        </w:rPr>
        <w:t xml:space="preserve">different </w:t>
      </w:r>
      <w:r w:rsidRPr="000A04AA">
        <w:rPr>
          <w:i/>
          <w:iCs/>
          <w:szCs w:val="20"/>
          <w:lang w:val="en-US"/>
        </w:rPr>
        <w:t>tubes</w:t>
      </w:r>
      <w:r w:rsidR="00635A0B" w:rsidRPr="000A04AA">
        <w:rPr>
          <w:i/>
          <w:iCs/>
          <w:szCs w:val="20"/>
          <w:lang w:val="en-US"/>
        </w:rPr>
        <w:t xml:space="preserve"> in order to avoid</w:t>
      </w:r>
      <w:r w:rsidR="00C276CA" w:rsidRPr="000A04AA">
        <w:rPr>
          <w:i/>
          <w:iCs/>
          <w:szCs w:val="20"/>
          <w:lang w:val="en-US"/>
        </w:rPr>
        <w:t xml:space="preserve"> steric hindrance effects because, as stated above, the epitopes recognized by these clones are in proximity</w:t>
      </w:r>
      <w:r w:rsidR="00635A0B" w:rsidRPr="000A04AA">
        <w:rPr>
          <w:i/>
          <w:iCs/>
          <w:szCs w:val="20"/>
          <w:lang w:val="en-US"/>
        </w:rPr>
        <w:t>,</w:t>
      </w:r>
      <w:r w:rsidR="00C276CA" w:rsidRPr="000A04AA">
        <w:rPr>
          <w:i/>
          <w:iCs/>
          <w:szCs w:val="20"/>
          <w:lang w:val="en-US"/>
        </w:rPr>
        <w:t xml:space="preserve"> </w:t>
      </w:r>
      <w:r w:rsidR="00635A0B" w:rsidRPr="000A04AA">
        <w:rPr>
          <w:i/>
          <w:iCs/>
          <w:szCs w:val="20"/>
          <w:lang w:val="en-US"/>
        </w:rPr>
        <w:t xml:space="preserve">the anti-PAC-1 mAb recognizes a GPIIb/IIIa epitope expressed on activated platelets at or near the fibrinogen-binding site </w:t>
      </w:r>
      <w:r w:rsidR="005A4A5A" w:rsidRPr="000A04AA">
        <w:rPr>
          <w:i/>
          <w:iCs/>
          <w:szCs w:val="20"/>
          <w:lang w:val="en-US"/>
        </w:rPr>
        <w:t>(</w:t>
      </w:r>
      <w:proofErr w:type="spellStart"/>
      <w:r w:rsidR="00645180">
        <w:fldChar w:fldCharType="begin"/>
      </w:r>
      <w:r w:rsidR="00645180" w:rsidRPr="00A50434">
        <w:rPr>
          <w:lang w:val="en-US"/>
        </w:rPr>
        <w:instrText xml:space="preserve"> HYPERLINK "https://www.ncbi.nlm.nih.gov/pubmed/?term=2411729" </w:instrText>
      </w:r>
      <w:r w:rsidR="00645180">
        <w:fldChar w:fldCharType="separate"/>
      </w:r>
      <w:r w:rsidR="005A4A5A" w:rsidRPr="000A04AA">
        <w:rPr>
          <w:rStyle w:val="Hiperligao"/>
          <w:i/>
          <w:iCs/>
          <w:szCs w:val="20"/>
          <w:lang w:val="en-US"/>
        </w:rPr>
        <w:t>Shattil</w:t>
      </w:r>
      <w:proofErr w:type="spellEnd"/>
      <w:r w:rsidR="005A4A5A" w:rsidRPr="000A04AA">
        <w:rPr>
          <w:rStyle w:val="Hiperligao"/>
          <w:i/>
          <w:iCs/>
          <w:szCs w:val="20"/>
          <w:lang w:val="en-US"/>
        </w:rPr>
        <w:t xml:space="preserve"> SJ, 1985</w:t>
      </w:r>
      <w:r w:rsidR="00645180">
        <w:rPr>
          <w:rStyle w:val="Hiperligao"/>
          <w:i/>
          <w:iCs/>
          <w:szCs w:val="20"/>
          <w:lang w:val="en-US"/>
        </w:rPr>
        <w:fldChar w:fldCharType="end"/>
      </w:r>
      <w:r w:rsidR="005A4A5A" w:rsidRPr="000A04AA">
        <w:rPr>
          <w:i/>
          <w:iCs/>
          <w:szCs w:val="20"/>
          <w:lang w:val="en-US"/>
        </w:rPr>
        <w:t>) (</w:t>
      </w:r>
      <w:hyperlink r:id="rId24" w:history="1">
        <w:r w:rsidR="005A4A5A" w:rsidRPr="000A04AA">
          <w:rPr>
            <w:rStyle w:val="Hiperligao"/>
            <w:i/>
            <w:iCs/>
            <w:szCs w:val="20"/>
            <w:lang w:val="en-US"/>
          </w:rPr>
          <w:t>Ginsberg MH, 1990</w:t>
        </w:r>
      </w:hyperlink>
      <w:r w:rsidR="005A4A5A" w:rsidRPr="000A04AA">
        <w:rPr>
          <w:i/>
          <w:iCs/>
          <w:szCs w:val="20"/>
          <w:lang w:val="en-US"/>
        </w:rPr>
        <w:t>).</w:t>
      </w:r>
    </w:p>
    <w:p w:rsidR="00D36F2E" w:rsidRDefault="00D36F2E" w:rsidP="00247B90">
      <w:pPr>
        <w:pStyle w:val="Ttulo5"/>
        <w:rPr>
          <w:lang w:val="en-US"/>
        </w:rPr>
      </w:pPr>
      <w:r w:rsidRPr="00D36F2E">
        <w:rPr>
          <w:lang w:val="en-US"/>
        </w:rPr>
        <w:t>Platelet fixation</w:t>
      </w:r>
    </w:p>
    <w:p w:rsidR="00D42A7C" w:rsidRDefault="00DB1C92" w:rsidP="00DB1C92">
      <w:pPr>
        <w:rPr>
          <w:lang w:val="en-US"/>
        </w:rPr>
      </w:pPr>
      <w:r w:rsidRPr="0091685D">
        <w:rPr>
          <w:lang w:val="en-US"/>
        </w:rPr>
        <w:t xml:space="preserve">After incubation, cells </w:t>
      </w:r>
      <w:r w:rsidR="00D42A7C">
        <w:rPr>
          <w:lang w:val="en-US"/>
        </w:rPr>
        <w:t>a</w:t>
      </w:r>
      <w:r w:rsidRPr="0091685D">
        <w:rPr>
          <w:lang w:val="en-US"/>
        </w:rPr>
        <w:t>re suspended with 1 ml of PBS-BSA</w:t>
      </w:r>
      <w:r w:rsidR="00C31D35">
        <w:rPr>
          <w:lang w:val="en-US"/>
        </w:rPr>
        <w:t>(0.2%)</w:t>
      </w:r>
      <w:r w:rsidR="00CD7F49">
        <w:rPr>
          <w:lang w:val="en-US"/>
        </w:rPr>
        <w:t>,</w:t>
      </w:r>
      <w:r w:rsidRPr="0091685D">
        <w:rPr>
          <w:lang w:val="en-US"/>
        </w:rPr>
        <w:t xml:space="preserve"> immediately fixed by adding 50 µL of 10% formaldehyde, mixing by vortex, and incubated for 30 minutes in the refrigerator before reading. </w:t>
      </w:r>
    </w:p>
    <w:p w:rsidR="00BF7D1C" w:rsidRPr="000A04AA" w:rsidRDefault="0067712C" w:rsidP="00501E6D">
      <w:pPr>
        <w:pBdr>
          <w:top w:val="single" w:sz="4" w:space="1" w:color="auto"/>
          <w:left w:val="single" w:sz="4" w:space="4" w:color="auto"/>
          <w:bottom w:val="single" w:sz="4" w:space="1" w:color="auto"/>
          <w:right w:val="single" w:sz="4" w:space="4" w:color="auto"/>
        </w:pBdr>
        <w:spacing w:line="240" w:lineRule="auto"/>
        <w:jc w:val="left"/>
        <w:rPr>
          <w:i/>
          <w:iCs/>
          <w:szCs w:val="20"/>
          <w:lang w:val="en-US"/>
        </w:rPr>
      </w:pPr>
      <w:r w:rsidRPr="000A04AA">
        <w:rPr>
          <w:i/>
          <w:iCs/>
          <w:szCs w:val="20"/>
          <w:u w:val="single"/>
          <w:lang w:val="en-US"/>
        </w:rPr>
        <w:t>Comment</w:t>
      </w:r>
      <w:r w:rsidR="00635A0B" w:rsidRPr="000A04AA">
        <w:rPr>
          <w:i/>
          <w:iCs/>
          <w:szCs w:val="20"/>
          <w:u w:val="single"/>
          <w:lang w:val="en-US"/>
        </w:rPr>
        <w:t>s</w:t>
      </w:r>
      <w:r w:rsidR="00D42A7C" w:rsidRPr="000A04AA">
        <w:rPr>
          <w:i/>
          <w:iCs/>
          <w:szCs w:val="20"/>
          <w:lang w:val="en-US"/>
        </w:rPr>
        <w:t xml:space="preserve"> </w:t>
      </w:r>
    </w:p>
    <w:p w:rsidR="00DB1C92" w:rsidRPr="000A04AA" w:rsidRDefault="00DB1C92" w:rsidP="00501E6D">
      <w:pPr>
        <w:pBdr>
          <w:top w:val="single" w:sz="4" w:space="1" w:color="auto"/>
          <w:left w:val="single" w:sz="4" w:space="4" w:color="auto"/>
          <w:bottom w:val="single" w:sz="4" w:space="1" w:color="auto"/>
          <w:right w:val="single" w:sz="4" w:space="4" w:color="auto"/>
        </w:pBdr>
        <w:spacing w:line="240" w:lineRule="auto"/>
        <w:jc w:val="left"/>
        <w:rPr>
          <w:i/>
          <w:iCs/>
          <w:szCs w:val="20"/>
          <w:lang w:val="en-US"/>
        </w:rPr>
      </w:pPr>
      <w:r w:rsidRPr="000A04AA">
        <w:rPr>
          <w:i/>
          <w:iCs/>
          <w:szCs w:val="20"/>
          <w:lang w:val="en-US"/>
        </w:rPr>
        <w:t>Upon fixation, PLT markers were stable for 8 days, but</w:t>
      </w:r>
      <w:r w:rsidR="00CD7F49" w:rsidRPr="000A04AA">
        <w:rPr>
          <w:i/>
          <w:iCs/>
          <w:szCs w:val="20"/>
          <w:lang w:val="en-US"/>
        </w:rPr>
        <w:t xml:space="preserve"> in our laboratory</w:t>
      </w:r>
      <w:r w:rsidRPr="000A04AA">
        <w:rPr>
          <w:i/>
          <w:iCs/>
          <w:szCs w:val="20"/>
          <w:lang w:val="en-US"/>
        </w:rPr>
        <w:t xml:space="preserve"> in most cases </w:t>
      </w:r>
      <w:r w:rsidR="00CD7F49" w:rsidRPr="000A04AA">
        <w:rPr>
          <w:i/>
          <w:iCs/>
          <w:szCs w:val="20"/>
          <w:lang w:val="en-US"/>
        </w:rPr>
        <w:t>sample acquisition</w:t>
      </w:r>
      <w:r w:rsidRPr="000A04AA">
        <w:rPr>
          <w:i/>
          <w:iCs/>
          <w:szCs w:val="20"/>
          <w:lang w:val="en-US"/>
        </w:rPr>
        <w:t xml:space="preserve"> </w:t>
      </w:r>
      <w:r w:rsidR="00CD7F49" w:rsidRPr="000A04AA">
        <w:rPr>
          <w:i/>
          <w:iCs/>
          <w:szCs w:val="20"/>
          <w:lang w:val="en-US"/>
        </w:rPr>
        <w:t>i</w:t>
      </w:r>
      <w:r w:rsidRPr="000A04AA">
        <w:rPr>
          <w:i/>
          <w:iCs/>
          <w:szCs w:val="20"/>
          <w:lang w:val="en-US"/>
        </w:rPr>
        <w:t xml:space="preserve">s performed at the day of the experiment. </w:t>
      </w:r>
    </w:p>
    <w:p w:rsidR="00DB1C92" w:rsidRDefault="00DB1C92" w:rsidP="007B0EF5">
      <w:pPr>
        <w:pStyle w:val="Ttulo4"/>
        <w:spacing w:before="840"/>
        <w:rPr>
          <w:lang w:val="en-US"/>
        </w:rPr>
      </w:pPr>
      <w:r w:rsidRPr="008666FD">
        <w:rPr>
          <w:lang w:val="en-US"/>
        </w:rPr>
        <w:lastRenderedPageBreak/>
        <w:t>Technical procedure</w:t>
      </w:r>
      <w:r w:rsidR="00134D3B">
        <w:rPr>
          <w:lang w:val="en-US"/>
        </w:rPr>
        <w:t xml:space="preserve"> – step by step</w:t>
      </w:r>
    </w:p>
    <w:p w:rsidR="00461CD8" w:rsidRPr="001A2522" w:rsidRDefault="001A2522" w:rsidP="00247B90">
      <w:pPr>
        <w:pStyle w:val="Ttulo5"/>
        <w:rPr>
          <w:lang w:val="en-US"/>
        </w:rPr>
      </w:pPr>
      <w:r w:rsidRPr="001A2522">
        <w:rPr>
          <w:lang w:val="en-US"/>
        </w:rPr>
        <w:t xml:space="preserve">TRAP-6 experiments - </w:t>
      </w:r>
      <w:r w:rsidR="00427B77" w:rsidRPr="001A2522">
        <w:rPr>
          <w:lang w:val="en-US"/>
        </w:rPr>
        <w:t>PLT activation with</w:t>
      </w:r>
      <w:r w:rsidR="00461CD8" w:rsidRPr="001A2522">
        <w:rPr>
          <w:lang w:val="en-US"/>
        </w:rPr>
        <w:t xml:space="preserve"> TRAP-6 </w:t>
      </w:r>
      <w:r w:rsidR="00C65F6B" w:rsidRPr="001A2522">
        <w:rPr>
          <w:lang w:val="en-US"/>
        </w:rPr>
        <w:t>(</w:t>
      </w:r>
      <w:r w:rsidR="00461CD8" w:rsidRPr="001A2522">
        <w:rPr>
          <w:lang w:val="en-US"/>
        </w:rPr>
        <w:t xml:space="preserve">20 </w:t>
      </w:r>
      <w:r w:rsidRPr="001A2522">
        <w:rPr>
          <w:rFonts w:cs="Arial"/>
          <w:lang w:val="en-US"/>
        </w:rPr>
        <w:t>µ</w:t>
      </w:r>
      <w:r w:rsidR="00461CD8" w:rsidRPr="001A2522">
        <w:rPr>
          <w:lang w:val="en-US"/>
        </w:rPr>
        <w:t>M</w:t>
      </w:r>
      <w:r w:rsidR="00C65F6B" w:rsidRPr="001A2522">
        <w:rPr>
          <w:lang w:val="en-US"/>
        </w:rPr>
        <w:t>)</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1579"/>
        <w:gridCol w:w="4306"/>
        <w:gridCol w:w="2715"/>
      </w:tblGrid>
      <w:tr w:rsidR="00427B77" w:rsidRPr="005D7D8B" w:rsidTr="00427B77">
        <w:tc>
          <w:tcPr>
            <w:tcW w:w="5000" w:type="pct"/>
            <w:gridSpan w:val="4"/>
            <w:shd w:val="clear" w:color="auto" w:fill="FFFFFF" w:themeFill="background1"/>
          </w:tcPr>
          <w:p w:rsidR="00427B77" w:rsidRPr="002E4692" w:rsidRDefault="00C65F6B" w:rsidP="00461CD8">
            <w:pPr>
              <w:spacing w:after="0" w:line="240" w:lineRule="auto"/>
              <w:rPr>
                <w:sz w:val="18"/>
                <w:szCs w:val="18"/>
                <w:lang w:val="en-US"/>
              </w:rPr>
            </w:pPr>
            <w:r w:rsidRPr="002E4692">
              <w:rPr>
                <w:sz w:val="18"/>
                <w:szCs w:val="18"/>
                <w:lang w:val="en-US"/>
              </w:rPr>
              <w:t>For each PB sample (patient + 2 healthy controls, p</w:t>
            </w:r>
            <w:r w:rsidR="00427B77" w:rsidRPr="002E4692">
              <w:rPr>
                <w:sz w:val="18"/>
                <w:szCs w:val="18"/>
                <w:lang w:val="en-US"/>
              </w:rPr>
              <w:t>repare 3 tubes (T1</w:t>
            </w:r>
            <w:r w:rsidR="001A2522" w:rsidRPr="002E4692">
              <w:rPr>
                <w:sz w:val="18"/>
                <w:szCs w:val="18"/>
                <w:lang w:val="en-US"/>
              </w:rPr>
              <w:t>-</w:t>
            </w:r>
            <w:r w:rsidR="00427B77" w:rsidRPr="002E4692">
              <w:rPr>
                <w:sz w:val="18"/>
                <w:szCs w:val="18"/>
                <w:lang w:val="en-US"/>
              </w:rPr>
              <w:t>T3)</w:t>
            </w:r>
            <w:r w:rsidRPr="002E4692">
              <w:rPr>
                <w:sz w:val="18"/>
                <w:szCs w:val="18"/>
                <w:lang w:val="en-US"/>
              </w:rPr>
              <w:t>, as follows:</w:t>
            </w:r>
          </w:p>
        </w:tc>
      </w:tr>
      <w:tr w:rsidR="00461CD8" w:rsidRPr="005D7D8B" w:rsidTr="00C65F6B">
        <w:tc>
          <w:tcPr>
            <w:tcW w:w="562" w:type="pct"/>
            <w:shd w:val="clear" w:color="auto" w:fill="FFF2CC" w:themeFill="accent4" w:themeFillTint="33"/>
          </w:tcPr>
          <w:p w:rsidR="00461CD8" w:rsidRPr="002E4692" w:rsidRDefault="00461CD8" w:rsidP="00461CD8">
            <w:pPr>
              <w:spacing w:after="0" w:line="240" w:lineRule="auto"/>
              <w:rPr>
                <w:sz w:val="18"/>
                <w:szCs w:val="18"/>
              </w:rPr>
            </w:pPr>
            <w:r w:rsidRPr="002E4692">
              <w:rPr>
                <w:sz w:val="18"/>
                <w:szCs w:val="18"/>
              </w:rPr>
              <w:t>T1</w:t>
            </w:r>
          </w:p>
        </w:tc>
        <w:tc>
          <w:tcPr>
            <w:tcW w:w="3037" w:type="pct"/>
            <w:gridSpan w:val="2"/>
            <w:shd w:val="clear" w:color="auto" w:fill="FFF2CC" w:themeFill="accent4" w:themeFillTint="33"/>
          </w:tcPr>
          <w:p w:rsidR="00461CD8" w:rsidRPr="002E4692" w:rsidRDefault="00461CD8" w:rsidP="00461CD8">
            <w:pPr>
              <w:spacing w:after="0" w:line="240" w:lineRule="auto"/>
              <w:rPr>
                <w:sz w:val="18"/>
                <w:szCs w:val="18"/>
              </w:rPr>
            </w:pPr>
            <w:r w:rsidRPr="002E4692">
              <w:rPr>
                <w:sz w:val="18"/>
                <w:szCs w:val="18"/>
              </w:rPr>
              <w:t xml:space="preserve">60 </w:t>
            </w:r>
            <w:r w:rsidR="001A2522" w:rsidRPr="002E4692">
              <w:rPr>
                <w:rFonts w:cs="Arial"/>
                <w:sz w:val="18"/>
                <w:szCs w:val="18"/>
              </w:rPr>
              <w:t>µ</w:t>
            </w:r>
            <w:r w:rsidRPr="002E4692">
              <w:rPr>
                <w:sz w:val="18"/>
                <w:szCs w:val="18"/>
              </w:rPr>
              <w:t>L PBS-</w:t>
            </w:r>
            <w:proofErr w:type="gramStart"/>
            <w:r w:rsidRPr="002E4692">
              <w:rPr>
                <w:sz w:val="18"/>
                <w:szCs w:val="18"/>
              </w:rPr>
              <w:t>BSA</w:t>
            </w:r>
            <w:r w:rsidR="00D71ED7" w:rsidRPr="002E4692">
              <w:rPr>
                <w:sz w:val="18"/>
                <w:szCs w:val="18"/>
              </w:rPr>
              <w:t>(</w:t>
            </w:r>
            <w:proofErr w:type="gramEnd"/>
            <w:r w:rsidR="00D71ED7" w:rsidRPr="002E4692">
              <w:rPr>
                <w:sz w:val="18"/>
                <w:szCs w:val="18"/>
              </w:rPr>
              <w:t>0.2%)</w:t>
            </w:r>
            <w:r w:rsidRPr="002E4692">
              <w:rPr>
                <w:sz w:val="18"/>
                <w:szCs w:val="18"/>
              </w:rPr>
              <w:t>-EDTA</w:t>
            </w:r>
            <w:r w:rsidR="00D71ED7" w:rsidRPr="002E4692">
              <w:rPr>
                <w:sz w:val="18"/>
                <w:szCs w:val="18"/>
              </w:rPr>
              <w:t>(9m</w:t>
            </w:r>
            <w:r w:rsidR="00D71ED7" w:rsidRPr="002E4692">
              <w:rPr>
                <w:rFonts w:cs="Arial"/>
                <w:sz w:val="18"/>
                <w:szCs w:val="18"/>
              </w:rPr>
              <w:t>M)</w:t>
            </w:r>
          </w:p>
        </w:tc>
        <w:tc>
          <w:tcPr>
            <w:tcW w:w="1401" w:type="pct"/>
            <w:vMerge w:val="restart"/>
            <w:shd w:val="clear" w:color="auto" w:fill="auto"/>
            <w:vAlign w:val="center"/>
          </w:tcPr>
          <w:p w:rsidR="00461CD8" w:rsidRPr="002E4692" w:rsidRDefault="00461CD8" w:rsidP="00461CD8">
            <w:pPr>
              <w:spacing w:after="0" w:line="240" w:lineRule="auto"/>
              <w:rPr>
                <w:sz w:val="18"/>
                <w:szCs w:val="18"/>
                <w:lang w:val="en-US"/>
              </w:rPr>
            </w:pPr>
            <w:r w:rsidRPr="002E4692">
              <w:rPr>
                <w:sz w:val="18"/>
                <w:szCs w:val="18"/>
                <w:lang w:val="en-US"/>
              </w:rPr>
              <w:t xml:space="preserve">+ 20 </w:t>
            </w:r>
            <w:r w:rsidRPr="002E4692">
              <w:rPr>
                <w:sz w:val="18"/>
                <w:szCs w:val="18"/>
              </w:rPr>
              <w:t>μ</w:t>
            </w:r>
            <w:r w:rsidRPr="002E4692">
              <w:rPr>
                <w:sz w:val="18"/>
                <w:szCs w:val="18"/>
                <w:lang w:val="en-US"/>
              </w:rPr>
              <w:t>L PB to each tube</w:t>
            </w:r>
            <w:r w:rsidR="00645180">
              <w:rPr>
                <w:sz w:val="18"/>
                <w:szCs w:val="18"/>
                <w:lang w:val="en-US"/>
              </w:rPr>
              <w:t>.</w:t>
            </w:r>
          </w:p>
        </w:tc>
      </w:tr>
      <w:tr w:rsidR="00461CD8" w:rsidRPr="002E4692" w:rsidTr="00C65F6B">
        <w:tc>
          <w:tcPr>
            <w:tcW w:w="562" w:type="pct"/>
            <w:shd w:val="clear" w:color="auto" w:fill="DEEAF6" w:themeFill="accent5" w:themeFillTint="33"/>
          </w:tcPr>
          <w:p w:rsidR="00461CD8" w:rsidRPr="002E4692" w:rsidRDefault="00461CD8" w:rsidP="00461CD8">
            <w:pPr>
              <w:spacing w:after="0" w:line="240" w:lineRule="auto"/>
              <w:rPr>
                <w:sz w:val="18"/>
                <w:szCs w:val="18"/>
              </w:rPr>
            </w:pPr>
            <w:r w:rsidRPr="002E4692">
              <w:rPr>
                <w:sz w:val="18"/>
                <w:szCs w:val="18"/>
              </w:rPr>
              <w:t>T2</w:t>
            </w:r>
          </w:p>
        </w:tc>
        <w:tc>
          <w:tcPr>
            <w:tcW w:w="3037" w:type="pct"/>
            <w:gridSpan w:val="2"/>
            <w:shd w:val="clear" w:color="auto" w:fill="DEEAF6" w:themeFill="accent5" w:themeFillTint="33"/>
          </w:tcPr>
          <w:p w:rsidR="00461CD8" w:rsidRPr="002E4692" w:rsidRDefault="00461CD8" w:rsidP="00461CD8">
            <w:pPr>
              <w:spacing w:after="0" w:line="240" w:lineRule="auto"/>
              <w:rPr>
                <w:sz w:val="18"/>
                <w:szCs w:val="18"/>
              </w:rPr>
            </w:pPr>
            <w:r w:rsidRPr="002E4692">
              <w:rPr>
                <w:sz w:val="18"/>
                <w:szCs w:val="18"/>
              </w:rPr>
              <w:t xml:space="preserve">60 </w:t>
            </w:r>
            <w:r w:rsidR="001A2522" w:rsidRPr="002E4692">
              <w:rPr>
                <w:rFonts w:cs="Arial"/>
                <w:sz w:val="18"/>
                <w:szCs w:val="18"/>
              </w:rPr>
              <w:t>µ</w:t>
            </w:r>
            <w:r w:rsidRPr="002E4692">
              <w:rPr>
                <w:sz w:val="18"/>
                <w:szCs w:val="18"/>
              </w:rPr>
              <w:t>L PBS</w:t>
            </w:r>
            <w:r w:rsidR="00D71ED7" w:rsidRPr="002E4692">
              <w:rPr>
                <w:sz w:val="18"/>
                <w:szCs w:val="18"/>
              </w:rPr>
              <w:t>-</w:t>
            </w:r>
            <w:proofErr w:type="gramStart"/>
            <w:r w:rsidR="00D71ED7" w:rsidRPr="002E4692">
              <w:rPr>
                <w:sz w:val="18"/>
                <w:szCs w:val="18"/>
              </w:rPr>
              <w:t>BSA(</w:t>
            </w:r>
            <w:proofErr w:type="gramEnd"/>
            <w:r w:rsidR="00D71ED7" w:rsidRPr="002E4692">
              <w:rPr>
                <w:sz w:val="18"/>
                <w:szCs w:val="18"/>
              </w:rPr>
              <w:t>0.2%)</w:t>
            </w:r>
          </w:p>
        </w:tc>
        <w:tc>
          <w:tcPr>
            <w:tcW w:w="1401" w:type="pct"/>
            <w:vMerge/>
            <w:shd w:val="clear" w:color="auto" w:fill="auto"/>
          </w:tcPr>
          <w:p w:rsidR="00461CD8" w:rsidRPr="002E4692" w:rsidRDefault="00461CD8" w:rsidP="00461CD8">
            <w:pPr>
              <w:spacing w:after="0" w:line="240" w:lineRule="auto"/>
              <w:rPr>
                <w:sz w:val="18"/>
                <w:szCs w:val="18"/>
              </w:rPr>
            </w:pPr>
          </w:p>
        </w:tc>
      </w:tr>
      <w:tr w:rsidR="00461CD8" w:rsidRPr="002E4692" w:rsidTr="00C65F6B">
        <w:tc>
          <w:tcPr>
            <w:tcW w:w="562" w:type="pct"/>
            <w:shd w:val="clear" w:color="auto" w:fill="E2EFD9" w:themeFill="accent6" w:themeFillTint="33"/>
          </w:tcPr>
          <w:p w:rsidR="00461CD8" w:rsidRPr="002E4692" w:rsidRDefault="00461CD8" w:rsidP="00461CD8">
            <w:pPr>
              <w:spacing w:after="0" w:line="240" w:lineRule="auto"/>
              <w:rPr>
                <w:sz w:val="18"/>
                <w:szCs w:val="18"/>
              </w:rPr>
            </w:pPr>
            <w:r w:rsidRPr="002E4692">
              <w:rPr>
                <w:sz w:val="18"/>
                <w:szCs w:val="18"/>
              </w:rPr>
              <w:t>T3</w:t>
            </w:r>
          </w:p>
        </w:tc>
        <w:tc>
          <w:tcPr>
            <w:tcW w:w="3037" w:type="pct"/>
            <w:gridSpan w:val="2"/>
            <w:shd w:val="clear" w:color="auto" w:fill="E2EFD9" w:themeFill="accent6" w:themeFillTint="33"/>
          </w:tcPr>
          <w:p w:rsidR="00461CD8" w:rsidRPr="002E4692" w:rsidRDefault="00461CD8" w:rsidP="00461CD8">
            <w:pPr>
              <w:spacing w:after="0" w:line="240" w:lineRule="auto"/>
              <w:rPr>
                <w:sz w:val="18"/>
                <w:szCs w:val="18"/>
              </w:rPr>
            </w:pPr>
            <w:r w:rsidRPr="002E4692">
              <w:rPr>
                <w:sz w:val="18"/>
                <w:szCs w:val="18"/>
              </w:rPr>
              <w:t xml:space="preserve">40 </w:t>
            </w:r>
            <w:r w:rsidR="001A2522" w:rsidRPr="002E4692">
              <w:rPr>
                <w:rFonts w:cs="Arial"/>
                <w:sz w:val="18"/>
                <w:szCs w:val="18"/>
              </w:rPr>
              <w:t>µ</w:t>
            </w:r>
            <w:r w:rsidRPr="002E4692">
              <w:rPr>
                <w:sz w:val="18"/>
                <w:szCs w:val="18"/>
              </w:rPr>
              <w:t>L PBS</w:t>
            </w:r>
            <w:r w:rsidR="00D71ED7" w:rsidRPr="002E4692">
              <w:rPr>
                <w:sz w:val="18"/>
                <w:szCs w:val="18"/>
              </w:rPr>
              <w:t>-</w:t>
            </w:r>
            <w:proofErr w:type="gramStart"/>
            <w:r w:rsidR="00D71ED7" w:rsidRPr="002E4692">
              <w:rPr>
                <w:sz w:val="18"/>
                <w:szCs w:val="18"/>
              </w:rPr>
              <w:t>BSA(</w:t>
            </w:r>
            <w:proofErr w:type="gramEnd"/>
            <w:r w:rsidR="00D71ED7" w:rsidRPr="002E4692">
              <w:rPr>
                <w:sz w:val="18"/>
                <w:szCs w:val="18"/>
              </w:rPr>
              <w:t xml:space="preserve">0.2%) </w:t>
            </w:r>
            <w:r w:rsidRPr="002E4692">
              <w:rPr>
                <w:sz w:val="18"/>
                <w:szCs w:val="18"/>
              </w:rPr>
              <w:t xml:space="preserve">+ 20 </w:t>
            </w:r>
            <w:r w:rsidR="00B75C59" w:rsidRPr="002E4692">
              <w:rPr>
                <w:rFonts w:cs="Arial"/>
                <w:sz w:val="18"/>
                <w:szCs w:val="18"/>
              </w:rPr>
              <w:t>µ</w:t>
            </w:r>
            <w:r w:rsidR="00B75C59" w:rsidRPr="002E4692">
              <w:rPr>
                <w:sz w:val="18"/>
                <w:szCs w:val="18"/>
              </w:rPr>
              <w:t>L</w:t>
            </w:r>
            <w:r w:rsidRPr="002E4692">
              <w:rPr>
                <w:sz w:val="18"/>
                <w:szCs w:val="18"/>
              </w:rPr>
              <w:t xml:space="preserve"> TRAP-6 (80 </w:t>
            </w:r>
            <w:r w:rsidR="00B75C59" w:rsidRPr="002E4692">
              <w:rPr>
                <w:rFonts w:cs="Arial"/>
                <w:sz w:val="18"/>
                <w:szCs w:val="18"/>
              </w:rPr>
              <w:t>µM</w:t>
            </w:r>
            <w:r w:rsidRPr="002E4692">
              <w:rPr>
                <w:sz w:val="18"/>
                <w:szCs w:val="18"/>
              </w:rPr>
              <w:t>)</w:t>
            </w:r>
          </w:p>
        </w:tc>
        <w:tc>
          <w:tcPr>
            <w:tcW w:w="1401" w:type="pct"/>
            <w:vMerge/>
            <w:shd w:val="clear" w:color="auto" w:fill="auto"/>
          </w:tcPr>
          <w:p w:rsidR="00461CD8" w:rsidRPr="002E4692" w:rsidRDefault="00461CD8" w:rsidP="00461CD8">
            <w:pPr>
              <w:spacing w:after="0" w:line="240" w:lineRule="auto"/>
              <w:rPr>
                <w:sz w:val="18"/>
                <w:szCs w:val="18"/>
              </w:rPr>
            </w:pPr>
          </w:p>
        </w:tc>
      </w:tr>
      <w:tr w:rsidR="00461CD8" w:rsidRPr="002E4692" w:rsidTr="00886B7F">
        <w:tc>
          <w:tcPr>
            <w:tcW w:w="5000" w:type="pct"/>
            <w:gridSpan w:val="4"/>
            <w:shd w:val="clear" w:color="auto" w:fill="auto"/>
          </w:tcPr>
          <w:p w:rsidR="00461CD8" w:rsidRPr="002E4692" w:rsidRDefault="00635A0B" w:rsidP="00461CD8">
            <w:pPr>
              <w:spacing w:after="0" w:line="240" w:lineRule="auto"/>
              <w:rPr>
                <w:sz w:val="18"/>
                <w:szCs w:val="18"/>
                <w:lang w:val="en-US"/>
              </w:rPr>
            </w:pPr>
            <w:r w:rsidRPr="002E4692">
              <w:rPr>
                <w:sz w:val="18"/>
                <w:szCs w:val="18"/>
                <w:lang w:val="en-US"/>
              </w:rPr>
              <w:t>Vortex for 1 to 2 seconds.</w:t>
            </w:r>
          </w:p>
        </w:tc>
      </w:tr>
      <w:tr w:rsidR="00427B77" w:rsidRPr="005D7D8B" w:rsidTr="00886B7F">
        <w:tc>
          <w:tcPr>
            <w:tcW w:w="5000" w:type="pct"/>
            <w:gridSpan w:val="4"/>
            <w:shd w:val="clear" w:color="auto" w:fill="auto"/>
          </w:tcPr>
          <w:p w:rsidR="00427B77" w:rsidRPr="002E4692" w:rsidRDefault="00427B77" w:rsidP="00461CD8">
            <w:pPr>
              <w:spacing w:after="0" w:line="240" w:lineRule="auto"/>
              <w:rPr>
                <w:sz w:val="18"/>
                <w:szCs w:val="18"/>
                <w:lang w:val="en-US"/>
              </w:rPr>
            </w:pPr>
            <w:r w:rsidRPr="002E4692">
              <w:rPr>
                <w:sz w:val="18"/>
                <w:szCs w:val="18"/>
                <w:lang w:val="en-US"/>
              </w:rPr>
              <w:t>Incubate for 2 minutes, in darkness at room temperature (~22ºC)</w:t>
            </w:r>
          </w:p>
        </w:tc>
      </w:tr>
      <w:tr w:rsidR="00427B77" w:rsidRPr="005D7D8B" w:rsidTr="00886B7F">
        <w:tc>
          <w:tcPr>
            <w:tcW w:w="5000" w:type="pct"/>
            <w:gridSpan w:val="4"/>
            <w:shd w:val="clear" w:color="auto" w:fill="auto"/>
          </w:tcPr>
          <w:p w:rsidR="00427B77" w:rsidRPr="002E4692" w:rsidRDefault="001A2522" w:rsidP="00461CD8">
            <w:pPr>
              <w:spacing w:after="0" w:line="240" w:lineRule="auto"/>
              <w:rPr>
                <w:sz w:val="18"/>
                <w:szCs w:val="18"/>
                <w:lang w:val="en-US"/>
              </w:rPr>
            </w:pPr>
            <w:r w:rsidRPr="002E4692">
              <w:rPr>
                <w:sz w:val="18"/>
                <w:szCs w:val="18"/>
                <w:lang w:val="en-US"/>
              </w:rPr>
              <w:t>For each PB sample (patient + 2 healthy controls, p</w:t>
            </w:r>
            <w:r w:rsidR="00427B77" w:rsidRPr="002E4692">
              <w:rPr>
                <w:sz w:val="18"/>
                <w:szCs w:val="18"/>
                <w:lang w:val="en-US"/>
              </w:rPr>
              <w:t>repare T4-T12, as follows.</w:t>
            </w:r>
          </w:p>
        </w:tc>
      </w:tr>
      <w:tr w:rsidR="00461CD8" w:rsidRPr="002E4692" w:rsidTr="00B75C59">
        <w:tc>
          <w:tcPr>
            <w:tcW w:w="562" w:type="pct"/>
            <w:shd w:val="clear" w:color="auto" w:fill="FFF2CC" w:themeFill="accent4" w:themeFillTint="33"/>
          </w:tcPr>
          <w:p w:rsidR="00461CD8" w:rsidRPr="002E4692" w:rsidRDefault="00461CD8" w:rsidP="00461CD8">
            <w:pPr>
              <w:spacing w:after="0" w:line="240" w:lineRule="auto"/>
              <w:rPr>
                <w:sz w:val="18"/>
                <w:szCs w:val="18"/>
              </w:rPr>
            </w:pPr>
            <w:r w:rsidRPr="002E4692">
              <w:rPr>
                <w:sz w:val="18"/>
                <w:szCs w:val="18"/>
              </w:rPr>
              <w:t>T4</w:t>
            </w:r>
          </w:p>
        </w:tc>
        <w:tc>
          <w:tcPr>
            <w:tcW w:w="815" w:type="pct"/>
            <w:vMerge w:val="restart"/>
            <w:shd w:val="clear" w:color="auto" w:fill="auto"/>
            <w:vAlign w:val="center"/>
          </w:tcPr>
          <w:p w:rsidR="00461CD8" w:rsidRPr="002E4692" w:rsidRDefault="00461CD8" w:rsidP="00645180">
            <w:pPr>
              <w:spacing w:after="0" w:line="240" w:lineRule="auto"/>
              <w:jc w:val="left"/>
              <w:rPr>
                <w:sz w:val="18"/>
                <w:szCs w:val="18"/>
                <w:lang w:val="en-US"/>
              </w:rPr>
            </w:pPr>
            <w:r w:rsidRPr="002E4692">
              <w:rPr>
                <w:sz w:val="18"/>
                <w:szCs w:val="18"/>
                <w:lang w:val="en-US"/>
              </w:rPr>
              <w:t xml:space="preserve">10 </w:t>
            </w:r>
            <w:r w:rsidRPr="002E4692">
              <w:rPr>
                <w:sz w:val="18"/>
                <w:szCs w:val="18"/>
              </w:rPr>
              <w:t>μ</w:t>
            </w:r>
            <w:r w:rsidRPr="002E4692">
              <w:rPr>
                <w:sz w:val="18"/>
                <w:szCs w:val="18"/>
                <w:lang w:val="en-US"/>
              </w:rPr>
              <w:t>l CD42b to each tube</w:t>
            </w:r>
          </w:p>
        </w:tc>
        <w:tc>
          <w:tcPr>
            <w:tcW w:w="2222" w:type="pct"/>
            <w:vMerge w:val="restart"/>
            <w:shd w:val="clear" w:color="auto" w:fill="FFFFFF" w:themeFill="background1"/>
            <w:vAlign w:val="center"/>
          </w:tcPr>
          <w:p w:rsidR="00461CD8" w:rsidRPr="002E4692" w:rsidRDefault="00461CD8" w:rsidP="00461CD8">
            <w:pPr>
              <w:spacing w:after="0" w:line="240" w:lineRule="auto"/>
              <w:rPr>
                <w:sz w:val="18"/>
                <w:szCs w:val="18"/>
                <w:lang w:val="en-US"/>
              </w:rPr>
            </w:pPr>
            <w:r w:rsidRPr="002E4692">
              <w:rPr>
                <w:sz w:val="18"/>
                <w:szCs w:val="18"/>
                <w:lang w:val="en-US"/>
              </w:rPr>
              <w:t xml:space="preserve">+ 20 </w:t>
            </w:r>
            <w:r w:rsidRPr="002E4692">
              <w:rPr>
                <w:sz w:val="18"/>
                <w:szCs w:val="18"/>
              </w:rPr>
              <w:t>μ</w:t>
            </w:r>
            <w:r w:rsidRPr="002E4692">
              <w:rPr>
                <w:sz w:val="18"/>
                <w:szCs w:val="18"/>
                <w:lang w:val="en-US"/>
              </w:rPr>
              <w:t>L anti-PAC-1</w:t>
            </w:r>
            <w:r w:rsidR="001A2522" w:rsidRPr="002E4692">
              <w:rPr>
                <w:sz w:val="18"/>
                <w:szCs w:val="18"/>
                <w:lang w:val="en-US"/>
              </w:rPr>
              <w:t xml:space="preserve"> to each tube</w:t>
            </w:r>
          </w:p>
        </w:tc>
        <w:tc>
          <w:tcPr>
            <w:tcW w:w="1401" w:type="pct"/>
            <w:shd w:val="clear" w:color="auto" w:fill="FFF2CC" w:themeFill="accent4" w:themeFillTint="33"/>
          </w:tcPr>
          <w:p w:rsidR="00461CD8" w:rsidRPr="002E4692" w:rsidRDefault="00461CD8" w:rsidP="00461CD8">
            <w:pPr>
              <w:spacing w:after="0" w:line="240" w:lineRule="auto"/>
              <w:rPr>
                <w:sz w:val="18"/>
                <w:szCs w:val="18"/>
              </w:rPr>
            </w:pPr>
            <w:r w:rsidRPr="002E4692">
              <w:rPr>
                <w:sz w:val="18"/>
                <w:szCs w:val="18"/>
              </w:rPr>
              <w:t xml:space="preserve">+ 20 </w:t>
            </w:r>
            <w:r w:rsidR="001A2522" w:rsidRPr="002E4692">
              <w:rPr>
                <w:rFonts w:cs="Arial"/>
                <w:sz w:val="18"/>
                <w:szCs w:val="18"/>
              </w:rPr>
              <w:t>µ</w:t>
            </w:r>
            <w:r w:rsidR="001A2522" w:rsidRPr="002E4692">
              <w:rPr>
                <w:sz w:val="18"/>
                <w:szCs w:val="18"/>
              </w:rPr>
              <w:t>L</w:t>
            </w:r>
            <w:r w:rsidRPr="002E4692">
              <w:rPr>
                <w:sz w:val="18"/>
                <w:szCs w:val="18"/>
              </w:rPr>
              <w:t xml:space="preserve"> T1</w:t>
            </w:r>
          </w:p>
        </w:tc>
      </w:tr>
      <w:tr w:rsidR="00461CD8" w:rsidRPr="002E4692" w:rsidTr="00B75C59">
        <w:tc>
          <w:tcPr>
            <w:tcW w:w="562" w:type="pct"/>
            <w:shd w:val="clear" w:color="auto" w:fill="DEEAF6" w:themeFill="accent5" w:themeFillTint="33"/>
          </w:tcPr>
          <w:p w:rsidR="00461CD8" w:rsidRPr="002E4692" w:rsidRDefault="00461CD8" w:rsidP="00461CD8">
            <w:pPr>
              <w:spacing w:after="0" w:line="240" w:lineRule="auto"/>
              <w:rPr>
                <w:sz w:val="18"/>
                <w:szCs w:val="18"/>
              </w:rPr>
            </w:pPr>
            <w:r w:rsidRPr="002E4692">
              <w:rPr>
                <w:sz w:val="18"/>
                <w:szCs w:val="18"/>
              </w:rPr>
              <w:t>T5</w:t>
            </w:r>
          </w:p>
        </w:tc>
        <w:tc>
          <w:tcPr>
            <w:tcW w:w="815" w:type="pct"/>
            <w:vMerge/>
            <w:shd w:val="clear" w:color="auto" w:fill="auto"/>
          </w:tcPr>
          <w:p w:rsidR="00461CD8" w:rsidRPr="002E4692" w:rsidRDefault="00461CD8" w:rsidP="00461CD8">
            <w:pPr>
              <w:spacing w:after="0" w:line="240" w:lineRule="auto"/>
              <w:rPr>
                <w:sz w:val="18"/>
                <w:szCs w:val="18"/>
              </w:rPr>
            </w:pPr>
          </w:p>
        </w:tc>
        <w:tc>
          <w:tcPr>
            <w:tcW w:w="2222" w:type="pct"/>
            <w:vMerge/>
            <w:shd w:val="clear" w:color="auto" w:fill="FFFFFF" w:themeFill="background1"/>
          </w:tcPr>
          <w:p w:rsidR="00461CD8" w:rsidRPr="002E4692" w:rsidRDefault="00461CD8" w:rsidP="00461CD8">
            <w:pPr>
              <w:spacing w:after="0" w:line="240" w:lineRule="auto"/>
              <w:rPr>
                <w:sz w:val="18"/>
                <w:szCs w:val="18"/>
              </w:rPr>
            </w:pPr>
          </w:p>
        </w:tc>
        <w:tc>
          <w:tcPr>
            <w:tcW w:w="1401" w:type="pct"/>
            <w:shd w:val="clear" w:color="auto" w:fill="DEEAF6" w:themeFill="accent5" w:themeFillTint="33"/>
          </w:tcPr>
          <w:p w:rsidR="00461CD8" w:rsidRPr="002E4692" w:rsidRDefault="00461CD8" w:rsidP="00461CD8">
            <w:pPr>
              <w:spacing w:after="0" w:line="240" w:lineRule="auto"/>
              <w:rPr>
                <w:sz w:val="18"/>
                <w:szCs w:val="18"/>
              </w:rPr>
            </w:pPr>
            <w:r w:rsidRPr="002E4692">
              <w:rPr>
                <w:sz w:val="18"/>
                <w:szCs w:val="18"/>
              </w:rPr>
              <w:t xml:space="preserve">+ 20 </w:t>
            </w:r>
            <w:r w:rsidR="001A2522" w:rsidRPr="002E4692">
              <w:rPr>
                <w:rFonts w:cs="Arial"/>
                <w:sz w:val="18"/>
                <w:szCs w:val="18"/>
              </w:rPr>
              <w:t>µ</w:t>
            </w:r>
            <w:r w:rsidR="001A2522" w:rsidRPr="002E4692">
              <w:rPr>
                <w:sz w:val="18"/>
                <w:szCs w:val="18"/>
              </w:rPr>
              <w:t>L</w:t>
            </w:r>
            <w:r w:rsidRPr="002E4692">
              <w:rPr>
                <w:sz w:val="18"/>
                <w:szCs w:val="18"/>
              </w:rPr>
              <w:t xml:space="preserve"> T2</w:t>
            </w:r>
          </w:p>
        </w:tc>
      </w:tr>
      <w:tr w:rsidR="00461CD8" w:rsidRPr="002E4692" w:rsidTr="00B75C59">
        <w:tc>
          <w:tcPr>
            <w:tcW w:w="562" w:type="pct"/>
            <w:shd w:val="clear" w:color="auto" w:fill="E2EFD9" w:themeFill="accent6" w:themeFillTint="33"/>
          </w:tcPr>
          <w:p w:rsidR="00461CD8" w:rsidRPr="002E4692" w:rsidRDefault="00461CD8" w:rsidP="00461CD8">
            <w:pPr>
              <w:spacing w:after="0" w:line="240" w:lineRule="auto"/>
              <w:rPr>
                <w:sz w:val="18"/>
                <w:szCs w:val="18"/>
              </w:rPr>
            </w:pPr>
            <w:r w:rsidRPr="002E4692">
              <w:rPr>
                <w:sz w:val="18"/>
                <w:szCs w:val="18"/>
              </w:rPr>
              <w:t>T6</w:t>
            </w:r>
          </w:p>
        </w:tc>
        <w:tc>
          <w:tcPr>
            <w:tcW w:w="815" w:type="pct"/>
            <w:vMerge/>
            <w:shd w:val="clear" w:color="auto" w:fill="auto"/>
          </w:tcPr>
          <w:p w:rsidR="00461CD8" w:rsidRPr="002E4692" w:rsidRDefault="00461CD8" w:rsidP="00461CD8">
            <w:pPr>
              <w:spacing w:after="0" w:line="240" w:lineRule="auto"/>
              <w:rPr>
                <w:sz w:val="18"/>
                <w:szCs w:val="18"/>
              </w:rPr>
            </w:pPr>
          </w:p>
        </w:tc>
        <w:tc>
          <w:tcPr>
            <w:tcW w:w="2222" w:type="pct"/>
            <w:vMerge/>
            <w:shd w:val="clear" w:color="auto" w:fill="FFFFFF" w:themeFill="background1"/>
          </w:tcPr>
          <w:p w:rsidR="00461CD8" w:rsidRPr="002E4692" w:rsidRDefault="00461CD8" w:rsidP="00461CD8">
            <w:pPr>
              <w:spacing w:after="0" w:line="240" w:lineRule="auto"/>
              <w:rPr>
                <w:sz w:val="18"/>
                <w:szCs w:val="18"/>
              </w:rPr>
            </w:pPr>
          </w:p>
        </w:tc>
        <w:tc>
          <w:tcPr>
            <w:tcW w:w="1401" w:type="pct"/>
            <w:shd w:val="clear" w:color="auto" w:fill="E2EFD9" w:themeFill="accent6" w:themeFillTint="33"/>
          </w:tcPr>
          <w:p w:rsidR="00461CD8" w:rsidRPr="002E4692" w:rsidRDefault="00461CD8" w:rsidP="00461CD8">
            <w:pPr>
              <w:spacing w:after="0" w:line="240" w:lineRule="auto"/>
              <w:rPr>
                <w:sz w:val="18"/>
                <w:szCs w:val="18"/>
              </w:rPr>
            </w:pPr>
            <w:r w:rsidRPr="002E4692">
              <w:rPr>
                <w:sz w:val="18"/>
                <w:szCs w:val="18"/>
              </w:rPr>
              <w:t xml:space="preserve">+ 20 </w:t>
            </w:r>
            <w:r w:rsidR="001A2522" w:rsidRPr="002E4692">
              <w:rPr>
                <w:rFonts w:cs="Arial"/>
                <w:sz w:val="18"/>
                <w:szCs w:val="18"/>
              </w:rPr>
              <w:t>µ</w:t>
            </w:r>
            <w:r w:rsidR="001A2522" w:rsidRPr="002E4692">
              <w:rPr>
                <w:sz w:val="18"/>
                <w:szCs w:val="18"/>
              </w:rPr>
              <w:t>L</w:t>
            </w:r>
            <w:r w:rsidRPr="002E4692">
              <w:rPr>
                <w:sz w:val="18"/>
                <w:szCs w:val="18"/>
              </w:rPr>
              <w:t xml:space="preserve"> T3</w:t>
            </w:r>
          </w:p>
        </w:tc>
      </w:tr>
      <w:tr w:rsidR="00C65F6B" w:rsidRPr="002E4692" w:rsidTr="00B75C59">
        <w:tc>
          <w:tcPr>
            <w:tcW w:w="562" w:type="pct"/>
            <w:shd w:val="clear" w:color="auto" w:fill="FFF2CC" w:themeFill="accent4" w:themeFillTint="33"/>
          </w:tcPr>
          <w:p w:rsidR="00C65F6B" w:rsidRPr="002E4692" w:rsidRDefault="00C65F6B" w:rsidP="00C65F6B">
            <w:pPr>
              <w:spacing w:after="0" w:line="240" w:lineRule="auto"/>
              <w:rPr>
                <w:sz w:val="18"/>
                <w:szCs w:val="18"/>
              </w:rPr>
            </w:pPr>
            <w:r w:rsidRPr="002E4692">
              <w:rPr>
                <w:sz w:val="18"/>
                <w:szCs w:val="18"/>
              </w:rPr>
              <w:t>T7</w:t>
            </w:r>
          </w:p>
        </w:tc>
        <w:tc>
          <w:tcPr>
            <w:tcW w:w="815" w:type="pct"/>
            <w:vMerge/>
            <w:shd w:val="clear" w:color="auto" w:fill="auto"/>
          </w:tcPr>
          <w:p w:rsidR="00C65F6B" w:rsidRPr="002E4692" w:rsidRDefault="00C65F6B" w:rsidP="00C65F6B">
            <w:pPr>
              <w:spacing w:after="0" w:line="240" w:lineRule="auto"/>
              <w:rPr>
                <w:sz w:val="18"/>
                <w:szCs w:val="18"/>
              </w:rPr>
            </w:pPr>
          </w:p>
        </w:tc>
        <w:tc>
          <w:tcPr>
            <w:tcW w:w="2222" w:type="pct"/>
            <w:vMerge w:val="restart"/>
            <w:shd w:val="clear" w:color="auto" w:fill="FFFFFF" w:themeFill="background1"/>
            <w:vAlign w:val="center"/>
          </w:tcPr>
          <w:p w:rsidR="00C65F6B" w:rsidRPr="002E4692" w:rsidRDefault="00C65F6B" w:rsidP="00C65F6B">
            <w:pPr>
              <w:spacing w:after="0" w:line="240" w:lineRule="auto"/>
              <w:rPr>
                <w:sz w:val="18"/>
                <w:szCs w:val="18"/>
                <w:lang w:val="en-US"/>
              </w:rPr>
            </w:pPr>
            <w:r w:rsidRPr="002E4692">
              <w:rPr>
                <w:sz w:val="18"/>
                <w:szCs w:val="18"/>
                <w:lang w:val="en-US"/>
              </w:rPr>
              <w:t xml:space="preserve">+ 10 </w:t>
            </w:r>
            <w:r w:rsidRPr="002E4692">
              <w:rPr>
                <w:sz w:val="18"/>
                <w:szCs w:val="18"/>
              </w:rPr>
              <w:t>μ</w:t>
            </w:r>
            <w:r w:rsidRPr="002E4692">
              <w:rPr>
                <w:sz w:val="18"/>
                <w:szCs w:val="18"/>
                <w:lang w:val="en-US"/>
              </w:rPr>
              <w:t xml:space="preserve">L anti-bFG + 10 </w:t>
            </w:r>
            <w:r w:rsidRPr="002E4692">
              <w:rPr>
                <w:sz w:val="18"/>
                <w:szCs w:val="18"/>
              </w:rPr>
              <w:t>μ</w:t>
            </w:r>
            <w:r w:rsidRPr="002E4692">
              <w:rPr>
                <w:sz w:val="18"/>
                <w:szCs w:val="18"/>
                <w:lang w:val="en-US"/>
              </w:rPr>
              <w:t>L PBS</w:t>
            </w:r>
            <w:r w:rsidR="001A2522" w:rsidRPr="002E4692">
              <w:rPr>
                <w:sz w:val="18"/>
                <w:szCs w:val="18"/>
                <w:lang w:val="en-US"/>
              </w:rPr>
              <w:t xml:space="preserve"> to each tube</w:t>
            </w:r>
          </w:p>
        </w:tc>
        <w:tc>
          <w:tcPr>
            <w:tcW w:w="1401" w:type="pct"/>
            <w:shd w:val="clear" w:color="auto" w:fill="FFF2CC" w:themeFill="accent4" w:themeFillTint="33"/>
          </w:tcPr>
          <w:p w:rsidR="00C65F6B" w:rsidRPr="002E4692" w:rsidRDefault="00C65F6B" w:rsidP="00C65F6B">
            <w:pPr>
              <w:spacing w:after="0" w:line="240" w:lineRule="auto"/>
              <w:rPr>
                <w:sz w:val="18"/>
                <w:szCs w:val="18"/>
              </w:rPr>
            </w:pPr>
            <w:r w:rsidRPr="002E4692">
              <w:rPr>
                <w:sz w:val="18"/>
                <w:szCs w:val="18"/>
              </w:rPr>
              <w:t xml:space="preserve">+ 20 </w:t>
            </w:r>
            <w:r w:rsidR="001A2522" w:rsidRPr="002E4692">
              <w:rPr>
                <w:rFonts w:cs="Arial"/>
                <w:sz w:val="18"/>
                <w:szCs w:val="18"/>
              </w:rPr>
              <w:t>µ</w:t>
            </w:r>
            <w:r w:rsidR="001A2522" w:rsidRPr="002E4692">
              <w:rPr>
                <w:sz w:val="18"/>
                <w:szCs w:val="18"/>
              </w:rPr>
              <w:t>L</w:t>
            </w:r>
            <w:r w:rsidRPr="002E4692">
              <w:rPr>
                <w:sz w:val="18"/>
                <w:szCs w:val="18"/>
              </w:rPr>
              <w:t xml:space="preserve"> T1</w:t>
            </w:r>
          </w:p>
        </w:tc>
      </w:tr>
      <w:tr w:rsidR="00C65F6B" w:rsidRPr="002E4692" w:rsidTr="00B75C59">
        <w:tc>
          <w:tcPr>
            <w:tcW w:w="562" w:type="pct"/>
            <w:shd w:val="clear" w:color="auto" w:fill="DEEAF6" w:themeFill="accent5" w:themeFillTint="33"/>
          </w:tcPr>
          <w:p w:rsidR="00C65F6B" w:rsidRPr="002E4692" w:rsidRDefault="00C65F6B" w:rsidP="00C65F6B">
            <w:pPr>
              <w:spacing w:after="0" w:line="240" w:lineRule="auto"/>
              <w:rPr>
                <w:sz w:val="18"/>
                <w:szCs w:val="18"/>
              </w:rPr>
            </w:pPr>
            <w:r w:rsidRPr="002E4692">
              <w:rPr>
                <w:sz w:val="18"/>
                <w:szCs w:val="18"/>
              </w:rPr>
              <w:t>T8</w:t>
            </w:r>
          </w:p>
        </w:tc>
        <w:tc>
          <w:tcPr>
            <w:tcW w:w="815" w:type="pct"/>
            <w:vMerge/>
            <w:shd w:val="clear" w:color="auto" w:fill="auto"/>
          </w:tcPr>
          <w:p w:rsidR="00C65F6B" w:rsidRPr="002E4692" w:rsidRDefault="00C65F6B" w:rsidP="00C65F6B">
            <w:pPr>
              <w:spacing w:after="0" w:line="240" w:lineRule="auto"/>
              <w:rPr>
                <w:sz w:val="18"/>
                <w:szCs w:val="18"/>
              </w:rPr>
            </w:pPr>
          </w:p>
        </w:tc>
        <w:tc>
          <w:tcPr>
            <w:tcW w:w="2222" w:type="pct"/>
            <w:vMerge/>
            <w:shd w:val="clear" w:color="auto" w:fill="FFFFFF" w:themeFill="background1"/>
          </w:tcPr>
          <w:p w:rsidR="00C65F6B" w:rsidRPr="002E4692" w:rsidRDefault="00C65F6B" w:rsidP="00C65F6B">
            <w:pPr>
              <w:spacing w:after="0" w:line="240" w:lineRule="auto"/>
              <w:rPr>
                <w:sz w:val="18"/>
                <w:szCs w:val="18"/>
              </w:rPr>
            </w:pPr>
          </w:p>
        </w:tc>
        <w:tc>
          <w:tcPr>
            <w:tcW w:w="1401" w:type="pct"/>
            <w:shd w:val="clear" w:color="auto" w:fill="DEEAF6" w:themeFill="accent5" w:themeFillTint="33"/>
          </w:tcPr>
          <w:p w:rsidR="00C65F6B" w:rsidRPr="002E4692" w:rsidRDefault="00C65F6B" w:rsidP="00C65F6B">
            <w:pPr>
              <w:spacing w:after="0" w:line="240" w:lineRule="auto"/>
              <w:rPr>
                <w:sz w:val="18"/>
                <w:szCs w:val="18"/>
              </w:rPr>
            </w:pPr>
            <w:r w:rsidRPr="002E4692">
              <w:rPr>
                <w:sz w:val="18"/>
                <w:szCs w:val="18"/>
              </w:rPr>
              <w:t xml:space="preserve">+ 20 </w:t>
            </w:r>
            <w:r w:rsidR="001A2522" w:rsidRPr="002E4692">
              <w:rPr>
                <w:rFonts w:cs="Arial"/>
                <w:sz w:val="18"/>
                <w:szCs w:val="18"/>
              </w:rPr>
              <w:t>µ</w:t>
            </w:r>
            <w:r w:rsidR="001A2522" w:rsidRPr="002E4692">
              <w:rPr>
                <w:sz w:val="18"/>
                <w:szCs w:val="18"/>
              </w:rPr>
              <w:t>L</w:t>
            </w:r>
            <w:r w:rsidRPr="002E4692">
              <w:rPr>
                <w:sz w:val="18"/>
                <w:szCs w:val="18"/>
              </w:rPr>
              <w:t xml:space="preserve"> T2</w:t>
            </w:r>
          </w:p>
        </w:tc>
      </w:tr>
      <w:tr w:rsidR="00C65F6B" w:rsidRPr="002E4692" w:rsidTr="00B75C59">
        <w:tc>
          <w:tcPr>
            <w:tcW w:w="562" w:type="pct"/>
            <w:shd w:val="clear" w:color="auto" w:fill="E2EFD9" w:themeFill="accent6" w:themeFillTint="33"/>
          </w:tcPr>
          <w:p w:rsidR="00C65F6B" w:rsidRPr="002E4692" w:rsidRDefault="00C65F6B" w:rsidP="00C65F6B">
            <w:pPr>
              <w:spacing w:after="0" w:line="240" w:lineRule="auto"/>
              <w:rPr>
                <w:sz w:val="18"/>
                <w:szCs w:val="18"/>
              </w:rPr>
            </w:pPr>
            <w:r w:rsidRPr="002E4692">
              <w:rPr>
                <w:sz w:val="18"/>
                <w:szCs w:val="18"/>
              </w:rPr>
              <w:t>T9</w:t>
            </w:r>
          </w:p>
        </w:tc>
        <w:tc>
          <w:tcPr>
            <w:tcW w:w="815" w:type="pct"/>
            <w:vMerge/>
            <w:shd w:val="clear" w:color="auto" w:fill="auto"/>
          </w:tcPr>
          <w:p w:rsidR="00C65F6B" w:rsidRPr="002E4692" w:rsidRDefault="00C65F6B" w:rsidP="00C65F6B">
            <w:pPr>
              <w:spacing w:after="0" w:line="240" w:lineRule="auto"/>
              <w:rPr>
                <w:sz w:val="18"/>
                <w:szCs w:val="18"/>
              </w:rPr>
            </w:pPr>
          </w:p>
        </w:tc>
        <w:tc>
          <w:tcPr>
            <w:tcW w:w="2222" w:type="pct"/>
            <w:vMerge/>
            <w:shd w:val="clear" w:color="auto" w:fill="FFFFFF" w:themeFill="background1"/>
          </w:tcPr>
          <w:p w:rsidR="00C65F6B" w:rsidRPr="002E4692" w:rsidRDefault="00C65F6B" w:rsidP="00C65F6B">
            <w:pPr>
              <w:spacing w:after="0" w:line="240" w:lineRule="auto"/>
              <w:rPr>
                <w:sz w:val="18"/>
                <w:szCs w:val="18"/>
              </w:rPr>
            </w:pPr>
          </w:p>
        </w:tc>
        <w:tc>
          <w:tcPr>
            <w:tcW w:w="1401" w:type="pct"/>
            <w:shd w:val="clear" w:color="auto" w:fill="E2EFD9" w:themeFill="accent6" w:themeFillTint="33"/>
          </w:tcPr>
          <w:p w:rsidR="00C65F6B" w:rsidRPr="002E4692" w:rsidRDefault="00C65F6B" w:rsidP="00C65F6B">
            <w:pPr>
              <w:spacing w:after="0" w:line="240" w:lineRule="auto"/>
              <w:rPr>
                <w:sz w:val="18"/>
                <w:szCs w:val="18"/>
              </w:rPr>
            </w:pPr>
            <w:r w:rsidRPr="002E4692">
              <w:rPr>
                <w:sz w:val="18"/>
                <w:szCs w:val="18"/>
              </w:rPr>
              <w:t xml:space="preserve">+ 20 </w:t>
            </w:r>
            <w:r w:rsidR="001A2522" w:rsidRPr="002E4692">
              <w:rPr>
                <w:rFonts w:cs="Arial"/>
                <w:sz w:val="18"/>
                <w:szCs w:val="18"/>
              </w:rPr>
              <w:t>µ</w:t>
            </w:r>
            <w:r w:rsidR="001A2522" w:rsidRPr="002E4692">
              <w:rPr>
                <w:sz w:val="18"/>
                <w:szCs w:val="18"/>
              </w:rPr>
              <w:t>L</w:t>
            </w:r>
            <w:r w:rsidRPr="002E4692">
              <w:rPr>
                <w:sz w:val="18"/>
                <w:szCs w:val="18"/>
              </w:rPr>
              <w:t xml:space="preserve"> T3</w:t>
            </w:r>
          </w:p>
        </w:tc>
      </w:tr>
      <w:tr w:rsidR="00C65F6B" w:rsidRPr="002E4692" w:rsidTr="00B75C59">
        <w:trPr>
          <w:trHeight w:val="256"/>
        </w:trPr>
        <w:tc>
          <w:tcPr>
            <w:tcW w:w="562" w:type="pct"/>
            <w:shd w:val="clear" w:color="auto" w:fill="FFF2CC" w:themeFill="accent4" w:themeFillTint="33"/>
          </w:tcPr>
          <w:p w:rsidR="00C65F6B" w:rsidRPr="002E4692" w:rsidRDefault="00C65F6B" w:rsidP="00C65F6B">
            <w:pPr>
              <w:spacing w:after="0" w:line="240" w:lineRule="auto"/>
              <w:rPr>
                <w:sz w:val="18"/>
                <w:szCs w:val="18"/>
              </w:rPr>
            </w:pPr>
            <w:r w:rsidRPr="002E4692">
              <w:rPr>
                <w:sz w:val="18"/>
                <w:szCs w:val="18"/>
              </w:rPr>
              <w:t>T10</w:t>
            </w:r>
          </w:p>
        </w:tc>
        <w:tc>
          <w:tcPr>
            <w:tcW w:w="815" w:type="pct"/>
            <w:vMerge/>
            <w:shd w:val="clear" w:color="auto" w:fill="auto"/>
          </w:tcPr>
          <w:p w:rsidR="00C65F6B" w:rsidRPr="002E4692" w:rsidRDefault="00C65F6B" w:rsidP="00C65F6B">
            <w:pPr>
              <w:spacing w:after="0" w:line="240" w:lineRule="auto"/>
              <w:rPr>
                <w:sz w:val="18"/>
                <w:szCs w:val="18"/>
              </w:rPr>
            </w:pPr>
          </w:p>
        </w:tc>
        <w:tc>
          <w:tcPr>
            <w:tcW w:w="2222" w:type="pct"/>
            <w:vMerge w:val="restart"/>
            <w:shd w:val="clear" w:color="auto" w:fill="FFFFFF" w:themeFill="background1"/>
            <w:vAlign w:val="center"/>
          </w:tcPr>
          <w:p w:rsidR="00C65F6B" w:rsidRPr="002E4692" w:rsidRDefault="00C65F6B" w:rsidP="00C65F6B">
            <w:pPr>
              <w:spacing w:after="0" w:line="240" w:lineRule="auto"/>
              <w:rPr>
                <w:sz w:val="18"/>
                <w:szCs w:val="18"/>
                <w:lang w:val="en-US"/>
              </w:rPr>
            </w:pPr>
            <w:r w:rsidRPr="002E4692">
              <w:rPr>
                <w:sz w:val="18"/>
                <w:szCs w:val="18"/>
                <w:lang w:val="en-US"/>
              </w:rPr>
              <w:t xml:space="preserve">+ 20 </w:t>
            </w:r>
            <w:r w:rsidRPr="002E4692">
              <w:rPr>
                <w:sz w:val="18"/>
                <w:szCs w:val="18"/>
              </w:rPr>
              <w:t>μ</w:t>
            </w:r>
            <w:r w:rsidRPr="002E4692">
              <w:rPr>
                <w:sz w:val="18"/>
                <w:szCs w:val="18"/>
                <w:lang w:val="en-US"/>
              </w:rPr>
              <w:t xml:space="preserve">L </w:t>
            </w:r>
            <w:r w:rsidR="001A2522" w:rsidRPr="002E4692">
              <w:rPr>
                <w:sz w:val="18"/>
                <w:szCs w:val="18"/>
                <w:lang w:val="en-US"/>
              </w:rPr>
              <w:t>negative isotype control to each tube</w:t>
            </w:r>
          </w:p>
        </w:tc>
        <w:tc>
          <w:tcPr>
            <w:tcW w:w="1401" w:type="pct"/>
            <w:shd w:val="clear" w:color="auto" w:fill="FFF2CC" w:themeFill="accent4" w:themeFillTint="33"/>
          </w:tcPr>
          <w:p w:rsidR="00C65F6B" w:rsidRPr="002E4692" w:rsidRDefault="00C65F6B" w:rsidP="00C65F6B">
            <w:pPr>
              <w:spacing w:after="0" w:line="240" w:lineRule="auto"/>
              <w:rPr>
                <w:sz w:val="18"/>
                <w:szCs w:val="18"/>
              </w:rPr>
            </w:pPr>
            <w:r w:rsidRPr="002E4692">
              <w:rPr>
                <w:sz w:val="18"/>
                <w:szCs w:val="18"/>
              </w:rPr>
              <w:t xml:space="preserve">+ 20 </w:t>
            </w:r>
            <w:r w:rsidR="001A2522" w:rsidRPr="002E4692">
              <w:rPr>
                <w:rFonts w:cs="Arial"/>
                <w:sz w:val="18"/>
                <w:szCs w:val="18"/>
              </w:rPr>
              <w:t>µ</w:t>
            </w:r>
            <w:r w:rsidR="001A2522" w:rsidRPr="002E4692">
              <w:rPr>
                <w:sz w:val="18"/>
                <w:szCs w:val="18"/>
              </w:rPr>
              <w:t>L</w:t>
            </w:r>
            <w:r w:rsidRPr="002E4692">
              <w:rPr>
                <w:sz w:val="18"/>
                <w:szCs w:val="18"/>
              </w:rPr>
              <w:t xml:space="preserve"> T1</w:t>
            </w:r>
          </w:p>
        </w:tc>
      </w:tr>
      <w:tr w:rsidR="00C65F6B" w:rsidRPr="002E4692" w:rsidTr="00B75C59">
        <w:tc>
          <w:tcPr>
            <w:tcW w:w="562" w:type="pct"/>
            <w:shd w:val="clear" w:color="auto" w:fill="DEEAF6" w:themeFill="accent5" w:themeFillTint="33"/>
          </w:tcPr>
          <w:p w:rsidR="00C65F6B" w:rsidRPr="002E4692" w:rsidRDefault="00C65F6B" w:rsidP="00C65F6B">
            <w:pPr>
              <w:spacing w:after="0" w:line="240" w:lineRule="auto"/>
              <w:rPr>
                <w:sz w:val="18"/>
                <w:szCs w:val="18"/>
              </w:rPr>
            </w:pPr>
            <w:r w:rsidRPr="002E4692">
              <w:rPr>
                <w:sz w:val="18"/>
                <w:szCs w:val="18"/>
              </w:rPr>
              <w:t>T11</w:t>
            </w:r>
          </w:p>
        </w:tc>
        <w:tc>
          <w:tcPr>
            <w:tcW w:w="815" w:type="pct"/>
            <w:vMerge/>
            <w:shd w:val="clear" w:color="auto" w:fill="auto"/>
          </w:tcPr>
          <w:p w:rsidR="00C65F6B" w:rsidRPr="002E4692" w:rsidRDefault="00C65F6B" w:rsidP="00C65F6B">
            <w:pPr>
              <w:spacing w:after="0" w:line="240" w:lineRule="auto"/>
              <w:rPr>
                <w:sz w:val="18"/>
                <w:szCs w:val="18"/>
              </w:rPr>
            </w:pPr>
          </w:p>
        </w:tc>
        <w:tc>
          <w:tcPr>
            <w:tcW w:w="2222" w:type="pct"/>
            <w:vMerge/>
            <w:shd w:val="clear" w:color="auto" w:fill="FFFFFF" w:themeFill="background1"/>
            <w:vAlign w:val="center"/>
          </w:tcPr>
          <w:p w:rsidR="00C65F6B" w:rsidRPr="002E4692" w:rsidRDefault="00C65F6B" w:rsidP="00C65F6B">
            <w:pPr>
              <w:spacing w:after="0" w:line="240" w:lineRule="auto"/>
              <w:jc w:val="center"/>
              <w:rPr>
                <w:sz w:val="18"/>
                <w:szCs w:val="18"/>
              </w:rPr>
            </w:pPr>
          </w:p>
        </w:tc>
        <w:tc>
          <w:tcPr>
            <w:tcW w:w="1401" w:type="pct"/>
            <w:shd w:val="clear" w:color="auto" w:fill="DEEAF6" w:themeFill="accent5" w:themeFillTint="33"/>
          </w:tcPr>
          <w:p w:rsidR="00C65F6B" w:rsidRPr="002E4692" w:rsidRDefault="00C65F6B" w:rsidP="00C65F6B">
            <w:pPr>
              <w:spacing w:after="0" w:line="240" w:lineRule="auto"/>
              <w:rPr>
                <w:sz w:val="18"/>
                <w:szCs w:val="18"/>
              </w:rPr>
            </w:pPr>
            <w:r w:rsidRPr="002E4692">
              <w:rPr>
                <w:sz w:val="18"/>
                <w:szCs w:val="18"/>
              </w:rPr>
              <w:t xml:space="preserve">+ 20 </w:t>
            </w:r>
            <w:r w:rsidR="001A2522" w:rsidRPr="002E4692">
              <w:rPr>
                <w:rFonts w:cs="Arial"/>
                <w:sz w:val="18"/>
                <w:szCs w:val="18"/>
              </w:rPr>
              <w:t>µ</w:t>
            </w:r>
            <w:r w:rsidR="001A2522" w:rsidRPr="002E4692">
              <w:rPr>
                <w:sz w:val="18"/>
                <w:szCs w:val="18"/>
              </w:rPr>
              <w:t>L</w:t>
            </w:r>
            <w:r w:rsidRPr="002E4692">
              <w:rPr>
                <w:sz w:val="18"/>
                <w:szCs w:val="18"/>
              </w:rPr>
              <w:t xml:space="preserve"> T2</w:t>
            </w:r>
          </w:p>
        </w:tc>
      </w:tr>
      <w:tr w:rsidR="00C65F6B" w:rsidRPr="002E4692" w:rsidTr="00B75C59">
        <w:trPr>
          <w:trHeight w:val="258"/>
        </w:trPr>
        <w:tc>
          <w:tcPr>
            <w:tcW w:w="562" w:type="pct"/>
            <w:tcBorders>
              <w:bottom w:val="single" w:sz="4" w:space="0" w:color="auto"/>
            </w:tcBorders>
            <w:shd w:val="clear" w:color="auto" w:fill="E2EFD9" w:themeFill="accent6" w:themeFillTint="33"/>
          </w:tcPr>
          <w:p w:rsidR="00C65F6B" w:rsidRPr="002E4692" w:rsidRDefault="00C65F6B" w:rsidP="00C65F6B">
            <w:pPr>
              <w:spacing w:after="0" w:line="240" w:lineRule="auto"/>
              <w:rPr>
                <w:sz w:val="18"/>
                <w:szCs w:val="18"/>
              </w:rPr>
            </w:pPr>
            <w:r w:rsidRPr="002E4692">
              <w:rPr>
                <w:sz w:val="18"/>
                <w:szCs w:val="18"/>
              </w:rPr>
              <w:t>T12</w:t>
            </w:r>
          </w:p>
        </w:tc>
        <w:tc>
          <w:tcPr>
            <w:tcW w:w="815" w:type="pct"/>
            <w:vMerge/>
            <w:tcBorders>
              <w:bottom w:val="single" w:sz="4" w:space="0" w:color="auto"/>
            </w:tcBorders>
            <w:shd w:val="clear" w:color="auto" w:fill="auto"/>
          </w:tcPr>
          <w:p w:rsidR="00C65F6B" w:rsidRPr="002E4692" w:rsidRDefault="00C65F6B" w:rsidP="00C65F6B">
            <w:pPr>
              <w:spacing w:after="0" w:line="240" w:lineRule="auto"/>
              <w:rPr>
                <w:sz w:val="18"/>
                <w:szCs w:val="18"/>
              </w:rPr>
            </w:pPr>
          </w:p>
        </w:tc>
        <w:tc>
          <w:tcPr>
            <w:tcW w:w="2222" w:type="pct"/>
            <w:vMerge/>
            <w:tcBorders>
              <w:bottom w:val="single" w:sz="4" w:space="0" w:color="auto"/>
            </w:tcBorders>
            <w:shd w:val="clear" w:color="auto" w:fill="FFFFFF" w:themeFill="background1"/>
            <w:vAlign w:val="center"/>
          </w:tcPr>
          <w:p w:rsidR="00C65F6B" w:rsidRPr="002E4692" w:rsidRDefault="00C65F6B" w:rsidP="00C65F6B">
            <w:pPr>
              <w:spacing w:after="0" w:line="240" w:lineRule="auto"/>
              <w:jc w:val="center"/>
              <w:rPr>
                <w:sz w:val="18"/>
                <w:szCs w:val="18"/>
              </w:rPr>
            </w:pPr>
          </w:p>
        </w:tc>
        <w:tc>
          <w:tcPr>
            <w:tcW w:w="1401" w:type="pct"/>
            <w:shd w:val="clear" w:color="auto" w:fill="E2EFD9" w:themeFill="accent6" w:themeFillTint="33"/>
          </w:tcPr>
          <w:p w:rsidR="00C65F6B" w:rsidRPr="002E4692" w:rsidRDefault="00C65F6B" w:rsidP="00C65F6B">
            <w:pPr>
              <w:spacing w:after="0" w:line="240" w:lineRule="auto"/>
              <w:rPr>
                <w:sz w:val="18"/>
                <w:szCs w:val="18"/>
              </w:rPr>
            </w:pPr>
            <w:r w:rsidRPr="002E4692">
              <w:rPr>
                <w:sz w:val="18"/>
                <w:szCs w:val="18"/>
              </w:rPr>
              <w:t xml:space="preserve">+ 20 </w:t>
            </w:r>
            <w:r w:rsidR="001A2522" w:rsidRPr="002E4692">
              <w:rPr>
                <w:rFonts w:cs="Arial"/>
                <w:sz w:val="18"/>
                <w:szCs w:val="18"/>
              </w:rPr>
              <w:t>µ</w:t>
            </w:r>
            <w:r w:rsidR="001A2522" w:rsidRPr="002E4692">
              <w:rPr>
                <w:sz w:val="18"/>
                <w:szCs w:val="18"/>
              </w:rPr>
              <w:t>L</w:t>
            </w:r>
            <w:r w:rsidRPr="002E4692">
              <w:rPr>
                <w:sz w:val="18"/>
                <w:szCs w:val="18"/>
              </w:rPr>
              <w:t xml:space="preserve"> T3</w:t>
            </w:r>
          </w:p>
        </w:tc>
      </w:tr>
      <w:tr w:rsidR="00461CD8" w:rsidRPr="002E4692" w:rsidTr="00886B7F">
        <w:trPr>
          <w:trHeight w:val="258"/>
        </w:trPr>
        <w:tc>
          <w:tcPr>
            <w:tcW w:w="5000" w:type="pct"/>
            <w:gridSpan w:val="4"/>
            <w:tcBorders>
              <w:bottom w:val="single" w:sz="4" w:space="0" w:color="auto"/>
            </w:tcBorders>
            <w:shd w:val="clear" w:color="auto" w:fill="auto"/>
          </w:tcPr>
          <w:p w:rsidR="00461CD8" w:rsidRPr="002E4692" w:rsidRDefault="00635A0B" w:rsidP="00461CD8">
            <w:pPr>
              <w:spacing w:after="0" w:line="240" w:lineRule="auto"/>
              <w:rPr>
                <w:sz w:val="18"/>
                <w:szCs w:val="18"/>
                <w:lang w:val="en-US"/>
              </w:rPr>
            </w:pPr>
            <w:r w:rsidRPr="002E4692">
              <w:rPr>
                <w:sz w:val="18"/>
                <w:szCs w:val="18"/>
                <w:lang w:val="en-US"/>
              </w:rPr>
              <w:t>Vortex for 1 to 2 seconds.</w:t>
            </w:r>
          </w:p>
        </w:tc>
      </w:tr>
      <w:tr w:rsidR="00427B77" w:rsidRPr="005D7D8B" w:rsidTr="00886B7F">
        <w:trPr>
          <w:trHeight w:val="258"/>
        </w:trPr>
        <w:tc>
          <w:tcPr>
            <w:tcW w:w="5000" w:type="pct"/>
            <w:gridSpan w:val="4"/>
            <w:tcBorders>
              <w:bottom w:val="single" w:sz="4" w:space="0" w:color="auto"/>
            </w:tcBorders>
            <w:shd w:val="clear" w:color="auto" w:fill="auto"/>
          </w:tcPr>
          <w:p w:rsidR="00427B77" w:rsidRPr="002E4692" w:rsidRDefault="00427B77" w:rsidP="00461CD8">
            <w:pPr>
              <w:spacing w:after="0" w:line="240" w:lineRule="auto"/>
              <w:rPr>
                <w:sz w:val="18"/>
                <w:szCs w:val="18"/>
                <w:lang w:val="en-US"/>
              </w:rPr>
            </w:pPr>
            <w:r w:rsidRPr="002E4692">
              <w:rPr>
                <w:sz w:val="18"/>
                <w:szCs w:val="18"/>
                <w:lang w:val="en-US"/>
              </w:rPr>
              <w:t>Incubate for 10 minutes, in darkness at room temperature (~22ºC)</w:t>
            </w:r>
            <w:r w:rsidR="00C65F6B" w:rsidRPr="002E4692">
              <w:rPr>
                <w:sz w:val="18"/>
                <w:szCs w:val="18"/>
                <w:lang w:val="en-US"/>
              </w:rPr>
              <w:t>.</w:t>
            </w:r>
          </w:p>
        </w:tc>
      </w:tr>
      <w:tr w:rsidR="00461CD8" w:rsidRPr="005D7D8B" w:rsidTr="00427B77">
        <w:trPr>
          <w:trHeight w:val="240"/>
        </w:trPr>
        <w:tc>
          <w:tcPr>
            <w:tcW w:w="5000" w:type="pct"/>
            <w:gridSpan w:val="4"/>
            <w:tcBorders>
              <w:bottom w:val="single" w:sz="4" w:space="0" w:color="auto"/>
            </w:tcBorders>
            <w:shd w:val="clear" w:color="auto" w:fill="auto"/>
          </w:tcPr>
          <w:p w:rsidR="00461CD8" w:rsidRPr="002E4692" w:rsidRDefault="00461CD8" w:rsidP="00427B77">
            <w:pPr>
              <w:spacing w:after="0" w:line="240" w:lineRule="auto"/>
              <w:rPr>
                <w:sz w:val="18"/>
                <w:szCs w:val="18"/>
                <w:lang w:val="en-US"/>
              </w:rPr>
            </w:pPr>
            <w:r w:rsidRPr="002E4692">
              <w:rPr>
                <w:sz w:val="18"/>
                <w:szCs w:val="18"/>
                <w:lang w:val="en-US"/>
              </w:rPr>
              <w:t>Add 2 mL PBS-BSA</w:t>
            </w:r>
            <w:r w:rsidR="00C31D35" w:rsidRPr="002E4692">
              <w:rPr>
                <w:sz w:val="18"/>
                <w:szCs w:val="18"/>
                <w:lang w:val="en-US"/>
              </w:rPr>
              <w:t>(0.2%)</w:t>
            </w:r>
            <w:r w:rsidRPr="002E4692">
              <w:rPr>
                <w:sz w:val="18"/>
                <w:szCs w:val="18"/>
                <w:lang w:val="en-US"/>
              </w:rPr>
              <w:t xml:space="preserve"> to all tubes (T4-T12).</w:t>
            </w:r>
            <w:r w:rsidR="00427B77" w:rsidRPr="002E4692">
              <w:rPr>
                <w:sz w:val="18"/>
                <w:szCs w:val="18"/>
                <w:lang w:val="en-US"/>
              </w:rPr>
              <w:t xml:space="preserve"> </w:t>
            </w:r>
          </w:p>
        </w:tc>
      </w:tr>
      <w:tr w:rsidR="00427B77" w:rsidRPr="002E4692" w:rsidTr="00886B7F">
        <w:trPr>
          <w:trHeight w:val="258"/>
        </w:trPr>
        <w:tc>
          <w:tcPr>
            <w:tcW w:w="5000" w:type="pct"/>
            <w:gridSpan w:val="4"/>
            <w:tcBorders>
              <w:bottom w:val="single" w:sz="4" w:space="0" w:color="auto"/>
            </w:tcBorders>
            <w:shd w:val="clear" w:color="auto" w:fill="auto"/>
          </w:tcPr>
          <w:p w:rsidR="00427B77" w:rsidRPr="002E4692" w:rsidRDefault="00427B77" w:rsidP="00427B77">
            <w:pPr>
              <w:spacing w:after="0" w:line="240" w:lineRule="auto"/>
              <w:rPr>
                <w:sz w:val="18"/>
                <w:szCs w:val="18"/>
                <w:lang w:val="en-US"/>
              </w:rPr>
            </w:pPr>
            <w:r w:rsidRPr="002E4692">
              <w:rPr>
                <w:sz w:val="18"/>
                <w:szCs w:val="18"/>
                <w:lang w:val="en-US"/>
              </w:rPr>
              <w:t>Vortex</w:t>
            </w:r>
            <w:r w:rsidR="00635A0B" w:rsidRPr="002E4692">
              <w:rPr>
                <w:sz w:val="18"/>
                <w:szCs w:val="18"/>
                <w:lang w:val="en-US"/>
              </w:rPr>
              <w:t xml:space="preserve"> for 1 to 2 seconds</w:t>
            </w:r>
            <w:r w:rsidRPr="002E4692">
              <w:rPr>
                <w:sz w:val="18"/>
                <w:szCs w:val="18"/>
                <w:lang w:val="en-US"/>
              </w:rPr>
              <w:t>.</w:t>
            </w:r>
          </w:p>
        </w:tc>
      </w:tr>
      <w:tr w:rsidR="00427B77" w:rsidRPr="005D7D8B" w:rsidTr="00886B7F">
        <w:trPr>
          <w:trHeight w:val="258"/>
        </w:trPr>
        <w:tc>
          <w:tcPr>
            <w:tcW w:w="5000" w:type="pct"/>
            <w:gridSpan w:val="4"/>
            <w:tcBorders>
              <w:bottom w:val="single" w:sz="4" w:space="0" w:color="auto"/>
            </w:tcBorders>
            <w:shd w:val="clear" w:color="auto" w:fill="auto"/>
          </w:tcPr>
          <w:p w:rsidR="00427B77" w:rsidRPr="002E4692" w:rsidRDefault="00427B77" w:rsidP="00427B77">
            <w:pPr>
              <w:spacing w:after="0" w:line="240" w:lineRule="auto"/>
              <w:rPr>
                <w:sz w:val="18"/>
                <w:szCs w:val="18"/>
                <w:lang w:val="en-US"/>
              </w:rPr>
            </w:pPr>
            <w:r w:rsidRPr="002E4692">
              <w:rPr>
                <w:sz w:val="18"/>
                <w:szCs w:val="18"/>
                <w:lang w:val="en-US"/>
              </w:rPr>
              <w:t>Separate 1 mL from each tube to another tube with the same designation.</w:t>
            </w:r>
          </w:p>
        </w:tc>
      </w:tr>
      <w:tr w:rsidR="00427B77" w:rsidRPr="002E4692" w:rsidTr="00886B7F">
        <w:trPr>
          <w:trHeight w:val="258"/>
        </w:trPr>
        <w:tc>
          <w:tcPr>
            <w:tcW w:w="5000" w:type="pct"/>
            <w:gridSpan w:val="4"/>
            <w:tcBorders>
              <w:bottom w:val="single" w:sz="4" w:space="0" w:color="auto"/>
            </w:tcBorders>
            <w:shd w:val="clear" w:color="auto" w:fill="auto"/>
          </w:tcPr>
          <w:p w:rsidR="00427B77" w:rsidRPr="002E4692" w:rsidRDefault="00427B77" w:rsidP="00427B77">
            <w:pPr>
              <w:spacing w:after="0" w:line="240" w:lineRule="auto"/>
              <w:rPr>
                <w:sz w:val="18"/>
                <w:szCs w:val="18"/>
                <w:lang w:val="en-US"/>
              </w:rPr>
            </w:pPr>
            <w:r w:rsidRPr="002E4692">
              <w:rPr>
                <w:sz w:val="18"/>
                <w:szCs w:val="18"/>
                <w:lang w:val="en-US"/>
              </w:rPr>
              <w:t>Add 50</w:t>
            </w:r>
            <w:r w:rsidR="001A2522" w:rsidRPr="002E4692">
              <w:rPr>
                <w:sz w:val="18"/>
                <w:szCs w:val="18"/>
                <w:lang w:val="en-US"/>
              </w:rPr>
              <w:t xml:space="preserve"> </w:t>
            </w:r>
            <w:r w:rsidR="001A2522" w:rsidRPr="002E4692">
              <w:rPr>
                <w:rFonts w:cs="Arial"/>
                <w:sz w:val="18"/>
                <w:szCs w:val="18"/>
              </w:rPr>
              <w:t>µ</w:t>
            </w:r>
            <w:r w:rsidR="001A2522" w:rsidRPr="002E4692">
              <w:rPr>
                <w:sz w:val="18"/>
                <w:szCs w:val="18"/>
              </w:rPr>
              <w:t>L</w:t>
            </w:r>
            <w:r w:rsidRPr="002E4692">
              <w:rPr>
                <w:sz w:val="18"/>
                <w:szCs w:val="18"/>
                <w:lang w:val="en-US"/>
              </w:rPr>
              <w:t xml:space="preserve"> formaldehyde 10% (final concentration: 0.5%).</w:t>
            </w:r>
          </w:p>
        </w:tc>
      </w:tr>
      <w:tr w:rsidR="00427B77" w:rsidRPr="002E4692" w:rsidTr="00886B7F">
        <w:trPr>
          <w:trHeight w:val="258"/>
        </w:trPr>
        <w:tc>
          <w:tcPr>
            <w:tcW w:w="5000" w:type="pct"/>
            <w:gridSpan w:val="4"/>
            <w:tcBorders>
              <w:bottom w:val="single" w:sz="4" w:space="0" w:color="auto"/>
            </w:tcBorders>
            <w:shd w:val="clear" w:color="auto" w:fill="auto"/>
          </w:tcPr>
          <w:p w:rsidR="00427B77" w:rsidRPr="002E4692" w:rsidRDefault="00635A0B" w:rsidP="00427B77">
            <w:pPr>
              <w:spacing w:after="0" w:line="240" w:lineRule="auto"/>
              <w:rPr>
                <w:sz w:val="18"/>
                <w:szCs w:val="18"/>
                <w:lang w:val="en-US"/>
              </w:rPr>
            </w:pPr>
            <w:r w:rsidRPr="002E4692">
              <w:rPr>
                <w:sz w:val="18"/>
                <w:szCs w:val="18"/>
                <w:lang w:val="en-US"/>
              </w:rPr>
              <w:t>Vortex for 1 to 2 seconds.</w:t>
            </w:r>
          </w:p>
        </w:tc>
      </w:tr>
      <w:tr w:rsidR="00427B77" w:rsidRPr="005D7D8B" w:rsidTr="00886B7F">
        <w:trPr>
          <w:trHeight w:val="258"/>
        </w:trPr>
        <w:tc>
          <w:tcPr>
            <w:tcW w:w="5000" w:type="pct"/>
            <w:gridSpan w:val="4"/>
            <w:tcBorders>
              <w:bottom w:val="single" w:sz="4" w:space="0" w:color="auto"/>
            </w:tcBorders>
            <w:shd w:val="clear" w:color="auto" w:fill="auto"/>
          </w:tcPr>
          <w:p w:rsidR="00427B77" w:rsidRPr="002E4692" w:rsidRDefault="00427B77" w:rsidP="00427B77">
            <w:pPr>
              <w:spacing w:after="0" w:line="240" w:lineRule="auto"/>
              <w:rPr>
                <w:sz w:val="18"/>
                <w:szCs w:val="18"/>
                <w:lang w:val="en-US"/>
              </w:rPr>
            </w:pPr>
            <w:r w:rsidRPr="002E4692">
              <w:rPr>
                <w:sz w:val="18"/>
                <w:szCs w:val="18"/>
                <w:lang w:val="en-US"/>
              </w:rPr>
              <w:t>Incubate 30 minutes, in darkness, at</w:t>
            </w:r>
            <w:r w:rsidR="00C65F6B" w:rsidRPr="002E4692">
              <w:rPr>
                <w:sz w:val="18"/>
                <w:szCs w:val="18"/>
                <w:lang w:val="en-US"/>
              </w:rPr>
              <w:t xml:space="preserve"> the </w:t>
            </w:r>
            <w:r w:rsidRPr="002E4692">
              <w:rPr>
                <w:sz w:val="18"/>
                <w:szCs w:val="18"/>
                <w:lang w:val="en-US"/>
              </w:rPr>
              <w:t>refrigerator</w:t>
            </w:r>
            <w:r w:rsidR="00C65F6B" w:rsidRPr="002E4692">
              <w:rPr>
                <w:sz w:val="18"/>
                <w:szCs w:val="18"/>
                <w:lang w:val="en-US"/>
              </w:rPr>
              <w:t xml:space="preserve"> (~4ºC</w:t>
            </w:r>
            <w:r w:rsidRPr="002E4692">
              <w:rPr>
                <w:sz w:val="18"/>
                <w:szCs w:val="18"/>
                <w:lang w:val="en-US"/>
              </w:rPr>
              <w:t>).</w:t>
            </w:r>
            <w:r w:rsidR="006F718E" w:rsidRPr="002E4692">
              <w:rPr>
                <w:sz w:val="18"/>
                <w:szCs w:val="18"/>
                <w:lang w:val="en-US"/>
              </w:rPr>
              <w:t xml:space="preserve"> (*) Start to prepare the tubes for ADP</w:t>
            </w:r>
          </w:p>
        </w:tc>
      </w:tr>
      <w:tr w:rsidR="00427B77" w:rsidRPr="002E4692" w:rsidTr="00886B7F">
        <w:trPr>
          <w:trHeight w:val="258"/>
        </w:trPr>
        <w:tc>
          <w:tcPr>
            <w:tcW w:w="5000" w:type="pct"/>
            <w:gridSpan w:val="4"/>
            <w:tcBorders>
              <w:bottom w:val="single" w:sz="4" w:space="0" w:color="auto"/>
            </w:tcBorders>
            <w:shd w:val="clear" w:color="auto" w:fill="auto"/>
          </w:tcPr>
          <w:p w:rsidR="00427B77" w:rsidRPr="002E4692" w:rsidRDefault="00635A0B" w:rsidP="00427B77">
            <w:pPr>
              <w:spacing w:after="0" w:line="240" w:lineRule="auto"/>
              <w:rPr>
                <w:sz w:val="18"/>
                <w:szCs w:val="18"/>
                <w:lang w:val="en-US"/>
              </w:rPr>
            </w:pPr>
            <w:r w:rsidRPr="002E4692">
              <w:rPr>
                <w:sz w:val="18"/>
                <w:szCs w:val="18"/>
                <w:lang w:val="en-US"/>
              </w:rPr>
              <w:t>Vortex for 1 to 2 seconds.</w:t>
            </w:r>
          </w:p>
        </w:tc>
      </w:tr>
      <w:tr w:rsidR="00461CD8" w:rsidRPr="005D7D8B" w:rsidTr="00886B7F">
        <w:trPr>
          <w:trHeight w:val="258"/>
        </w:trPr>
        <w:tc>
          <w:tcPr>
            <w:tcW w:w="5000" w:type="pct"/>
            <w:gridSpan w:val="4"/>
            <w:tcBorders>
              <w:bottom w:val="single" w:sz="4" w:space="0" w:color="auto"/>
            </w:tcBorders>
            <w:shd w:val="clear" w:color="auto" w:fill="auto"/>
          </w:tcPr>
          <w:p w:rsidR="00461CD8" w:rsidRPr="002E4692" w:rsidRDefault="00427B77" w:rsidP="00427B77">
            <w:pPr>
              <w:spacing w:after="0" w:line="240" w:lineRule="auto"/>
              <w:rPr>
                <w:sz w:val="18"/>
                <w:szCs w:val="18"/>
                <w:lang w:val="en-US"/>
              </w:rPr>
            </w:pPr>
            <w:r w:rsidRPr="002E4692">
              <w:rPr>
                <w:sz w:val="18"/>
                <w:szCs w:val="18"/>
                <w:lang w:val="en-US"/>
              </w:rPr>
              <w:t>Acquire in the flow cytometer.</w:t>
            </w:r>
          </w:p>
        </w:tc>
      </w:tr>
    </w:tbl>
    <w:p w:rsidR="001A2522" w:rsidRPr="001A2522" w:rsidRDefault="001A2522" w:rsidP="00247B90">
      <w:pPr>
        <w:pStyle w:val="Ttulo5"/>
        <w:rPr>
          <w:lang w:val="en-US"/>
        </w:rPr>
      </w:pPr>
      <w:r>
        <w:rPr>
          <w:lang w:val="en-US"/>
        </w:rPr>
        <w:t>ADP</w:t>
      </w:r>
      <w:r w:rsidRPr="001A2522">
        <w:rPr>
          <w:lang w:val="en-US"/>
        </w:rPr>
        <w:t xml:space="preserve"> experiments - PLT activation with </w:t>
      </w:r>
      <w:r>
        <w:rPr>
          <w:lang w:val="en-US"/>
        </w:rPr>
        <w:t>ADP</w:t>
      </w:r>
      <w:r w:rsidRPr="001A2522">
        <w:rPr>
          <w:lang w:val="en-US"/>
        </w:rPr>
        <w:t xml:space="preserve"> (</w:t>
      </w:r>
      <w:r>
        <w:rPr>
          <w:lang w:val="en-US"/>
        </w:rPr>
        <w:t>1</w:t>
      </w:r>
      <w:r w:rsidRPr="001A2522">
        <w:rPr>
          <w:lang w:val="en-US"/>
        </w:rPr>
        <w:t xml:space="preserve">0 </w:t>
      </w:r>
      <w:r w:rsidRPr="001A2522">
        <w:rPr>
          <w:rFonts w:cs="Arial"/>
          <w:lang w:val="en-US"/>
        </w:rPr>
        <w:t>µ</w:t>
      </w:r>
      <w:r w:rsidRPr="001A2522">
        <w:rPr>
          <w:lang w:val="en-US"/>
        </w:rPr>
        <w:t>M)</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1579"/>
        <w:gridCol w:w="4306"/>
        <w:gridCol w:w="2715"/>
      </w:tblGrid>
      <w:tr w:rsidR="001A2522" w:rsidRPr="005D7D8B" w:rsidTr="00886B7F">
        <w:tc>
          <w:tcPr>
            <w:tcW w:w="5000" w:type="pct"/>
            <w:gridSpan w:val="4"/>
            <w:shd w:val="clear" w:color="auto" w:fill="FFFFFF" w:themeFill="background1"/>
          </w:tcPr>
          <w:p w:rsidR="001A2522" w:rsidRPr="002E4692" w:rsidRDefault="001A2522" w:rsidP="00886B7F">
            <w:pPr>
              <w:spacing w:after="0" w:line="240" w:lineRule="auto"/>
              <w:rPr>
                <w:sz w:val="18"/>
                <w:szCs w:val="18"/>
                <w:lang w:val="en-US"/>
              </w:rPr>
            </w:pPr>
            <w:r w:rsidRPr="002E4692">
              <w:rPr>
                <w:sz w:val="18"/>
                <w:szCs w:val="18"/>
                <w:lang w:val="en-US"/>
              </w:rPr>
              <w:t>For each PB sample (patient + 2 healthy controls, prepare 3 tubes (A1-A3), as follows:</w:t>
            </w:r>
          </w:p>
        </w:tc>
      </w:tr>
      <w:tr w:rsidR="001A2522" w:rsidRPr="005D7D8B" w:rsidTr="00886B7F">
        <w:tc>
          <w:tcPr>
            <w:tcW w:w="562" w:type="pct"/>
            <w:shd w:val="clear" w:color="auto" w:fill="FFF2CC" w:themeFill="accent4" w:themeFillTint="33"/>
          </w:tcPr>
          <w:p w:rsidR="001A2522" w:rsidRPr="002E4692" w:rsidRDefault="001A2522" w:rsidP="00886B7F">
            <w:pPr>
              <w:spacing w:after="0" w:line="240" w:lineRule="auto"/>
              <w:rPr>
                <w:sz w:val="18"/>
                <w:szCs w:val="18"/>
              </w:rPr>
            </w:pPr>
            <w:r w:rsidRPr="002E4692">
              <w:rPr>
                <w:sz w:val="18"/>
                <w:szCs w:val="18"/>
              </w:rPr>
              <w:t>A1</w:t>
            </w:r>
          </w:p>
        </w:tc>
        <w:tc>
          <w:tcPr>
            <w:tcW w:w="3037" w:type="pct"/>
            <w:gridSpan w:val="2"/>
            <w:shd w:val="clear" w:color="auto" w:fill="FFF2CC" w:themeFill="accent4" w:themeFillTint="33"/>
          </w:tcPr>
          <w:p w:rsidR="001A2522" w:rsidRPr="002E4692" w:rsidRDefault="001A2522" w:rsidP="00886B7F">
            <w:pPr>
              <w:spacing w:after="0" w:line="240" w:lineRule="auto"/>
              <w:rPr>
                <w:sz w:val="18"/>
                <w:szCs w:val="18"/>
              </w:rPr>
            </w:pPr>
            <w:r w:rsidRPr="002E4692">
              <w:rPr>
                <w:sz w:val="18"/>
                <w:szCs w:val="18"/>
              </w:rPr>
              <w:t xml:space="preserve">60 </w:t>
            </w:r>
            <w:r w:rsidRPr="002E4692">
              <w:rPr>
                <w:rFonts w:cs="Arial"/>
                <w:sz w:val="18"/>
                <w:szCs w:val="18"/>
              </w:rPr>
              <w:t>µ</w:t>
            </w:r>
            <w:r w:rsidRPr="002E4692">
              <w:rPr>
                <w:sz w:val="18"/>
                <w:szCs w:val="18"/>
              </w:rPr>
              <w:t>L PBS-</w:t>
            </w:r>
            <w:proofErr w:type="gramStart"/>
            <w:r w:rsidRPr="002E4692">
              <w:rPr>
                <w:sz w:val="18"/>
                <w:szCs w:val="18"/>
              </w:rPr>
              <w:t>BSA</w:t>
            </w:r>
            <w:r w:rsidR="00D71ED7" w:rsidRPr="002E4692">
              <w:rPr>
                <w:sz w:val="18"/>
                <w:szCs w:val="18"/>
              </w:rPr>
              <w:t>(</w:t>
            </w:r>
            <w:proofErr w:type="gramEnd"/>
            <w:r w:rsidRPr="002E4692">
              <w:rPr>
                <w:sz w:val="18"/>
                <w:szCs w:val="18"/>
              </w:rPr>
              <w:t>0.2%</w:t>
            </w:r>
            <w:r w:rsidR="00D71ED7" w:rsidRPr="002E4692">
              <w:rPr>
                <w:sz w:val="18"/>
                <w:szCs w:val="18"/>
              </w:rPr>
              <w:t>)</w:t>
            </w:r>
            <w:r w:rsidRPr="002E4692">
              <w:rPr>
                <w:sz w:val="18"/>
                <w:szCs w:val="18"/>
              </w:rPr>
              <w:t>-EDTA</w:t>
            </w:r>
            <w:r w:rsidR="00D71ED7" w:rsidRPr="002E4692">
              <w:rPr>
                <w:sz w:val="18"/>
                <w:szCs w:val="18"/>
              </w:rPr>
              <w:t>(</w:t>
            </w:r>
            <w:r w:rsidRPr="002E4692">
              <w:rPr>
                <w:sz w:val="18"/>
                <w:szCs w:val="18"/>
              </w:rPr>
              <w:t>9mM</w:t>
            </w:r>
            <w:r w:rsidR="00D71ED7" w:rsidRPr="002E4692">
              <w:rPr>
                <w:sz w:val="18"/>
                <w:szCs w:val="18"/>
              </w:rPr>
              <w:t>)</w:t>
            </w:r>
          </w:p>
        </w:tc>
        <w:tc>
          <w:tcPr>
            <w:tcW w:w="1401" w:type="pct"/>
            <w:vMerge w:val="restart"/>
            <w:shd w:val="clear" w:color="auto" w:fill="auto"/>
            <w:vAlign w:val="center"/>
          </w:tcPr>
          <w:p w:rsidR="001A2522" w:rsidRPr="002E4692" w:rsidRDefault="001A2522" w:rsidP="00886B7F">
            <w:pPr>
              <w:spacing w:after="0" w:line="240" w:lineRule="auto"/>
              <w:rPr>
                <w:sz w:val="18"/>
                <w:szCs w:val="18"/>
                <w:lang w:val="en-US"/>
              </w:rPr>
            </w:pPr>
            <w:r w:rsidRPr="002E4692">
              <w:rPr>
                <w:sz w:val="18"/>
                <w:szCs w:val="18"/>
                <w:lang w:val="en-US"/>
              </w:rPr>
              <w:t xml:space="preserve">+ 20 </w:t>
            </w:r>
            <w:r w:rsidRPr="002E4692">
              <w:rPr>
                <w:sz w:val="18"/>
                <w:szCs w:val="18"/>
              </w:rPr>
              <w:t>μ</w:t>
            </w:r>
            <w:r w:rsidRPr="002E4692">
              <w:rPr>
                <w:sz w:val="18"/>
                <w:szCs w:val="18"/>
                <w:lang w:val="en-US"/>
              </w:rPr>
              <w:t>L PB to each tube</w:t>
            </w:r>
          </w:p>
        </w:tc>
      </w:tr>
      <w:tr w:rsidR="001A2522" w:rsidRPr="002E4692" w:rsidTr="00886B7F">
        <w:tc>
          <w:tcPr>
            <w:tcW w:w="562" w:type="pct"/>
            <w:shd w:val="clear" w:color="auto" w:fill="DEEAF6" w:themeFill="accent5" w:themeFillTint="33"/>
          </w:tcPr>
          <w:p w:rsidR="001A2522" w:rsidRPr="002E4692" w:rsidRDefault="001A2522" w:rsidP="00886B7F">
            <w:pPr>
              <w:spacing w:after="0" w:line="240" w:lineRule="auto"/>
              <w:rPr>
                <w:sz w:val="18"/>
                <w:szCs w:val="18"/>
              </w:rPr>
            </w:pPr>
            <w:r w:rsidRPr="002E4692">
              <w:rPr>
                <w:sz w:val="18"/>
                <w:szCs w:val="18"/>
              </w:rPr>
              <w:t>A2</w:t>
            </w:r>
          </w:p>
        </w:tc>
        <w:tc>
          <w:tcPr>
            <w:tcW w:w="3037" w:type="pct"/>
            <w:gridSpan w:val="2"/>
            <w:shd w:val="clear" w:color="auto" w:fill="DEEAF6" w:themeFill="accent5" w:themeFillTint="33"/>
          </w:tcPr>
          <w:p w:rsidR="001A2522" w:rsidRPr="002E4692" w:rsidRDefault="001A2522" w:rsidP="00886B7F">
            <w:pPr>
              <w:spacing w:after="0" w:line="240" w:lineRule="auto"/>
              <w:rPr>
                <w:sz w:val="18"/>
                <w:szCs w:val="18"/>
              </w:rPr>
            </w:pPr>
            <w:r w:rsidRPr="002E4692">
              <w:rPr>
                <w:sz w:val="18"/>
                <w:szCs w:val="18"/>
              </w:rPr>
              <w:t xml:space="preserve">60 </w:t>
            </w:r>
            <w:r w:rsidRPr="002E4692">
              <w:rPr>
                <w:rFonts w:cs="Arial"/>
                <w:sz w:val="18"/>
                <w:szCs w:val="18"/>
              </w:rPr>
              <w:t>µ</w:t>
            </w:r>
            <w:r w:rsidRPr="002E4692">
              <w:rPr>
                <w:sz w:val="18"/>
                <w:szCs w:val="18"/>
              </w:rPr>
              <w:t>L PBS-</w:t>
            </w:r>
            <w:proofErr w:type="gramStart"/>
            <w:r w:rsidRPr="002E4692">
              <w:rPr>
                <w:sz w:val="18"/>
                <w:szCs w:val="18"/>
              </w:rPr>
              <w:t>BSA</w:t>
            </w:r>
            <w:r w:rsidR="00D71ED7" w:rsidRPr="002E4692">
              <w:rPr>
                <w:sz w:val="18"/>
                <w:szCs w:val="18"/>
              </w:rPr>
              <w:t>(</w:t>
            </w:r>
            <w:proofErr w:type="gramEnd"/>
            <w:r w:rsidRPr="002E4692">
              <w:rPr>
                <w:sz w:val="18"/>
                <w:szCs w:val="18"/>
              </w:rPr>
              <w:t>0.2%</w:t>
            </w:r>
            <w:r w:rsidR="00D71ED7" w:rsidRPr="002E4692">
              <w:rPr>
                <w:sz w:val="18"/>
                <w:szCs w:val="18"/>
              </w:rPr>
              <w:t>)</w:t>
            </w:r>
          </w:p>
        </w:tc>
        <w:tc>
          <w:tcPr>
            <w:tcW w:w="1401" w:type="pct"/>
            <w:vMerge/>
            <w:shd w:val="clear" w:color="auto" w:fill="auto"/>
          </w:tcPr>
          <w:p w:rsidR="001A2522" w:rsidRPr="002E4692" w:rsidRDefault="001A2522" w:rsidP="00886B7F">
            <w:pPr>
              <w:spacing w:after="0" w:line="240" w:lineRule="auto"/>
              <w:rPr>
                <w:sz w:val="18"/>
                <w:szCs w:val="18"/>
              </w:rPr>
            </w:pPr>
          </w:p>
        </w:tc>
      </w:tr>
      <w:tr w:rsidR="001A2522" w:rsidRPr="002E4692" w:rsidTr="00886B7F">
        <w:tc>
          <w:tcPr>
            <w:tcW w:w="562" w:type="pct"/>
            <w:shd w:val="clear" w:color="auto" w:fill="E2EFD9" w:themeFill="accent6" w:themeFillTint="33"/>
          </w:tcPr>
          <w:p w:rsidR="001A2522" w:rsidRPr="002E4692" w:rsidRDefault="001A2522" w:rsidP="00886B7F">
            <w:pPr>
              <w:spacing w:after="0" w:line="240" w:lineRule="auto"/>
              <w:rPr>
                <w:sz w:val="18"/>
                <w:szCs w:val="18"/>
              </w:rPr>
            </w:pPr>
            <w:r w:rsidRPr="002E4692">
              <w:rPr>
                <w:sz w:val="18"/>
                <w:szCs w:val="18"/>
              </w:rPr>
              <w:t>A3</w:t>
            </w:r>
          </w:p>
        </w:tc>
        <w:tc>
          <w:tcPr>
            <w:tcW w:w="3037" w:type="pct"/>
            <w:gridSpan w:val="2"/>
            <w:shd w:val="clear" w:color="auto" w:fill="E2EFD9" w:themeFill="accent6" w:themeFillTint="33"/>
          </w:tcPr>
          <w:p w:rsidR="001A2522" w:rsidRPr="002E4692" w:rsidRDefault="001A2522" w:rsidP="00886B7F">
            <w:pPr>
              <w:spacing w:after="0" w:line="240" w:lineRule="auto"/>
              <w:rPr>
                <w:sz w:val="18"/>
                <w:szCs w:val="18"/>
              </w:rPr>
            </w:pPr>
            <w:r w:rsidRPr="002E4692">
              <w:rPr>
                <w:sz w:val="18"/>
                <w:szCs w:val="18"/>
              </w:rPr>
              <w:t xml:space="preserve">40 </w:t>
            </w:r>
            <w:r w:rsidRPr="002E4692">
              <w:rPr>
                <w:rFonts w:cs="Arial"/>
                <w:sz w:val="18"/>
                <w:szCs w:val="18"/>
              </w:rPr>
              <w:t>µ</w:t>
            </w:r>
            <w:r w:rsidRPr="002E4692">
              <w:rPr>
                <w:sz w:val="18"/>
                <w:szCs w:val="18"/>
              </w:rPr>
              <w:t>L PBS-</w:t>
            </w:r>
            <w:proofErr w:type="gramStart"/>
            <w:r w:rsidRPr="002E4692">
              <w:rPr>
                <w:sz w:val="18"/>
                <w:szCs w:val="18"/>
              </w:rPr>
              <w:t>BSA</w:t>
            </w:r>
            <w:r w:rsidR="00D71ED7" w:rsidRPr="002E4692">
              <w:rPr>
                <w:sz w:val="18"/>
                <w:szCs w:val="18"/>
              </w:rPr>
              <w:t>(</w:t>
            </w:r>
            <w:proofErr w:type="gramEnd"/>
            <w:r w:rsidRPr="002E4692">
              <w:rPr>
                <w:sz w:val="18"/>
                <w:szCs w:val="18"/>
              </w:rPr>
              <w:t>0.2%</w:t>
            </w:r>
            <w:r w:rsidR="00D71ED7" w:rsidRPr="002E4692">
              <w:rPr>
                <w:sz w:val="18"/>
                <w:szCs w:val="18"/>
              </w:rPr>
              <w:t>)</w:t>
            </w:r>
            <w:r w:rsidRPr="002E4692">
              <w:rPr>
                <w:sz w:val="18"/>
                <w:szCs w:val="18"/>
              </w:rPr>
              <w:t xml:space="preserve"> + 20 </w:t>
            </w:r>
            <w:r w:rsidR="00B75C59" w:rsidRPr="002E4692">
              <w:rPr>
                <w:rFonts w:cs="Arial"/>
                <w:sz w:val="18"/>
                <w:szCs w:val="18"/>
              </w:rPr>
              <w:t>µ</w:t>
            </w:r>
            <w:r w:rsidR="00B75C59" w:rsidRPr="002E4692">
              <w:rPr>
                <w:sz w:val="18"/>
                <w:szCs w:val="18"/>
              </w:rPr>
              <w:t>L</w:t>
            </w:r>
            <w:r w:rsidRPr="002E4692">
              <w:rPr>
                <w:sz w:val="18"/>
                <w:szCs w:val="18"/>
              </w:rPr>
              <w:t xml:space="preserve"> TRAP-6 (80 </w:t>
            </w:r>
            <w:r w:rsidR="00B75C59" w:rsidRPr="002E4692">
              <w:rPr>
                <w:rFonts w:cs="Arial"/>
                <w:sz w:val="18"/>
                <w:szCs w:val="18"/>
              </w:rPr>
              <w:t>µM</w:t>
            </w:r>
            <w:r w:rsidRPr="002E4692">
              <w:rPr>
                <w:sz w:val="18"/>
                <w:szCs w:val="18"/>
              </w:rPr>
              <w:t>)</w:t>
            </w:r>
          </w:p>
        </w:tc>
        <w:tc>
          <w:tcPr>
            <w:tcW w:w="1401" w:type="pct"/>
            <w:vMerge/>
            <w:shd w:val="clear" w:color="auto" w:fill="auto"/>
          </w:tcPr>
          <w:p w:rsidR="001A2522" w:rsidRPr="002E4692" w:rsidRDefault="001A2522" w:rsidP="00886B7F">
            <w:pPr>
              <w:spacing w:after="0" w:line="240" w:lineRule="auto"/>
              <w:rPr>
                <w:sz w:val="18"/>
                <w:szCs w:val="18"/>
              </w:rPr>
            </w:pPr>
          </w:p>
        </w:tc>
      </w:tr>
      <w:tr w:rsidR="001A2522" w:rsidRPr="002E4692" w:rsidTr="00886B7F">
        <w:tc>
          <w:tcPr>
            <w:tcW w:w="5000" w:type="pct"/>
            <w:gridSpan w:val="4"/>
            <w:shd w:val="clear" w:color="auto" w:fill="auto"/>
          </w:tcPr>
          <w:p w:rsidR="001A2522" w:rsidRPr="002E4692" w:rsidRDefault="0019341E" w:rsidP="00886B7F">
            <w:pPr>
              <w:spacing w:after="0" w:line="240" w:lineRule="auto"/>
              <w:rPr>
                <w:sz w:val="18"/>
                <w:szCs w:val="18"/>
                <w:lang w:val="en-US"/>
              </w:rPr>
            </w:pPr>
            <w:r w:rsidRPr="002E4692">
              <w:rPr>
                <w:sz w:val="18"/>
                <w:szCs w:val="18"/>
                <w:lang w:val="en-US"/>
              </w:rPr>
              <w:t>Vortex for 1 to 2 seconds.</w:t>
            </w:r>
          </w:p>
        </w:tc>
      </w:tr>
      <w:tr w:rsidR="001A2522" w:rsidRPr="005D7D8B" w:rsidTr="00886B7F">
        <w:tc>
          <w:tcPr>
            <w:tcW w:w="5000" w:type="pct"/>
            <w:gridSpan w:val="4"/>
            <w:shd w:val="clear" w:color="auto" w:fill="auto"/>
          </w:tcPr>
          <w:p w:rsidR="001A2522" w:rsidRPr="002E4692" w:rsidRDefault="001A2522" w:rsidP="00886B7F">
            <w:pPr>
              <w:spacing w:after="0" w:line="240" w:lineRule="auto"/>
              <w:rPr>
                <w:sz w:val="18"/>
                <w:szCs w:val="18"/>
                <w:lang w:val="en-US"/>
              </w:rPr>
            </w:pPr>
            <w:r w:rsidRPr="002E4692">
              <w:rPr>
                <w:sz w:val="18"/>
                <w:szCs w:val="18"/>
                <w:lang w:val="en-US"/>
              </w:rPr>
              <w:t>Incubate for 2 minutes, in darkness at room temperature (~22ºC)</w:t>
            </w:r>
          </w:p>
        </w:tc>
      </w:tr>
      <w:tr w:rsidR="001A2522" w:rsidRPr="005D7D8B" w:rsidTr="00886B7F">
        <w:tc>
          <w:tcPr>
            <w:tcW w:w="5000" w:type="pct"/>
            <w:gridSpan w:val="4"/>
            <w:shd w:val="clear" w:color="auto" w:fill="auto"/>
          </w:tcPr>
          <w:p w:rsidR="001A2522" w:rsidRPr="002E4692" w:rsidRDefault="001A2522" w:rsidP="00886B7F">
            <w:pPr>
              <w:spacing w:after="0" w:line="240" w:lineRule="auto"/>
              <w:rPr>
                <w:sz w:val="18"/>
                <w:szCs w:val="18"/>
                <w:lang w:val="en-US"/>
              </w:rPr>
            </w:pPr>
            <w:r w:rsidRPr="002E4692">
              <w:rPr>
                <w:sz w:val="18"/>
                <w:szCs w:val="18"/>
                <w:lang w:val="en-US"/>
              </w:rPr>
              <w:t>For each PB sample (patient + 2 healthy controls, prepare T4-T12, as follows.</w:t>
            </w:r>
          </w:p>
        </w:tc>
      </w:tr>
      <w:tr w:rsidR="001A2522" w:rsidRPr="002E4692" w:rsidTr="00B75C59">
        <w:tc>
          <w:tcPr>
            <w:tcW w:w="562" w:type="pct"/>
            <w:shd w:val="clear" w:color="auto" w:fill="FFF2CC" w:themeFill="accent4" w:themeFillTint="33"/>
          </w:tcPr>
          <w:p w:rsidR="001A2522" w:rsidRPr="002E4692" w:rsidRDefault="0019341E" w:rsidP="00886B7F">
            <w:pPr>
              <w:spacing w:after="0" w:line="240" w:lineRule="auto"/>
              <w:rPr>
                <w:sz w:val="18"/>
                <w:szCs w:val="18"/>
              </w:rPr>
            </w:pPr>
            <w:r w:rsidRPr="002E4692">
              <w:rPr>
                <w:sz w:val="18"/>
                <w:szCs w:val="18"/>
              </w:rPr>
              <w:t>A</w:t>
            </w:r>
            <w:r w:rsidR="001A2522" w:rsidRPr="002E4692">
              <w:rPr>
                <w:sz w:val="18"/>
                <w:szCs w:val="18"/>
              </w:rPr>
              <w:t>4</w:t>
            </w:r>
          </w:p>
        </w:tc>
        <w:tc>
          <w:tcPr>
            <w:tcW w:w="815" w:type="pct"/>
            <w:vMerge w:val="restart"/>
            <w:shd w:val="clear" w:color="auto" w:fill="auto"/>
            <w:vAlign w:val="center"/>
          </w:tcPr>
          <w:p w:rsidR="001A2522" w:rsidRPr="002E4692" w:rsidRDefault="001A2522" w:rsidP="00645180">
            <w:pPr>
              <w:spacing w:after="0" w:line="240" w:lineRule="auto"/>
              <w:jc w:val="left"/>
              <w:rPr>
                <w:sz w:val="18"/>
                <w:szCs w:val="18"/>
                <w:lang w:val="en-US"/>
              </w:rPr>
            </w:pPr>
            <w:r w:rsidRPr="002E4692">
              <w:rPr>
                <w:sz w:val="18"/>
                <w:szCs w:val="18"/>
                <w:lang w:val="en-US"/>
              </w:rPr>
              <w:t xml:space="preserve">10 </w:t>
            </w:r>
            <w:r w:rsidRPr="002E4692">
              <w:rPr>
                <w:sz w:val="18"/>
                <w:szCs w:val="18"/>
              </w:rPr>
              <w:t>μ</w:t>
            </w:r>
            <w:r w:rsidRPr="002E4692">
              <w:rPr>
                <w:sz w:val="18"/>
                <w:szCs w:val="18"/>
                <w:lang w:val="en-US"/>
              </w:rPr>
              <w:t>l CD42b to each tube</w:t>
            </w:r>
          </w:p>
        </w:tc>
        <w:tc>
          <w:tcPr>
            <w:tcW w:w="2222" w:type="pct"/>
            <w:vMerge w:val="restart"/>
            <w:shd w:val="clear" w:color="auto" w:fill="FFFFFF" w:themeFill="background1"/>
            <w:vAlign w:val="center"/>
          </w:tcPr>
          <w:p w:rsidR="001A2522" w:rsidRPr="002E4692" w:rsidRDefault="001A2522" w:rsidP="00886B7F">
            <w:pPr>
              <w:spacing w:after="0" w:line="240" w:lineRule="auto"/>
              <w:rPr>
                <w:sz w:val="18"/>
                <w:szCs w:val="18"/>
                <w:lang w:val="en-US"/>
              </w:rPr>
            </w:pPr>
            <w:r w:rsidRPr="002E4692">
              <w:rPr>
                <w:sz w:val="18"/>
                <w:szCs w:val="18"/>
                <w:lang w:val="en-US"/>
              </w:rPr>
              <w:t xml:space="preserve">+ 20 </w:t>
            </w:r>
            <w:r w:rsidRPr="002E4692">
              <w:rPr>
                <w:sz w:val="18"/>
                <w:szCs w:val="18"/>
              </w:rPr>
              <w:t>μ</w:t>
            </w:r>
            <w:r w:rsidRPr="002E4692">
              <w:rPr>
                <w:sz w:val="18"/>
                <w:szCs w:val="18"/>
                <w:lang w:val="en-US"/>
              </w:rPr>
              <w:t>L anti-PAC-1 to each tube</w:t>
            </w:r>
          </w:p>
        </w:tc>
        <w:tc>
          <w:tcPr>
            <w:tcW w:w="1401" w:type="pct"/>
            <w:shd w:val="clear" w:color="auto" w:fill="FFF2CC" w:themeFill="accent4" w:themeFillTint="33"/>
          </w:tcPr>
          <w:p w:rsidR="001A2522" w:rsidRPr="002E4692" w:rsidRDefault="001A2522" w:rsidP="00886B7F">
            <w:pPr>
              <w:spacing w:after="0" w:line="240" w:lineRule="auto"/>
              <w:rPr>
                <w:sz w:val="18"/>
                <w:szCs w:val="18"/>
              </w:rPr>
            </w:pPr>
            <w:r w:rsidRPr="002E4692">
              <w:rPr>
                <w:sz w:val="18"/>
                <w:szCs w:val="18"/>
              </w:rPr>
              <w:t xml:space="preserve">+ 20 </w:t>
            </w:r>
            <w:r w:rsidRPr="002E4692">
              <w:rPr>
                <w:rFonts w:cs="Arial"/>
                <w:sz w:val="18"/>
                <w:szCs w:val="18"/>
              </w:rPr>
              <w:t>µ</w:t>
            </w:r>
            <w:r w:rsidRPr="002E4692">
              <w:rPr>
                <w:sz w:val="18"/>
                <w:szCs w:val="18"/>
              </w:rPr>
              <w:t>L A1</w:t>
            </w:r>
          </w:p>
        </w:tc>
      </w:tr>
      <w:tr w:rsidR="001A2522" w:rsidRPr="002E4692" w:rsidTr="00B75C59">
        <w:tc>
          <w:tcPr>
            <w:tcW w:w="562" w:type="pct"/>
            <w:shd w:val="clear" w:color="auto" w:fill="DEEAF6" w:themeFill="accent5" w:themeFillTint="33"/>
          </w:tcPr>
          <w:p w:rsidR="001A2522" w:rsidRPr="002E4692" w:rsidRDefault="0019341E" w:rsidP="00886B7F">
            <w:pPr>
              <w:spacing w:after="0" w:line="240" w:lineRule="auto"/>
              <w:rPr>
                <w:sz w:val="18"/>
                <w:szCs w:val="18"/>
              </w:rPr>
            </w:pPr>
            <w:r w:rsidRPr="002E4692">
              <w:rPr>
                <w:sz w:val="18"/>
                <w:szCs w:val="18"/>
              </w:rPr>
              <w:t>A</w:t>
            </w:r>
            <w:r w:rsidR="001A2522" w:rsidRPr="002E4692">
              <w:rPr>
                <w:sz w:val="18"/>
                <w:szCs w:val="18"/>
              </w:rPr>
              <w:t>5</w:t>
            </w:r>
          </w:p>
        </w:tc>
        <w:tc>
          <w:tcPr>
            <w:tcW w:w="815" w:type="pct"/>
            <w:vMerge/>
            <w:shd w:val="clear" w:color="auto" w:fill="auto"/>
          </w:tcPr>
          <w:p w:rsidR="001A2522" w:rsidRPr="002E4692" w:rsidRDefault="001A2522" w:rsidP="00886B7F">
            <w:pPr>
              <w:spacing w:after="0" w:line="240" w:lineRule="auto"/>
              <w:rPr>
                <w:sz w:val="18"/>
                <w:szCs w:val="18"/>
              </w:rPr>
            </w:pPr>
          </w:p>
        </w:tc>
        <w:tc>
          <w:tcPr>
            <w:tcW w:w="2222" w:type="pct"/>
            <w:vMerge/>
            <w:shd w:val="clear" w:color="auto" w:fill="FFFFFF" w:themeFill="background1"/>
          </w:tcPr>
          <w:p w:rsidR="001A2522" w:rsidRPr="002E4692" w:rsidRDefault="001A2522" w:rsidP="00886B7F">
            <w:pPr>
              <w:spacing w:after="0" w:line="240" w:lineRule="auto"/>
              <w:rPr>
                <w:sz w:val="18"/>
                <w:szCs w:val="18"/>
              </w:rPr>
            </w:pPr>
          </w:p>
        </w:tc>
        <w:tc>
          <w:tcPr>
            <w:tcW w:w="1401" w:type="pct"/>
            <w:shd w:val="clear" w:color="auto" w:fill="DEEAF6" w:themeFill="accent5" w:themeFillTint="33"/>
          </w:tcPr>
          <w:p w:rsidR="001A2522" w:rsidRPr="002E4692" w:rsidRDefault="001A2522" w:rsidP="00886B7F">
            <w:pPr>
              <w:spacing w:after="0" w:line="240" w:lineRule="auto"/>
              <w:rPr>
                <w:sz w:val="18"/>
                <w:szCs w:val="18"/>
              </w:rPr>
            </w:pPr>
            <w:r w:rsidRPr="002E4692">
              <w:rPr>
                <w:sz w:val="18"/>
                <w:szCs w:val="18"/>
              </w:rPr>
              <w:t xml:space="preserve">+ 20 </w:t>
            </w:r>
            <w:r w:rsidRPr="002E4692">
              <w:rPr>
                <w:rFonts w:cs="Arial"/>
                <w:sz w:val="18"/>
                <w:szCs w:val="18"/>
              </w:rPr>
              <w:t>µ</w:t>
            </w:r>
            <w:r w:rsidRPr="002E4692">
              <w:rPr>
                <w:sz w:val="18"/>
                <w:szCs w:val="18"/>
              </w:rPr>
              <w:t>L A2</w:t>
            </w:r>
          </w:p>
        </w:tc>
      </w:tr>
      <w:tr w:rsidR="001A2522" w:rsidRPr="002E4692" w:rsidTr="00B75C59">
        <w:tc>
          <w:tcPr>
            <w:tcW w:w="562" w:type="pct"/>
            <w:shd w:val="clear" w:color="auto" w:fill="E2EFD9" w:themeFill="accent6" w:themeFillTint="33"/>
          </w:tcPr>
          <w:p w:rsidR="001A2522" w:rsidRPr="002E4692" w:rsidRDefault="0019341E" w:rsidP="00886B7F">
            <w:pPr>
              <w:spacing w:after="0" w:line="240" w:lineRule="auto"/>
              <w:rPr>
                <w:sz w:val="18"/>
                <w:szCs w:val="18"/>
              </w:rPr>
            </w:pPr>
            <w:r w:rsidRPr="002E4692">
              <w:rPr>
                <w:sz w:val="18"/>
                <w:szCs w:val="18"/>
              </w:rPr>
              <w:t>A</w:t>
            </w:r>
            <w:r w:rsidR="001A2522" w:rsidRPr="002E4692">
              <w:rPr>
                <w:sz w:val="18"/>
                <w:szCs w:val="18"/>
              </w:rPr>
              <w:t>6</w:t>
            </w:r>
          </w:p>
        </w:tc>
        <w:tc>
          <w:tcPr>
            <w:tcW w:w="815" w:type="pct"/>
            <w:vMerge/>
            <w:shd w:val="clear" w:color="auto" w:fill="auto"/>
          </w:tcPr>
          <w:p w:rsidR="001A2522" w:rsidRPr="002E4692" w:rsidRDefault="001A2522" w:rsidP="00886B7F">
            <w:pPr>
              <w:spacing w:after="0" w:line="240" w:lineRule="auto"/>
              <w:rPr>
                <w:sz w:val="18"/>
                <w:szCs w:val="18"/>
              </w:rPr>
            </w:pPr>
          </w:p>
        </w:tc>
        <w:tc>
          <w:tcPr>
            <w:tcW w:w="2222" w:type="pct"/>
            <w:vMerge/>
            <w:shd w:val="clear" w:color="auto" w:fill="FFFFFF" w:themeFill="background1"/>
          </w:tcPr>
          <w:p w:rsidR="001A2522" w:rsidRPr="002E4692" w:rsidRDefault="001A2522" w:rsidP="00886B7F">
            <w:pPr>
              <w:spacing w:after="0" w:line="240" w:lineRule="auto"/>
              <w:rPr>
                <w:sz w:val="18"/>
                <w:szCs w:val="18"/>
              </w:rPr>
            </w:pPr>
          </w:p>
        </w:tc>
        <w:tc>
          <w:tcPr>
            <w:tcW w:w="1401" w:type="pct"/>
            <w:shd w:val="clear" w:color="auto" w:fill="E2EFD9" w:themeFill="accent6" w:themeFillTint="33"/>
          </w:tcPr>
          <w:p w:rsidR="001A2522" w:rsidRPr="002E4692" w:rsidRDefault="001A2522" w:rsidP="00886B7F">
            <w:pPr>
              <w:spacing w:after="0" w:line="240" w:lineRule="auto"/>
              <w:rPr>
                <w:sz w:val="18"/>
                <w:szCs w:val="18"/>
              </w:rPr>
            </w:pPr>
            <w:r w:rsidRPr="002E4692">
              <w:rPr>
                <w:sz w:val="18"/>
                <w:szCs w:val="18"/>
              </w:rPr>
              <w:t xml:space="preserve">+ 20 </w:t>
            </w:r>
            <w:r w:rsidRPr="002E4692">
              <w:rPr>
                <w:rFonts w:cs="Arial"/>
                <w:sz w:val="18"/>
                <w:szCs w:val="18"/>
              </w:rPr>
              <w:t>µ</w:t>
            </w:r>
            <w:r w:rsidRPr="002E4692">
              <w:rPr>
                <w:sz w:val="18"/>
                <w:szCs w:val="18"/>
              </w:rPr>
              <w:t>L A3</w:t>
            </w:r>
          </w:p>
        </w:tc>
      </w:tr>
      <w:tr w:rsidR="001A2522" w:rsidRPr="002E4692" w:rsidTr="00B75C59">
        <w:tc>
          <w:tcPr>
            <w:tcW w:w="562" w:type="pct"/>
            <w:shd w:val="clear" w:color="auto" w:fill="FFF2CC" w:themeFill="accent4" w:themeFillTint="33"/>
          </w:tcPr>
          <w:p w:rsidR="001A2522" w:rsidRPr="002E4692" w:rsidRDefault="0019341E" w:rsidP="00886B7F">
            <w:pPr>
              <w:spacing w:after="0" w:line="240" w:lineRule="auto"/>
              <w:rPr>
                <w:sz w:val="18"/>
                <w:szCs w:val="18"/>
              </w:rPr>
            </w:pPr>
            <w:r w:rsidRPr="002E4692">
              <w:rPr>
                <w:sz w:val="18"/>
                <w:szCs w:val="18"/>
              </w:rPr>
              <w:t>A</w:t>
            </w:r>
            <w:r w:rsidR="001A2522" w:rsidRPr="002E4692">
              <w:rPr>
                <w:sz w:val="18"/>
                <w:szCs w:val="18"/>
              </w:rPr>
              <w:t>7</w:t>
            </w:r>
          </w:p>
        </w:tc>
        <w:tc>
          <w:tcPr>
            <w:tcW w:w="815" w:type="pct"/>
            <w:vMerge/>
            <w:shd w:val="clear" w:color="auto" w:fill="auto"/>
          </w:tcPr>
          <w:p w:rsidR="001A2522" w:rsidRPr="002E4692" w:rsidRDefault="001A2522" w:rsidP="00886B7F">
            <w:pPr>
              <w:spacing w:after="0" w:line="240" w:lineRule="auto"/>
              <w:rPr>
                <w:sz w:val="18"/>
                <w:szCs w:val="18"/>
              </w:rPr>
            </w:pPr>
          </w:p>
        </w:tc>
        <w:tc>
          <w:tcPr>
            <w:tcW w:w="2222" w:type="pct"/>
            <w:vMerge w:val="restart"/>
            <w:shd w:val="clear" w:color="auto" w:fill="FFFFFF" w:themeFill="background1"/>
            <w:vAlign w:val="center"/>
          </w:tcPr>
          <w:p w:rsidR="001A2522" w:rsidRPr="002E4692" w:rsidRDefault="001A2522" w:rsidP="00886B7F">
            <w:pPr>
              <w:spacing w:after="0" w:line="240" w:lineRule="auto"/>
              <w:rPr>
                <w:sz w:val="18"/>
                <w:szCs w:val="18"/>
                <w:lang w:val="en-US"/>
              </w:rPr>
            </w:pPr>
            <w:r w:rsidRPr="002E4692">
              <w:rPr>
                <w:sz w:val="18"/>
                <w:szCs w:val="18"/>
                <w:lang w:val="en-US"/>
              </w:rPr>
              <w:t xml:space="preserve">+ 10 </w:t>
            </w:r>
            <w:r w:rsidRPr="002E4692">
              <w:rPr>
                <w:sz w:val="18"/>
                <w:szCs w:val="18"/>
              </w:rPr>
              <w:t>μ</w:t>
            </w:r>
            <w:r w:rsidRPr="002E4692">
              <w:rPr>
                <w:sz w:val="18"/>
                <w:szCs w:val="18"/>
                <w:lang w:val="en-US"/>
              </w:rPr>
              <w:t xml:space="preserve">L anti-bFG + 10 </w:t>
            </w:r>
            <w:r w:rsidRPr="002E4692">
              <w:rPr>
                <w:sz w:val="18"/>
                <w:szCs w:val="18"/>
              </w:rPr>
              <w:t>μ</w:t>
            </w:r>
            <w:r w:rsidRPr="002E4692">
              <w:rPr>
                <w:sz w:val="18"/>
                <w:szCs w:val="18"/>
                <w:lang w:val="en-US"/>
              </w:rPr>
              <w:t>L PBS to each tube</w:t>
            </w:r>
          </w:p>
        </w:tc>
        <w:tc>
          <w:tcPr>
            <w:tcW w:w="1401" w:type="pct"/>
            <w:shd w:val="clear" w:color="auto" w:fill="FFF2CC" w:themeFill="accent4" w:themeFillTint="33"/>
          </w:tcPr>
          <w:p w:rsidR="001A2522" w:rsidRPr="002E4692" w:rsidRDefault="001A2522" w:rsidP="00886B7F">
            <w:pPr>
              <w:spacing w:after="0" w:line="240" w:lineRule="auto"/>
              <w:rPr>
                <w:sz w:val="18"/>
                <w:szCs w:val="18"/>
              </w:rPr>
            </w:pPr>
            <w:r w:rsidRPr="002E4692">
              <w:rPr>
                <w:sz w:val="18"/>
                <w:szCs w:val="18"/>
              </w:rPr>
              <w:t xml:space="preserve">+ 20 </w:t>
            </w:r>
            <w:r w:rsidRPr="002E4692">
              <w:rPr>
                <w:rFonts w:cs="Arial"/>
                <w:sz w:val="18"/>
                <w:szCs w:val="18"/>
              </w:rPr>
              <w:t>µ</w:t>
            </w:r>
            <w:r w:rsidRPr="002E4692">
              <w:rPr>
                <w:sz w:val="18"/>
                <w:szCs w:val="18"/>
              </w:rPr>
              <w:t>L A1</w:t>
            </w:r>
          </w:p>
        </w:tc>
      </w:tr>
      <w:tr w:rsidR="001A2522" w:rsidRPr="002E4692" w:rsidTr="00B75C59">
        <w:tc>
          <w:tcPr>
            <w:tcW w:w="562" w:type="pct"/>
            <w:shd w:val="clear" w:color="auto" w:fill="DEEAF6" w:themeFill="accent5" w:themeFillTint="33"/>
          </w:tcPr>
          <w:p w:rsidR="001A2522" w:rsidRPr="002E4692" w:rsidRDefault="0019341E" w:rsidP="00886B7F">
            <w:pPr>
              <w:spacing w:after="0" w:line="240" w:lineRule="auto"/>
              <w:rPr>
                <w:sz w:val="18"/>
                <w:szCs w:val="18"/>
              </w:rPr>
            </w:pPr>
            <w:r w:rsidRPr="002E4692">
              <w:rPr>
                <w:sz w:val="18"/>
                <w:szCs w:val="18"/>
              </w:rPr>
              <w:t>A</w:t>
            </w:r>
            <w:r w:rsidR="001A2522" w:rsidRPr="002E4692">
              <w:rPr>
                <w:sz w:val="18"/>
                <w:szCs w:val="18"/>
              </w:rPr>
              <w:t>8</w:t>
            </w:r>
          </w:p>
        </w:tc>
        <w:tc>
          <w:tcPr>
            <w:tcW w:w="815" w:type="pct"/>
            <w:vMerge/>
            <w:shd w:val="clear" w:color="auto" w:fill="auto"/>
          </w:tcPr>
          <w:p w:rsidR="001A2522" w:rsidRPr="002E4692" w:rsidRDefault="001A2522" w:rsidP="00886B7F">
            <w:pPr>
              <w:spacing w:after="0" w:line="240" w:lineRule="auto"/>
              <w:rPr>
                <w:sz w:val="18"/>
                <w:szCs w:val="18"/>
              </w:rPr>
            </w:pPr>
          </w:p>
        </w:tc>
        <w:tc>
          <w:tcPr>
            <w:tcW w:w="2222" w:type="pct"/>
            <w:vMerge/>
            <w:shd w:val="clear" w:color="auto" w:fill="FFFFFF" w:themeFill="background1"/>
          </w:tcPr>
          <w:p w:rsidR="001A2522" w:rsidRPr="002E4692" w:rsidRDefault="001A2522" w:rsidP="00886B7F">
            <w:pPr>
              <w:spacing w:after="0" w:line="240" w:lineRule="auto"/>
              <w:rPr>
                <w:sz w:val="18"/>
                <w:szCs w:val="18"/>
              </w:rPr>
            </w:pPr>
          </w:p>
        </w:tc>
        <w:tc>
          <w:tcPr>
            <w:tcW w:w="1401" w:type="pct"/>
            <w:shd w:val="clear" w:color="auto" w:fill="DEEAF6" w:themeFill="accent5" w:themeFillTint="33"/>
          </w:tcPr>
          <w:p w:rsidR="001A2522" w:rsidRPr="002E4692" w:rsidRDefault="001A2522" w:rsidP="00886B7F">
            <w:pPr>
              <w:spacing w:after="0" w:line="240" w:lineRule="auto"/>
              <w:rPr>
                <w:sz w:val="18"/>
                <w:szCs w:val="18"/>
              </w:rPr>
            </w:pPr>
            <w:r w:rsidRPr="002E4692">
              <w:rPr>
                <w:sz w:val="18"/>
                <w:szCs w:val="18"/>
              </w:rPr>
              <w:t xml:space="preserve">+ 20 </w:t>
            </w:r>
            <w:r w:rsidRPr="002E4692">
              <w:rPr>
                <w:rFonts w:cs="Arial"/>
                <w:sz w:val="18"/>
                <w:szCs w:val="18"/>
              </w:rPr>
              <w:t>µ</w:t>
            </w:r>
            <w:r w:rsidRPr="002E4692">
              <w:rPr>
                <w:sz w:val="18"/>
                <w:szCs w:val="18"/>
              </w:rPr>
              <w:t>L A2</w:t>
            </w:r>
          </w:p>
        </w:tc>
      </w:tr>
      <w:tr w:rsidR="001A2522" w:rsidRPr="002E4692" w:rsidTr="00B75C59">
        <w:tc>
          <w:tcPr>
            <w:tcW w:w="562" w:type="pct"/>
            <w:shd w:val="clear" w:color="auto" w:fill="E2EFD9" w:themeFill="accent6" w:themeFillTint="33"/>
          </w:tcPr>
          <w:p w:rsidR="001A2522" w:rsidRPr="002E4692" w:rsidRDefault="0019341E" w:rsidP="00886B7F">
            <w:pPr>
              <w:spacing w:after="0" w:line="240" w:lineRule="auto"/>
              <w:rPr>
                <w:sz w:val="18"/>
                <w:szCs w:val="18"/>
              </w:rPr>
            </w:pPr>
            <w:r w:rsidRPr="002E4692">
              <w:rPr>
                <w:sz w:val="18"/>
                <w:szCs w:val="18"/>
              </w:rPr>
              <w:t>A</w:t>
            </w:r>
            <w:r w:rsidR="001A2522" w:rsidRPr="002E4692">
              <w:rPr>
                <w:sz w:val="18"/>
                <w:szCs w:val="18"/>
              </w:rPr>
              <w:t>9</w:t>
            </w:r>
          </w:p>
        </w:tc>
        <w:tc>
          <w:tcPr>
            <w:tcW w:w="815" w:type="pct"/>
            <w:vMerge/>
            <w:shd w:val="clear" w:color="auto" w:fill="auto"/>
          </w:tcPr>
          <w:p w:rsidR="001A2522" w:rsidRPr="002E4692" w:rsidRDefault="001A2522" w:rsidP="00886B7F">
            <w:pPr>
              <w:spacing w:after="0" w:line="240" w:lineRule="auto"/>
              <w:rPr>
                <w:sz w:val="18"/>
                <w:szCs w:val="18"/>
              </w:rPr>
            </w:pPr>
          </w:p>
        </w:tc>
        <w:tc>
          <w:tcPr>
            <w:tcW w:w="2222" w:type="pct"/>
            <w:vMerge/>
            <w:shd w:val="clear" w:color="auto" w:fill="FFFFFF" w:themeFill="background1"/>
          </w:tcPr>
          <w:p w:rsidR="001A2522" w:rsidRPr="002E4692" w:rsidRDefault="001A2522" w:rsidP="00886B7F">
            <w:pPr>
              <w:spacing w:after="0" w:line="240" w:lineRule="auto"/>
              <w:rPr>
                <w:sz w:val="18"/>
                <w:szCs w:val="18"/>
              </w:rPr>
            </w:pPr>
          </w:p>
        </w:tc>
        <w:tc>
          <w:tcPr>
            <w:tcW w:w="1401" w:type="pct"/>
            <w:shd w:val="clear" w:color="auto" w:fill="E2EFD9" w:themeFill="accent6" w:themeFillTint="33"/>
          </w:tcPr>
          <w:p w:rsidR="001A2522" w:rsidRPr="002E4692" w:rsidRDefault="001A2522" w:rsidP="00886B7F">
            <w:pPr>
              <w:spacing w:after="0" w:line="240" w:lineRule="auto"/>
              <w:rPr>
                <w:sz w:val="18"/>
                <w:szCs w:val="18"/>
              </w:rPr>
            </w:pPr>
            <w:r w:rsidRPr="002E4692">
              <w:rPr>
                <w:sz w:val="18"/>
                <w:szCs w:val="18"/>
              </w:rPr>
              <w:t xml:space="preserve">+ 20 </w:t>
            </w:r>
            <w:r w:rsidRPr="002E4692">
              <w:rPr>
                <w:rFonts w:cs="Arial"/>
                <w:sz w:val="18"/>
                <w:szCs w:val="18"/>
              </w:rPr>
              <w:t>µ</w:t>
            </w:r>
            <w:r w:rsidRPr="002E4692">
              <w:rPr>
                <w:sz w:val="18"/>
                <w:szCs w:val="18"/>
              </w:rPr>
              <w:t>L A3</w:t>
            </w:r>
          </w:p>
        </w:tc>
      </w:tr>
      <w:tr w:rsidR="001A2522" w:rsidRPr="002E4692" w:rsidTr="00B75C59">
        <w:trPr>
          <w:trHeight w:val="256"/>
        </w:trPr>
        <w:tc>
          <w:tcPr>
            <w:tcW w:w="562" w:type="pct"/>
            <w:shd w:val="clear" w:color="auto" w:fill="FFF2CC" w:themeFill="accent4" w:themeFillTint="33"/>
          </w:tcPr>
          <w:p w:rsidR="001A2522" w:rsidRPr="002E4692" w:rsidRDefault="0019341E" w:rsidP="00886B7F">
            <w:pPr>
              <w:spacing w:after="0" w:line="240" w:lineRule="auto"/>
              <w:rPr>
                <w:sz w:val="18"/>
                <w:szCs w:val="18"/>
              </w:rPr>
            </w:pPr>
            <w:r w:rsidRPr="002E4692">
              <w:rPr>
                <w:sz w:val="18"/>
                <w:szCs w:val="18"/>
              </w:rPr>
              <w:t>A</w:t>
            </w:r>
            <w:r w:rsidR="001A2522" w:rsidRPr="002E4692">
              <w:rPr>
                <w:sz w:val="18"/>
                <w:szCs w:val="18"/>
              </w:rPr>
              <w:t>10</w:t>
            </w:r>
          </w:p>
        </w:tc>
        <w:tc>
          <w:tcPr>
            <w:tcW w:w="815" w:type="pct"/>
            <w:vMerge/>
            <w:shd w:val="clear" w:color="auto" w:fill="auto"/>
          </w:tcPr>
          <w:p w:rsidR="001A2522" w:rsidRPr="002E4692" w:rsidRDefault="001A2522" w:rsidP="00886B7F">
            <w:pPr>
              <w:spacing w:after="0" w:line="240" w:lineRule="auto"/>
              <w:rPr>
                <w:sz w:val="18"/>
                <w:szCs w:val="18"/>
              </w:rPr>
            </w:pPr>
          </w:p>
        </w:tc>
        <w:tc>
          <w:tcPr>
            <w:tcW w:w="2222" w:type="pct"/>
            <w:vMerge w:val="restart"/>
            <w:shd w:val="clear" w:color="auto" w:fill="FFFFFF" w:themeFill="background1"/>
            <w:vAlign w:val="center"/>
          </w:tcPr>
          <w:p w:rsidR="001A2522" w:rsidRPr="002E4692" w:rsidRDefault="001A2522" w:rsidP="00886B7F">
            <w:pPr>
              <w:spacing w:after="0" w:line="240" w:lineRule="auto"/>
              <w:rPr>
                <w:sz w:val="18"/>
                <w:szCs w:val="18"/>
                <w:lang w:val="en-US"/>
              </w:rPr>
            </w:pPr>
            <w:r w:rsidRPr="002E4692">
              <w:rPr>
                <w:sz w:val="18"/>
                <w:szCs w:val="18"/>
                <w:lang w:val="en-US"/>
              </w:rPr>
              <w:t xml:space="preserve">+ 20 </w:t>
            </w:r>
            <w:r w:rsidRPr="002E4692">
              <w:rPr>
                <w:sz w:val="18"/>
                <w:szCs w:val="18"/>
              </w:rPr>
              <w:t>μ</w:t>
            </w:r>
            <w:r w:rsidRPr="002E4692">
              <w:rPr>
                <w:sz w:val="18"/>
                <w:szCs w:val="18"/>
                <w:lang w:val="en-US"/>
              </w:rPr>
              <w:t>L negative isotype control to each tube</w:t>
            </w:r>
          </w:p>
        </w:tc>
        <w:tc>
          <w:tcPr>
            <w:tcW w:w="1401" w:type="pct"/>
            <w:shd w:val="clear" w:color="auto" w:fill="FFF2CC" w:themeFill="accent4" w:themeFillTint="33"/>
          </w:tcPr>
          <w:p w:rsidR="001A2522" w:rsidRPr="002E4692" w:rsidRDefault="001A2522" w:rsidP="00886B7F">
            <w:pPr>
              <w:spacing w:after="0" w:line="240" w:lineRule="auto"/>
              <w:rPr>
                <w:sz w:val="18"/>
                <w:szCs w:val="18"/>
              </w:rPr>
            </w:pPr>
            <w:r w:rsidRPr="002E4692">
              <w:rPr>
                <w:sz w:val="18"/>
                <w:szCs w:val="18"/>
              </w:rPr>
              <w:t xml:space="preserve">+ 20 </w:t>
            </w:r>
            <w:r w:rsidRPr="002E4692">
              <w:rPr>
                <w:rFonts w:cs="Arial"/>
                <w:sz w:val="18"/>
                <w:szCs w:val="18"/>
              </w:rPr>
              <w:t>µ</w:t>
            </w:r>
            <w:r w:rsidRPr="002E4692">
              <w:rPr>
                <w:sz w:val="18"/>
                <w:szCs w:val="18"/>
              </w:rPr>
              <w:t>L A1</w:t>
            </w:r>
          </w:p>
        </w:tc>
      </w:tr>
      <w:tr w:rsidR="001A2522" w:rsidRPr="002E4692" w:rsidTr="00B75C59">
        <w:tc>
          <w:tcPr>
            <w:tcW w:w="562" w:type="pct"/>
            <w:shd w:val="clear" w:color="auto" w:fill="DEEAF6" w:themeFill="accent5" w:themeFillTint="33"/>
          </w:tcPr>
          <w:p w:rsidR="001A2522" w:rsidRPr="002E4692" w:rsidRDefault="0019341E" w:rsidP="00886B7F">
            <w:pPr>
              <w:spacing w:after="0" w:line="240" w:lineRule="auto"/>
              <w:rPr>
                <w:sz w:val="18"/>
                <w:szCs w:val="18"/>
              </w:rPr>
            </w:pPr>
            <w:r w:rsidRPr="002E4692">
              <w:rPr>
                <w:sz w:val="18"/>
                <w:szCs w:val="18"/>
              </w:rPr>
              <w:t>A</w:t>
            </w:r>
            <w:r w:rsidR="001A2522" w:rsidRPr="002E4692">
              <w:rPr>
                <w:sz w:val="18"/>
                <w:szCs w:val="18"/>
              </w:rPr>
              <w:t>11</w:t>
            </w:r>
          </w:p>
        </w:tc>
        <w:tc>
          <w:tcPr>
            <w:tcW w:w="815" w:type="pct"/>
            <w:vMerge/>
            <w:shd w:val="clear" w:color="auto" w:fill="auto"/>
          </w:tcPr>
          <w:p w:rsidR="001A2522" w:rsidRPr="002E4692" w:rsidRDefault="001A2522" w:rsidP="00886B7F">
            <w:pPr>
              <w:spacing w:after="0" w:line="240" w:lineRule="auto"/>
              <w:rPr>
                <w:sz w:val="18"/>
                <w:szCs w:val="18"/>
              </w:rPr>
            </w:pPr>
          </w:p>
        </w:tc>
        <w:tc>
          <w:tcPr>
            <w:tcW w:w="2222" w:type="pct"/>
            <w:vMerge/>
            <w:shd w:val="clear" w:color="auto" w:fill="FFFFFF" w:themeFill="background1"/>
            <w:vAlign w:val="center"/>
          </w:tcPr>
          <w:p w:rsidR="001A2522" w:rsidRPr="002E4692" w:rsidRDefault="001A2522" w:rsidP="00886B7F">
            <w:pPr>
              <w:spacing w:after="0" w:line="240" w:lineRule="auto"/>
              <w:jc w:val="center"/>
              <w:rPr>
                <w:sz w:val="18"/>
                <w:szCs w:val="18"/>
              </w:rPr>
            </w:pPr>
          </w:p>
        </w:tc>
        <w:tc>
          <w:tcPr>
            <w:tcW w:w="1401" w:type="pct"/>
            <w:shd w:val="clear" w:color="auto" w:fill="DEEAF6" w:themeFill="accent5" w:themeFillTint="33"/>
          </w:tcPr>
          <w:p w:rsidR="001A2522" w:rsidRPr="002E4692" w:rsidRDefault="001A2522" w:rsidP="00886B7F">
            <w:pPr>
              <w:spacing w:after="0" w:line="240" w:lineRule="auto"/>
              <w:rPr>
                <w:sz w:val="18"/>
                <w:szCs w:val="18"/>
              </w:rPr>
            </w:pPr>
            <w:r w:rsidRPr="002E4692">
              <w:rPr>
                <w:sz w:val="18"/>
                <w:szCs w:val="18"/>
              </w:rPr>
              <w:t xml:space="preserve">+ 20 </w:t>
            </w:r>
            <w:r w:rsidRPr="002E4692">
              <w:rPr>
                <w:rFonts w:cs="Arial"/>
                <w:sz w:val="18"/>
                <w:szCs w:val="18"/>
              </w:rPr>
              <w:t>µ</w:t>
            </w:r>
            <w:r w:rsidRPr="002E4692">
              <w:rPr>
                <w:sz w:val="18"/>
                <w:szCs w:val="18"/>
              </w:rPr>
              <w:t>L A2</w:t>
            </w:r>
          </w:p>
        </w:tc>
      </w:tr>
      <w:tr w:rsidR="001A2522" w:rsidRPr="002E4692" w:rsidTr="00B75C59">
        <w:trPr>
          <w:trHeight w:val="258"/>
        </w:trPr>
        <w:tc>
          <w:tcPr>
            <w:tcW w:w="562" w:type="pct"/>
            <w:tcBorders>
              <w:bottom w:val="single" w:sz="4" w:space="0" w:color="auto"/>
            </w:tcBorders>
            <w:shd w:val="clear" w:color="auto" w:fill="E2EFD9" w:themeFill="accent6" w:themeFillTint="33"/>
          </w:tcPr>
          <w:p w:rsidR="001A2522" w:rsidRPr="002E4692" w:rsidRDefault="0019341E" w:rsidP="00886B7F">
            <w:pPr>
              <w:spacing w:after="0" w:line="240" w:lineRule="auto"/>
              <w:rPr>
                <w:sz w:val="18"/>
                <w:szCs w:val="18"/>
              </w:rPr>
            </w:pPr>
            <w:r w:rsidRPr="002E4692">
              <w:rPr>
                <w:sz w:val="18"/>
                <w:szCs w:val="18"/>
              </w:rPr>
              <w:t>A</w:t>
            </w:r>
            <w:r w:rsidR="001A2522" w:rsidRPr="002E4692">
              <w:rPr>
                <w:sz w:val="18"/>
                <w:szCs w:val="18"/>
              </w:rPr>
              <w:t>12</w:t>
            </w:r>
          </w:p>
        </w:tc>
        <w:tc>
          <w:tcPr>
            <w:tcW w:w="815" w:type="pct"/>
            <w:vMerge/>
            <w:tcBorders>
              <w:bottom w:val="single" w:sz="4" w:space="0" w:color="auto"/>
            </w:tcBorders>
            <w:shd w:val="clear" w:color="auto" w:fill="auto"/>
          </w:tcPr>
          <w:p w:rsidR="001A2522" w:rsidRPr="002E4692" w:rsidRDefault="001A2522" w:rsidP="00886B7F">
            <w:pPr>
              <w:spacing w:after="0" w:line="240" w:lineRule="auto"/>
              <w:rPr>
                <w:sz w:val="18"/>
                <w:szCs w:val="18"/>
              </w:rPr>
            </w:pPr>
          </w:p>
        </w:tc>
        <w:tc>
          <w:tcPr>
            <w:tcW w:w="2222" w:type="pct"/>
            <w:vMerge/>
            <w:tcBorders>
              <w:bottom w:val="single" w:sz="4" w:space="0" w:color="auto"/>
            </w:tcBorders>
            <w:shd w:val="clear" w:color="auto" w:fill="FFFFFF" w:themeFill="background1"/>
            <w:vAlign w:val="center"/>
          </w:tcPr>
          <w:p w:rsidR="001A2522" w:rsidRPr="002E4692" w:rsidRDefault="001A2522" w:rsidP="00886B7F">
            <w:pPr>
              <w:spacing w:after="0" w:line="240" w:lineRule="auto"/>
              <w:jc w:val="center"/>
              <w:rPr>
                <w:sz w:val="18"/>
                <w:szCs w:val="18"/>
              </w:rPr>
            </w:pPr>
          </w:p>
        </w:tc>
        <w:tc>
          <w:tcPr>
            <w:tcW w:w="1401" w:type="pct"/>
            <w:shd w:val="clear" w:color="auto" w:fill="E2EFD9" w:themeFill="accent6" w:themeFillTint="33"/>
          </w:tcPr>
          <w:p w:rsidR="001A2522" w:rsidRPr="002E4692" w:rsidRDefault="001A2522" w:rsidP="00886B7F">
            <w:pPr>
              <w:spacing w:after="0" w:line="240" w:lineRule="auto"/>
              <w:rPr>
                <w:sz w:val="18"/>
                <w:szCs w:val="18"/>
              </w:rPr>
            </w:pPr>
            <w:r w:rsidRPr="002E4692">
              <w:rPr>
                <w:sz w:val="18"/>
                <w:szCs w:val="18"/>
              </w:rPr>
              <w:t xml:space="preserve">+ 20 </w:t>
            </w:r>
            <w:r w:rsidRPr="002E4692">
              <w:rPr>
                <w:rFonts w:cs="Arial"/>
                <w:sz w:val="18"/>
                <w:szCs w:val="18"/>
              </w:rPr>
              <w:t>µ</w:t>
            </w:r>
            <w:r w:rsidRPr="002E4692">
              <w:rPr>
                <w:sz w:val="18"/>
                <w:szCs w:val="18"/>
              </w:rPr>
              <w:t>L A3</w:t>
            </w:r>
          </w:p>
        </w:tc>
      </w:tr>
      <w:tr w:rsidR="001A2522" w:rsidRPr="002E4692" w:rsidTr="00886B7F">
        <w:trPr>
          <w:trHeight w:val="258"/>
        </w:trPr>
        <w:tc>
          <w:tcPr>
            <w:tcW w:w="5000" w:type="pct"/>
            <w:gridSpan w:val="4"/>
            <w:tcBorders>
              <w:bottom w:val="single" w:sz="4" w:space="0" w:color="auto"/>
            </w:tcBorders>
            <w:shd w:val="clear" w:color="auto" w:fill="auto"/>
          </w:tcPr>
          <w:p w:rsidR="001A2522" w:rsidRPr="002E4692" w:rsidRDefault="0019341E" w:rsidP="00886B7F">
            <w:pPr>
              <w:spacing w:after="0" w:line="240" w:lineRule="auto"/>
              <w:rPr>
                <w:sz w:val="18"/>
                <w:szCs w:val="18"/>
                <w:lang w:val="en-US"/>
              </w:rPr>
            </w:pPr>
            <w:r w:rsidRPr="002E4692">
              <w:rPr>
                <w:sz w:val="18"/>
                <w:szCs w:val="18"/>
                <w:lang w:val="en-US"/>
              </w:rPr>
              <w:t>Vortex for 1 to 2 seconds.</w:t>
            </w:r>
          </w:p>
        </w:tc>
      </w:tr>
      <w:tr w:rsidR="001A2522" w:rsidRPr="005D7D8B" w:rsidTr="00886B7F">
        <w:trPr>
          <w:trHeight w:val="258"/>
        </w:trPr>
        <w:tc>
          <w:tcPr>
            <w:tcW w:w="5000" w:type="pct"/>
            <w:gridSpan w:val="4"/>
            <w:tcBorders>
              <w:bottom w:val="single" w:sz="4" w:space="0" w:color="auto"/>
            </w:tcBorders>
            <w:shd w:val="clear" w:color="auto" w:fill="auto"/>
          </w:tcPr>
          <w:p w:rsidR="001A2522" w:rsidRPr="002E4692" w:rsidRDefault="001A2522" w:rsidP="00886B7F">
            <w:pPr>
              <w:spacing w:after="0" w:line="240" w:lineRule="auto"/>
              <w:rPr>
                <w:sz w:val="18"/>
                <w:szCs w:val="18"/>
                <w:lang w:val="en-US"/>
              </w:rPr>
            </w:pPr>
            <w:r w:rsidRPr="002E4692">
              <w:rPr>
                <w:sz w:val="18"/>
                <w:szCs w:val="18"/>
                <w:lang w:val="en-US"/>
              </w:rPr>
              <w:t>Incubate for 10 minutes, in darkness at room temperature (~22ºC).</w:t>
            </w:r>
          </w:p>
        </w:tc>
      </w:tr>
      <w:tr w:rsidR="001A2522" w:rsidRPr="005D7D8B" w:rsidTr="00886B7F">
        <w:trPr>
          <w:trHeight w:val="240"/>
        </w:trPr>
        <w:tc>
          <w:tcPr>
            <w:tcW w:w="5000" w:type="pct"/>
            <w:gridSpan w:val="4"/>
            <w:tcBorders>
              <w:bottom w:val="single" w:sz="4" w:space="0" w:color="auto"/>
            </w:tcBorders>
            <w:shd w:val="clear" w:color="auto" w:fill="auto"/>
          </w:tcPr>
          <w:p w:rsidR="001A2522" w:rsidRPr="002E4692" w:rsidRDefault="001A2522" w:rsidP="00886B7F">
            <w:pPr>
              <w:spacing w:after="0" w:line="240" w:lineRule="auto"/>
              <w:rPr>
                <w:sz w:val="18"/>
                <w:szCs w:val="18"/>
                <w:lang w:val="en-US"/>
              </w:rPr>
            </w:pPr>
            <w:r w:rsidRPr="002E4692">
              <w:rPr>
                <w:sz w:val="18"/>
                <w:szCs w:val="18"/>
                <w:lang w:val="en-US"/>
              </w:rPr>
              <w:t>Add 2 mL PBS-</w:t>
            </w:r>
            <w:r w:rsidR="00C31D35" w:rsidRPr="002E4692">
              <w:rPr>
                <w:sz w:val="18"/>
                <w:szCs w:val="18"/>
                <w:lang w:val="en-US"/>
              </w:rPr>
              <w:t>BSA(</w:t>
            </w:r>
            <w:r w:rsidRPr="002E4692">
              <w:rPr>
                <w:sz w:val="18"/>
                <w:szCs w:val="18"/>
                <w:lang w:val="en-US"/>
              </w:rPr>
              <w:t>0.2%</w:t>
            </w:r>
            <w:r w:rsidR="00C31D35" w:rsidRPr="002E4692">
              <w:rPr>
                <w:sz w:val="18"/>
                <w:szCs w:val="18"/>
                <w:lang w:val="en-US"/>
              </w:rPr>
              <w:t>)</w:t>
            </w:r>
            <w:r w:rsidRPr="002E4692">
              <w:rPr>
                <w:sz w:val="18"/>
                <w:szCs w:val="18"/>
                <w:lang w:val="en-US"/>
              </w:rPr>
              <w:t xml:space="preserve"> to all tubes (A4-A12). </w:t>
            </w:r>
          </w:p>
        </w:tc>
      </w:tr>
      <w:tr w:rsidR="001A2522" w:rsidRPr="002E4692" w:rsidTr="00886B7F">
        <w:trPr>
          <w:trHeight w:val="258"/>
        </w:trPr>
        <w:tc>
          <w:tcPr>
            <w:tcW w:w="5000" w:type="pct"/>
            <w:gridSpan w:val="4"/>
            <w:tcBorders>
              <w:bottom w:val="single" w:sz="4" w:space="0" w:color="auto"/>
            </w:tcBorders>
            <w:shd w:val="clear" w:color="auto" w:fill="auto"/>
          </w:tcPr>
          <w:p w:rsidR="001A2522" w:rsidRPr="002E4692" w:rsidRDefault="0019341E" w:rsidP="00886B7F">
            <w:pPr>
              <w:spacing w:after="0" w:line="240" w:lineRule="auto"/>
              <w:rPr>
                <w:sz w:val="18"/>
                <w:szCs w:val="18"/>
                <w:lang w:val="en-US"/>
              </w:rPr>
            </w:pPr>
            <w:r w:rsidRPr="002E4692">
              <w:rPr>
                <w:sz w:val="18"/>
                <w:szCs w:val="18"/>
                <w:lang w:val="en-US"/>
              </w:rPr>
              <w:t>Vortex for 1 to 2 seconds.</w:t>
            </w:r>
          </w:p>
        </w:tc>
      </w:tr>
      <w:tr w:rsidR="001A2522" w:rsidRPr="005D7D8B" w:rsidTr="00886B7F">
        <w:trPr>
          <w:trHeight w:val="258"/>
        </w:trPr>
        <w:tc>
          <w:tcPr>
            <w:tcW w:w="5000" w:type="pct"/>
            <w:gridSpan w:val="4"/>
            <w:tcBorders>
              <w:bottom w:val="single" w:sz="4" w:space="0" w:color="auto"/>
            </w:tcBorders>
            <w:shd w:val="clear" w:color="auto" w:fill="auto"/>
          </w:tcPr>
          <w:p w:rsidR="001A2522" w:rsidRPr="002E4692" w:rsidRDefault="001A2522" w:rsidP="00886B7F">
            <w:pPr>
              <w:spacing w:after="0" w:line="240" w:lineRule="auto"/>
              <w:rPr>
                <w:sz w:val="18"/>
                <w:szCs w:val="18"/>
                <w:lang w:val="en-US"/>
              </w:rPr>
            </w:pPr>
            <w:r w:rsidRPr="002E4692">
              <w:rPr>
                <w:sz w:val="18"/>
                <w:szCs w:val="18"/>
                <w:lang w:val="en-US"/>
              </w:rPr>
              <w:t>Separate 1 mL from each tube to another tube with the same designation.</w:t>
            </w:r>
          </w:p>
        </w:tc>
      </w:tr>
      <w:tr w:rsidR="001A2522" w:rsidRPr="002E4692" w:rsidTr="00886B7F">
        <w:trPr>
          <w:trHeight w:val="258"/>
        </w:trPr>
        <w:tc>
          <w:tcPr>
            <w:tcW w:w="5000" w:type="pct"/>
            <w:gridSpan w:val="4"/>
            <w:tcBorders>
              <w:bottom w:val="single" w:sz="4" w:space="0" w:color="auto"/>
            </w:tcBorders>
            <w:shd w:val="clear" w:color="auto" w:fill="auto"/>
          </w:tcPr>
          <w:p w:rsidR="001A2522" w:rsidRPr="002E4692" w:rsidRDefault="001A2522" w:rsidP="00886B7F">
            <w:pPr>
              <w:spacing w:after="0" w:line="240" w:lineRule="auto"/>
              <w:rPr>
                <w:sz w:val="18"/>
                <w:szCs w:val="18"/>
                <w:lang w:val="en-US"/>
              </w:rPr>
            </w:pPr>
            <w:r w:rsidRPr="002E4692">
              <w:rPr>
                <w:sz w:val="18"/>
                <w:szCs w:val="18"/>
                <w:lang w:val="en-US"/>
              </w:rPr>
              <w:t xml:space="preserve">Add 50 </w:t>
            </w:r>
            <w:r w:rsidRPr="002E4692">
              <w:rPr>
                <w:rFonts w:cs="Arial"/>
                <w:sz w:val="18"/>
                <w:szCs w:val="18"/>
              </w:rPr>
              <w:t>µ</w:t>
            </w:r>
            <w:r w:rsidRPr="002E4692">
              <w:rPr>
                <w:sz w:val="18"/>
                <w:szCs w:val="18"/>
              </w:rPr>
              <w:t>L</w:t>
            </w:r>
            <w:r w:rsidRPr="002E4692">
              <w:rPr>
                <w:sz w:val="18"/>
                <w:szCs w:val="18"/>
                <w:lang w:val="en-US"/>
              </w:rPr>
              <w:t xml:space="preserve"> formaldehyde 10% (final concentration: 0.5%).</w:t>
            </w:r>
          </w:p>
        </w:tc>
      </w:tr>
      <w:tr w:rsidR="001A2522" w:rsidRPr="002E4692" w:rsidTr="00886B7F">
        <w:trPr>
          <w:trHeight w:val="258"/>
        </w:trPr>
        <w:tc>
          <w:tcPr>
            <w:tcW w:w="5000" w:type="pct"/>
            <w:gridSpan w:val="4"/>
            <w:tcBorders>
              <w:bottom w:val="single" w:sz="4" w:space="0" w:color="auto"/>
            </w:tcBorders>
            <w:shd w:val="clear" w:color="auto" w:fill="auto"/>
          </w:tcPr>
          <w:p w:rsidR="001A2522" w:rsidRPr="002E4692" w:rsidRDefault="0019341E" w:rsidP="00886B7F">
            <w:pPr>
              <w:spacing w:after="0" w:line="240" w:lineRule="auto"/>
              <w:rPr>
                <w:sz w:val="18"/>
                <w:szCs w:val="18"/>
                <w:lang w:val="en-US"/>
              </w:rPr>
            </w:pPr>
            <w:r w:rsidRPr="002E4692">
              <w:rPr>
                <w:sz w:val="18"/>
                <w:szCs w:val="18"/>
                <w:lang w:val="en-US"/>
              </w:rPr>
              <w:t>Vortex for 1 to 2 seconds.</w:t>
            </w:r>
          </w:p>
        </w:tc>
      </w:tr>
      <w:tr w:rsidR="001A2522" w:rsidRPr="005D7D8B" w:rsidTr="00886B7F">
        <w:trPr>
          <w:trHeight w:val="258"/>
        </w:trPr>
        <w:tc>
          <w:tcPr>
            <w:tcW w:w="5000" w:type="pct"/>
            <w:gridSpan w:val="4"/>
            <w:tcBorders>
              <w:bottom w:val="single" w:sz="4" w:space="0" w:color="auto"/>
            </w:tcBorders>
            <w:shd w:val="clear" w:color="auto" w:fill="auto"/>
          </w:tcPr>
          <w:p w:rsidR="001A2522" w:rsidRPr="002E4692" w:rsidRDefault="001A2522" w:rsidP="00886B7F">
            <w:pPr>
              <w:spacing w:after="0" w:line="240" w:lineRule="auto"/>
              <w:rPr>
                <w:sz w:val="18"/>
                <w:szCs w:val="18"/>
                <w:lang w:val="en-US"/>
              </w:rPr>
            </w:pPr>
            <w:r w:rsidRPr="002E4692">
              <w:rPr>
                <w:sz w:val="18"/>
                <w:szCs w:val="18"/>
                <w:lang w:val="en-US"/>
              </w:rPr>
              <w:t>Incubate 30 minutes, in darkness, at the refrigerator (~4ºC).</w:t>
            </w:r>
          </w:p>
        </w:tc>
      </w:tr>
      <w:tr w:rsidR="001A2522" w:rsidRPr="002E4692" w:rsidTr="00886B7F">
        <w:trPr>
          <w:trHeight w:val="258"/>
        </w:trPr>
        <w:tc>
          <w:tcPr>
            <w:tcW w:w="5000" w:type="pct"/>
            <w:gridSpan w:val="4"/>
            <w:tcBorders>
              <w:bottom w:val="single" w:sz="4" w:space="0" w:color="auto"/>
            </w:tcBorders>
            <w:shd w:val="clear" w:color="auto" w:fill="auto"/>
          </w:tcPr>
          <w:p w:rsidR="001A2522" w:rsidRPr="002E4692" w:rsidRDefault="0019341E" w:rsidP="00886B7F">
            <w:pPr>
              <w:spacing w:after="0" w:line="240" w:lineRule="auto"/>
              <w:rPr>
                <w:sz w:val="18"/>
                <w:szCs w:val="18"/>
                <w:lang w:val="en-US"/>
              </w:rPr>
            </w:pPr>
            <w:r w:rsidRPr="002E4692">
              <w:rPr>
                <w:sz w:val="18"/>
                <w:szCs w:val="18"/>
                <w:lang w:val="en-US"/>
              </w:rPr>
              <w:t>Vortex for 1 to 2 seconds.</w:t>
            </w:r>
          </w:p>
        </w:tc>
      </w:tr>
      <w:tr w:rsidR="001A2522" w:rsidRPr="005D7D8B" w:rsidTr="00886B7F">
        <w:trPr>
          <w:trHeight w:val="258"/>
        </w:trPr>
        <w:tc>
          <w:tcPr>
            <w:tcW w:w="5000" w:type="pct"/>
            <w:gridSpan w:val="4"/>
            <w:tcBorders>
              <w:bottom w:val="single" w:sz="4" w:space="0" w:color="auto"/>
            </w:tcBorders>
            <w:shd w:val="clear" w:color="auto" w:fill="auto"/>
          </w:tcPr>
          <w:p w:rsidR="001A2522" w:rsidRPr="002E4692" w:rsidRDefault="001A2522" w:rsidP="00886B7F">
            <w:pPr>
              <w:spacing w:after="0" w:line="240" w:lineRule="auto"/>
              <w:rPr>
                <w:sz w:val="18"/>
                <w:szCs w:val="18"/>
                <w:lang w:val="en-US"/>
              </w:rPr>
            </w:pPr>
            <w:r w:rsidRPr="002E4692">
              <w:rPr>
                <w:sz w:val="18"/>
                <w:szCs w:val="18"/>
                <w:lang w:val="en-US"/>
              </w:rPr>
              <w:t>Acquire in the flow cytometer.</w:t>
            </w:r>
          </w:p>
        </w:tc>
      </w:tr>
    </w:tbl>
    <w:tbl>
      <w:tblPr>
        <w:tblStyle w:val="TabelacomGrelha"/>
        <w:tblW w:w="0" w:type="auto"/>
        <w:tblInd w:w="5" w:type="dxa"/>
        <w:tblLook w:val="04A0" w:firstRow="1" w:lastRow="0" w:firstColumn="1" w:lastColumn="0" w:noHBand="0" w:noVBand="1"/>
      </w:tblPr>
      <w:tblGrid>
        <w:gridCol w:w="3539"/>
        <w:gridCol w:w="6202"/>
      </w:tblGrid>
      <w:tr w:rsidR="00FD3C3F" w:rsidRPr="00476D47" w:rsidTr="00D71ED7">
        <w:trPr>
          <w:gridAfter w:val="1"/>
          <w:wAfter w:w="6202" w:type="dxa"/>
          <w:trHeight w:val="108"/>
        </w:trPr>
        <w:tc>
          <w:tcPr>
            <w:tcW w:w="3539" w:type="dxa"/>
            <w:tcBorders>
              <w:top w:val="nil"/>
              <w:left w:val="nil"/>
              <w:bottom w:val="nil"/>
              <w:right w:val="nil"/>
            </w:tcBorders>
            <w:vAlign w:val="center"/>
          </w:tcPr>
          <w:p w:rsidR="00FD3C3F" w:rsidRPr="00476D47" w:rsidRDefault="00FD3C3F" w:rsidP="00B75C59">
            <w:pPr>
              <w:pStyle w:val="Ttulo4"/>
              <w:outlineLvl w:val="3"/>
              <w:rPr>
                <w:sz w:val="16"/>
                <w:lang w:val="en-US"/>
              </w:rPr>
            </w:pPr>
            <w:r w:rsidRPr="00B75C59">
              <w:lastRenderedPageBreak/>
              <w:t>Final</w:t>
            </w:r>
            <w:r w:rsidRPr="00476D47">
              <w:rPr>
                <w:lang w:val="en-US"/>
              </w:rPr>
              <w:t xml:space="preserve"> concentrations</w:t>
            </w:r>
          </w:p>
        </w:tc>
      </w:tr>
      <w:tr w:rsidR="00FD3C3F" w:rsidRPr="005D7D8B" w:rsidTr="00D71ED7">
        <w:trPr>
          <w:trHeight w:val="66"/>
        </w:trPr>
        <w:tc>
          <w:tcPr>
            <w:tcW w:w="353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D3C3F" w:rsidRPr="00CD07AD" w:rsidRDefault="00FD3C3F" w:rsidP="003B5F8C">
            <w:pPr>
              <w:spacing w:line="240" w:lineRule="auto"/>
              <w:jc w:val="left"/>
              <w:rPr>
                <w:b/>
                <w:sz w:val="18"/>
                <w:szCs w:val="18"/>
                <w:lang w:val="en-US"/>
              </w:rPr>
            </w:pPr>
            <w:r w:rsidRPr="00CD07AD">
              <w:rPr>
                <w:b/>
                <w:sz w:val="18"/>
                <w:szCs w:val="18"/>
                <w:lang w:val="en-US"/>
              </w:rPr>
              <w:t xml:space="preserve">EDTA-K3 </w:t>
            </w:r>
            <w:r w:rsidRPr="00CD07AD">
              <w:rPr>
                <w:bCs/>
                <w:sz w:val="18"/>
                <w:szCs w:val="18"/>
                <w:lang w:val="en-US"/>
              </w:rPr>
              <w:t>(T1 and A1)</w:t>
            </w:r>
          </w:p>
        </w:tc>
        <w:tc>
          <w:tcPr>
            <w:tcW w:w="6202" w:type="dxa"/>
            <w:tcBorders>
              <w:top w:val="single" w:sz="4" w:space="0" w:color="auto"/>
              <w:left w:val="single" w:sz="4" w:space="0" w:color="auto"/>
              <w:bottom w:val="single" w:sz="4" w:space="0" w:color="auto"/>
              <w:right w:val="single" w:sz="4" w:space="0" w:color="auto"/>
            </w:tcBorders>
          </w:tcPr>
          <w:p w:rsidR="00FD3C3F" w:rsidRPr="00CD07AD" w:rsidRDefault="00FD3C3F" w:rsidP="003B5F8C">
            <w:pPr>
              <w:spacing w:line="240" w:lineRule="auto"/>
              <w:rPr>
                <w:sz w:val="18"/>
                <w:szCs w:val="18"/>
                <w:lang w:val="en-US"/>
              </w:rPr>
            </w:pPr>
            <w:r w:rsidRPr="00CD07AD">
              <w:rPr>
                <w:sz w:val="18"/>
                <w:szCs w:val="18"/>
                <w:lang w:val="en-US"/>
              </w:rPr>
              <w:t xml:space="preserve">6.25 mM [60 </w:t>
            </w:r>
            <w:r w:rsidR="001A2522" w:rsidRPr="00CD07AD">
              <w:rPr>
                <w:sz w:val="18"/>
                <w:szCs w:val="18"/>
              </w:rPr>
              <w:t>μ</w:t>
            </w:r>
            <w:r w:rsidR="001A2522" w:rsidRPr="00CD07AD">
              <w:rPr>
                <w:sz w:val="18"/>
                <w:szCs w:val="18"/>
                <w:lang w:val="en-US"/>
              </w:rPr>
              <w:t>L</w:t>
            </w:r>
            <w:r w:rsidRPr="00CD07AD">
              <w:rPr>
                <w:sz w:val="18"/>
                <w:szCs w:val="18"/>
                <w:lang w:val="en-US"/>
              </w:rPr>
              <w:t xml:space="preserve"> EDTA (9 mM) + 20 </w:t>
            </w:r>
            <w:r w:rsidR="001A2522" w:rsidRPr="00CD07AD">
              <w:rPr>
                <w:sz w:val="18"/>
                <w:szCs w:val="18"/>
              </w:rPr>
              <w:t>μ</w:t>
            </w:r>
            <w:r w:rsidR="001A2522" w:rsidRPr="00CD07AD">
              <w:rPr>
                <w:sz w:val="18"/>
                <w:szCs w:val="18"/>
                <w:lang w:val="en-US"/>
              </w:rPr>
              <w:t>L</w:t>
            </w:r>
            <w:r w:rsidRPr="00CD07AD">
              <w:rPr>
                <w:sz w:val="18"/>
                <w:szCs w:val="18"/>
                <w:lang w:val="en-US"/>
              </w:rPr>
              <w:t xml:space="preserve"> PB</w:t>
            </w:r>
            <w:r w:rsidR="001A2522" w:rsidRPr="00CD07AD">
              <w:rPr>
                <w:rFonts w:cs="Arial"/>
                <w:sz w:val="18"/>
                <w:szCs w:val="18"/>
                <w:lang w:val="en-US"/>
              </w:rPr>
              <w:t>]</w:t>
            </w:r>
            <w:r w:rsidRPr="00CD07AD">
              <w:rPr>
                <w:sz w:val="18"/>
                <w:szCs w:val="18"/>
                <w:lang w:val="en-US"/>
              </w:rPr>
              <w:t xml:space="preserve"> </w:t>
            </w:r>
          </w:p>
        </w:tc>
      </w:tr>
      <w:tr w:rsidR="00FD3C3F" w:rsidRPr="005D7D8B" w:rsidTr="00D71ED7">
        <w:trPr>
          <w:trHeight w:val="66"/>
        </w:trPr>
        <w:tc>
          <w:tcPr>
            <w:tcW w:w="35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D3C3F" w:rsidRPr="00CD07AD" w:rsidRDefault="00FD3C3F" w:rsidP="003B5F8C">
            <w:pPr>
              <w:spacing w:line="240" w:lineRule="auto"/>
              <w:jc w:val="left"/>
              <w:rPr>
                <w:b/>
                <w:sz w:val="18"/>
                <w:szCs w:val="18"/>
                <w:lang w:val="en-US"/>
              </w:rPr>
            </w:pPr>
            <w:r w:rsidRPr="00CD07AD">
              <w:rPr>
                <w:b/>
                <w:sz w:val="18"/>
                <w:szCs w:val="18"/>
                <w:lang w:val="en-US"/>
              </w:rPr>
              <w:t xml:space="preserve">TRAP-6 </w:t>
            </w:r>
            <w:r w:rsidRPr="00CD07AD">
              <w:rPr>
                <w:bCs/>
                <w:sz w:val="18"/>
                <w:szCs w:val="18"/>
                <w:lang w:val="en-US"/>
              </w:rPr>
              <w:t>(T3)</w:t>
            </w:r>
          </w:p>
        </w:tc>
        <w:tc>
          <w:tcPr>
            <w:tcW w:w="6202" w:type="dxa"/>
            <w:tcBorders>
              <w:top w:val="single" w:sz="4" w:space="0" w:color="auto"/>
              <w:left w:val="single" w:sz="4" w:space="0" w:color="auto"/>
              <w:bottom w:val="single" w:sz="4" w:space="0" w:color="auto"/>
              <w:right w:val="single" w:sz="4" w:space="0" w:color="auto"/>
            </w:tcBorders>
          </w:tcPr>
          <w:p w:rsidR="00FD3C3F" w:rsidRPr="00CD07AD" w:rsidRDefault="00FD3C3F" w:rsidP="003B5F8C">
            <w:pPr>
              <w:spacing w:line="240" w:lineRule="auto"/>
              <w:rPr>
                <w:sz w:val="18"/>
                <w:szCs w:val="18"/>
                <w:lang w:val="en-US"/>
              </w:rPr>
            </w:pPr>
            <w:r w:rsidRPr="00CD07AD">
              <w:rPr>
                <w:sz w:val="18"/>
                <w:szCs w:val="18"/>
                <w:lang w:val="en-US"/>
              </w:rPr>
              <w:t xml:space="preserve">20 </w:t>
            </w:r>
            <w:r w:rsidR="001A2522" w:rsidRPr="00CD07AD">
              <w:rPr>
                <w:sz w:val="18"/>
                <w:szCs w:val="18"/>
              </w:rPr>
              <w:t>μ</w:t>
            </w:r>
            <w:r w:rsidRPr="00CD07AD">
              <w:rPr>
                <w:sz w:val="18"/>
                <w:szCs w:val="18"/>
                <w:lang w:val="en-US"/>
              </w:rPr>
              <w:t xml:space="preserve">M [40 </w:t>
            </w:r>
            <w:r w:rsidR="001A2522" w:rsidRPr="00CD07AD">
              <w:rPr>
                <w:sz w:val="18"/>
                <w:szCs w:val="18"/>
              </w:rPr>
              <w:t>μ</w:t>
            </w:r>
            <w:r w:rsidR="001A2522" w:rsidRPr="00CD07AD">
              <w:rPr>
                <w:sz w:val="18"/>
                <w:szCs w:val="18"/>
                <w:lang w:val="en-US"/>
              </w:rPr>
              <w:t>L</w:t>
            </w:r>
            <w:r w:rsidRPr="00CD07AD">
              <w:rPr>
                <w:sz w:val="18"/>
                <w:szCs w:val="18"/>
                <w:lang w:val="en-US"/>
              </w:rPr>
              <w:t xml:space="preserve"> PBS-BSA</w:t>
            </w:r>
            <w:r w:rsidR="00D71ED7" w:rsidRPr="00CD07AD">
              <w:rPr>
                <w:sz w:val="18"/>
                <w:szCs w:val="18"/>
                <w:lang w:val="en-US"/>
              </w:rPr>
              <w:t>(</w:t>
            </w:r>
            <w:r w:rsidRPr="00CD07AD">
              <w:rPr>
                <w:sz w:val="18"/>
                <w:szCs w:val="18"/>
                <w:lang w:val="en-US"/>
              </w:rPr>
              <w:t>0.2%</w:t>
            </w:r>
            <w:r w:rsidR="00D71ED7" w:rsidRPr="00CD07AD">
              <w:rPr>
                <w:sz w:val="18"/>
                <w:szCs w:val="18"/>
                <w:lang w:val="en-US"/>
              </w:rPr>
              <w:t>)</w:t>
            </w:r>
            <w:r w:rsidRPr="00CD07AD">
              <w:rPr>
                <w:sz w:val="18"/>
                <w:szCs w:val="18"/>
                <w:lang w:val="en-US"/>
              </w:rPr>
              <w:t xml:space="preserve"> + 20</w:t>
            </w:r>
            <w:r w:rsidR="001A2522" w:rsidRPr="00CD07AD">
              <w:rPr>
                <w:sz w:val="18"/>
                <w:szCs w:val="18"/>
                <w:lang w:val="en-US"/>
              </w:rPr>
              <w:t xml:space="preserve"> </w:t>
            </w:r>
            <w:r w:rsidR="001A2522" w:rsidRPr="00CD07AD">
              <w:rPr>
                <w:sz w:val="18"/>
                <w:szCs w:val="18"/>
              </w:rPr>
              <w:t>μ</w:t>
            </w:r>
            <w:r w:rsidR="001A2522" w:rsidRPr="00CD07AD">
              <w:rPr>
                <w:sz w:val="18"/>
                <w:szCs w:val="18"/>
                <w:lang w:val="en-US"/>
              </w:rPr>
              <w:t>L</w:t>
            </w:r>
            <w:r w:rsidRPr="00CD07AD">
              <w:rPr>
                <w:sz w:val="18"/>
                <w:szCs w:val="18"/>
                <w:lang w:val="en-US"/>
              </w:rPr>
              <w:t xml:space="preserve"> TRAP-6</w:t>
            </w:r>
            <w:r w:rsidR="00B75C59" w:rsidRPr="00CD07AD">
              <w:rPr>
                <w:sz w:val="18"/>
                <w:szCs w:val="18"/>
                <w:lang w:val="en-US"/>
              </w:rPr>
              <w:t xml:space="preserve"> </w:t>
            </w:r>
            <w:r w:rsidRPr="00CD07AD">
              <w:rPr>
                <w:sz w:val="18"/>
                <w:szCs w:val="18"/>
                <w:lang w:val="en-US"/>
              </w:rPr>
              <w:t xml:space="preserve">(80 </w:t>
            </w:r>
            <w:r w:rsidR="001A2522" w:rsidRPr="00CD07AD">
              <w:rPr>
                <w:sz w:val="18"/>
                <w:szCs w:val="18"/>
              </w:rPr>
              <w:t>μ</w:t>
            </w:r>
            <w:r w:rsidRPr="00CD07AD">
              <w:rPr>
                <w:sz w:val="18"/>
                <w:szCs w:val="18"/>
                <w:lang w:val="en-US"/>
              </w:rPr>
              <w:t xml:space="preserve">M) + 20 </w:t>
            </w:r>
            <w:r w:rsidR="001A2522" w:rsidRPr="00CD07AD">
              <w:rPr>
                <w:sz w:val="18"/>
                <w:szCs w:val="18"/>
              </w:rPr>
              <w:t>μ</w:t>
            </w:r>
            <w:r w:rsidR="001A2522" w:rsidRPr="00CD07AD">
              <w:rPr>
                <w:sz w:val="18"/>
                <w:szCs w:val="18"/>
                <w:lang w:val="en-US"/>
              </w:rPr>
              <w:t>L</w:t>
            </w:r>
            <w:r w:rsidRPr="00CD07AD">
              <w:rPr>
                <w:sz w:val="18"/>
                <w:szCs w:val="18"/>
                <w:lang w:val="en-US"/>
              </w:rPr>
              <w:t xml:space="preserve"> PB]</w:t>
            </w:r>
          </w:p>
        </w:tc>
      </w:tr>
      <w:tr w:rsidR="00FD3C3F" w:rsidRPr="005D7D8B" w:rsidTr="00D71ED7">
        <w:trPr>
          <w:trHeight w:val="66"/>
        </w:trPr>
        <w:tc>
          <w:tcPr>
            <w:tcW w:w="35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D3C3F" w:rsidRPr="00CD07AD" w:rsidRDefault="00FD3C3F" w:rsidP="003B5F8C">
            <w:pPr>
              <w:spacing w:line="240" w:lineRule="auto"/>
              <w:jc w:val="left"/>
              <w:rPr>
                <w:b/>
                <w:sz w:val="18"/>
                <w:szCs w:val="18"/>
                <w:lang w:val="en-US"/>
              </w:rPr>
            </w:pPr>
            <w:r w:rsidRPr="00CD07AD">
              <w:rPr>
                <w:b/>
                <w:sz w:val="18"/>
                <w:szCs w:val="18"/>
                <w:lang w:val="en-US"/>
              </w:rPr>
              <w:t xml:space="preserve">ADP </w:t>
            </w:r>
            <w:r w:rsidRPr="00CD07AD">
              <w:rPr>
                <w:bCs/>
                <w:sz w:val="18"/>
                <w:szCs w:val="18"/>
                <w:lang w:val="en-US"/>
              </w:rPr>
              <w:t>(A3)</w:t>
            </w:r>
          </w:p>
        </w:tc>
        <w:tc>
          <w:tcPr>
            <w:tcW w:w="6202" w:type="dxa"/>
            <w:tcBorders>
              <w:top w:val="single" w:sz="4" w:space="0" w:color="auto"/>
              <w:left w:val="single" w:sz="4" w:space="0" w:color="auto"/>
              <w:bottom w:val="single" w:sz="4" w:space="0" w:color="auto"/>
              <w:right w:val="single" w:sz="4" w:space="0" w:color="auto"/>
            </w:tcBorders>
          </w:tcPr>
          <w:p w:rsidR="00FD3C3F" w:rsidRPr="00CD07AD" w:rsidRDefault="00FD3C3F" w:rsidP="003B5F8C">
            <w:pPr>
              <w:spacing w:line="240" w:lineRule="auto"/>
              <w:rPr>
                <w:sz w:val="18"/>
                <w:szCs w:val="18"/>
                <w:lang w:val="en-US"/>
              </w:rPr>
            </w:pPr>
            <w:r w:rsidRPr="00CD07AD">
              <w:rPr>
                <w:sz w:val="18"/>
                <w:szCs w:val="18"/>
                <w:lang w:val="en-US"/>
              </w:rPr>
              <w:t xml:space="preserve">10 </w:t>
            </w:r>
            <w:r w:rsidR="00B75C59" w:rsidRPr="00CD07AD">
              <w:rPr>
                <w:sz w:val="18"/>
                <w:szCs w:val="18"/>
              </w:rPr>
              <w:t>μ</w:t>
            </w:r>
            <w:r w:rsidRPr="00CD07AD">
              <w:rPr>
                <w:sz w:val="18"/>
                <w:szCs w:val="18"/>
                <w:lang w:val="en-US"/>
              </w:rPr>
              <w:t xml:space="preserve">M [40 </w:t>
            </w:r>
            <w:r w:rsidR="00B75C59" w:rsidRPr="00CD07AD">
              <w:rPr>
                <w:sz w:val="18"/>
                <w:szCs w:val="18"/>
              </w:rPr>
              <w:t>μ</w:t>
            </w:r>
            <w:r w:rsidRPr="00CD07AD">
              <w:rPr>
                <w:sz w:val="18"/>
                <w:szCs w:val="18"/>
                <w:lang w:val="en-US"/>
              </w:rPr>
              <w:t>L PBS-BSA</w:t>
            </w:r>
            <w:r w:rsidR="00D71ED7" w:rsidRPr="00CD07AD">
              <w:rPr>
                <w:sz w:val="18"/>
                <w:szCs w:val="18"/>
                <w:lang w:val="en-US"/>
              </w:rPr>
              <w:t>(</w:t>
            </w:r>
            <w:r w:rsidRPr="00CD07AD">
              <w:rPr>
                <w:sz w:val="18"/>
                <w:szCs w:val="18"/>
                <w:lang w:val="en-US"/>
              </w:rPr>
              <w:t>0.2%</w:t>
            </w:r>
            <w:r w:rsidR="00D71ED7" w:rsidRPr="00CD07AD">
              <w:rPr>
                <w:sz w:val="18"/>
                <w:szCs w:val="18"/>
                <w:lang w:val="en-US"/>
              </w:rPr>
              <w:t>)</w:t>
            </w:r>
            <w:r w:rsidRPr="00CD07AD">
              <w:rPr>
                <w:sz w:val="18"/>
                <w:szCs w:val="18"/>
                <w:lang w:val="en-US"/>
              </w:rPr>
              <w:t xml:space="preserve"> + 20 </w:t>
            </w:r>
            <w:r w:rsidR="001A2522" w:rsidRPr="00CD07AD">
              <w:rPr>
                <w:sz w:val="18"/>
                <w:szCs w:val="18"/>
              </w:rPr>
              <w:t>μ</w:t>
            </w:r>
            <w:r w:rsidR="001A2522" w:rsidRPr="00CD07AD">
              <w:rPr>
                <w:sz w:val="18"/>
                <w:szCs w:val="18"/>
                <w:lang w:val="en-US"/>
              </w:rPr>
              <w:t>L</w:t>
            </w:r>
            <w:r w:rsidRPr="00CD07AD">
              <w:rPr>
                <w:sz w:val="18"/>
                <w:szCs w:val="18"/>
                <w:lang w:val="en-US"/>
              </w:rPr>
              <w:t xml:space="preserve"> ADP (40 </w:t>
            </w:r>
            <w:r w:rsidR="00B75C59" w:rsidRPr="00CD07AD">
              <w:rPr>
                <w:sz w:val="18"/>
                <w:szCs w:val="18"/>
              </w:rPr>
              <w:t>μ</w:t>
            </w:r>
            <w:r w:rsidRPr="00CD07AD">
              <w:rPr>
                <w:sz w:val="18"/>
                <w:szCs w:val="18"/>
                <w:lang w:val="en-US"/>
              </w:rPr>
              <w:t xml:space="preserve">M) + 20 </w:t>
            </w:r>
            <w:r w:rsidR="00B75C59" w:rsidRPr="00CD07AD">
              <w:rPr>
                <w:sz w:val="18"/>
                <w:szCs w:val="18"/>
              </w:rPr>
              <w:t>μ</w:t>
            </w:r>
            <w:r w:rsidR="00B75C59" w:rsidRPr="00CD07AD">
              <w:rPr>
                <w:sz w:val="18"/>
                <w:szCs w:val="18"/>
                <w:lang w:val="en-US"/>
              </w:rPr>
              <w:t>L</w:t>
            </w:r>
            <w:r w:rsidRPr="00CD07AD">
              <w:rPr>
                <w:sz w:val="18"/>
                <w:szCs w:val="18"/>
                <w:lang w:val="en-US"/>
              </w:rPr>
              <w:t xml:space="preserve"> PB]</w:t>
            </w:r>
          </w:p>
        </w:tc>
      </w:tr>
      <w:tr w:rsidR="00FD3C3F" w:rsidRPr="005D7D8B" w:rsidTr="00D71ED7">
        <w:trPr>
          <w:trHeight w:val="66"/>
        </w:trPr>
        <w:tc>
          <w:tcPr>
            <w:tcW w:w="3539" w:type="dxa"/>
            <w:tcBorders>
              <w:top w:val="single" w:sz="4" w:space="0" w:color="auto"/>
              <w:left w:val="single" w:sz="4" w:space="0" w:color="auto"/>
              <w:bottom w:val="single" w:sz="4" w:space="0" w:color="auto"/>
              <w:right w:val="single" w:sz="4" w:space="0" w:color="auto"/>
            </w:tcBorders>
            <w:vAlign w:val="center"/>
          </w:tcPr>
          <w:p w:rsidR="00FD3C3F" w:rsidRPr="00CD07AD" w:rsidRDefault="00FD3C3F" w:rsidP="003B5F8C">
            <w:pPr>
              <w:spacing w:line="240" w:lineRule="auto"/>
              <w:jc w:val="left"/>
              <w:rPr>
                <w:b/>
                <w:bCs/>
                <w:sz w:val="18"/>
                <w:szCs w:val="18"/>
                <w:lang w:val="en-US"/>
              </w:rPr>
            </w:pPr>
            <w:r w:rsidRPr="00CD07AD">
              <w:rPr>
                <w:b/>
                <w:bCs/>
                <w:sz w:val="18"/>
                <w:szCs w:val="18"/>
                <w:lang w:val="en-US"/>
              </w:rPr>
              <w:t xml:space="preserve">Formaldehyde </w:t>
            </w:r>
            <w:r w:rsidRPr="00CD07AD">
              <w:rPr>
                <w:sz w:val="18"/>
                <w:szCs w:val="18"/>
                <w:lang w:val="en-US"/>
              </w:rPr>
              <w:t>(</w:t>
            </w:r>
            <w:r w:rsidR="00B75C59" w:rsidRPr="00CD07AD">
              <w:rPr>
                <w:sz w:val="18"/>
                <w:szCs w:val="18"/>
                <w:lang w:val="en-US"/>
              </w:rPr>
              <w:t>T4-T12 and A4-A12</w:t>
            </w:r>
            <w:r w:rsidRPr="00CD07AD">
              <w:rPr>
                <w:sz w:val="18"/>
                <w:szCs w:val="18"/>
                <w:lang w:val="en-US"/>
              </w:rPr>
              <w:t>)</w:t>
            </w:r>
          </w:p>
        </w:tc>
        <w:tc>
          <w:tcPr>
            <w:tcW w:w="6202" w:type="dxa"/>
            <w:tcBorders>
              <w:top w:val="single" w:sz="4" w:space="0" w:color="auto"/>
              <w:left w:val="single" w:sz="4" w:space="0" w:color="auto"/>
              <w:bottom w:val="single" w:sz="4" w:space="0" w:color="auto"/>
              <w:right w:val="single" w:sz="4" w:space="0" w:color="auto"/>
            </w:tcBorders>
          </w:tcPr>
          <w:p w:rsidR="00FD3C3F" w:rsidRPr="00CD07AD" w:rsidRDefault="00FD3C3F" w:rsidP="003B5F8C">
            <w:pPr>
              <w:spacing w:line="240" w:lineRule="auto"/>
              <w:rPr>
                <w:sz w:val="18"/>
                <w:szCs w:val="18"/>
                <w:lang w:val="en-US"/>
              </w:rPr>
            </w:pPr>
            <w:r w:rsidRPr="00CD07AD">
              <w:rPr>
                <w:sz w:val="18"/>
                <w:szCs w:val="18"/>
                <w:lang w:val="en-US"/>
              </w:rPr>
              <w:t xml:space="preserve">0.5% (50 </w:t>
            </w:r>
            <w:r w:rsidR="00B75C59" w:rsidRPr="00CD07AD">
              <w:rPr>
                <w:sz w:val="18"/>
                <w:szCs w:val="18"/>
              </w:rPr>
              <w:t>μ</w:t>
            </w:r>
            <w:r w:rsidR="00B75C59" w:rsidRPr="00CD07AD">
              <w:rPr>
                <w:sz w:val="18"/>
                <w:szCs w:val="18"/>
                <w:lang w:val="en-US"/>
              </w:rPr>
              <w:t>L</w:t>
            </w:r>
            <w:r w:rsidRPr="00CD07AD">
              <w:rPr>
                <w:sz w:val="18"/>
                <w:szCs w:val="18"/>
                <w:lang w:val="en-US"/>
              </w:rPr>
              <w:t xml:space="preserve"> stock solution 10% in 1mL of platelet suspension)</w:t>
            </w:r>
          </w:p>
        </w:tc>
      </w:tr>
    </w:tbl>
    <w:p w:rsidR="001A1181" w:rsidRPr="00702ACD" w:rsidRDefault="001A1181" w:rsidP="00247B90">
      <w:pPr>
        <w:pStyle w:val="Ttulo4"/>
        <w:rPr>
          <w:lang w:val="en-US"/>
        </w:rPr>
      </w:pPr>
      <w:r w:rsidRPr="00702ACD">
        <w:rPr>
          <w:lang w:val="en-US"/>
        </w:rPr>
        <w:t>Sample acquisition</w:t>
      </w:r>
    </w:p>
    <w:p w:rsidR="001A1181" w:rsidRPr="00702ACD" w:rsidRDefault="001A1181" w:rsidP="001A1181">
      <w:pPr>
        <w:rPr>
          <w:lang w:val="en-US"/>
        </w:rPr>
      </w:pPr>
      <w:r w:rsidRPr="00702ACD">
        <w:rPr>
          <w:lang w:val="en-US"/>
        </w:rPr>
        <w:t xml:space="preserve">Samples are acquired in a </w:t>
      </w:r>
      <w:proofErr w:type="spellStart"/>
      <w:r w:rsidRPr="00702ACD">
        <w:rPr>
          <w:lang w:val="en-US"/>
        </w:rPr>
        <w:t>Navios</w:t>
      </w:r>
      <w:r w:rsidRPr="00702ACD">
        <w:rPr>
          <w:vertAlign w:val="superscript"/>
          <w:lang w:val="en-US"/>
        </w:rPr>
        <w:t>TM</w:t>
      </w:r>
      <w:proofErr w:type="spellEnd"/>
      <w:r w:rsidRPr="00702ACD">
        <w:rPr>
          <w:lang w:val="en-US"/>
        </w:rPr>
        <w:t xml:space="preserve"> flow cytometer (BC). </w:t>
      </w:r>
      <w:r w:rsidR="007B0C4F" w:rsidRPr="00702ACD">
        <w:rPr>
          <w:lang w:val="en-US"/>
        </w:rPr>
        <w:t xml:space="preserve">At least 5.000 PLT events </w:t>
      </w:r>
      <w:r w:rsidR="00645180">
        <w:rPr>
          <w:lang w:val="en-US"/>
        </w:rPr>
        <w:t>a</w:t>
      </w:r>
      <w:r w:rsidR="007B0C4F" w:rsidRPr="00702ACD">
        <w:rPr>
          <w:lang w:val="en-US"/>
        </w:rPr>
        <w:t xml:space="preserve">re acquired and stored as listmode (lmd) files to be subsequently </w:t>
      </w:r>
      <w:r w:rsidR="009A6ADC" w:rsidRPr="00702ACD">
        <w:rPr>
          <w:lang w:val="en-US"/>
        </w:rPr>
        <w:t>analyzed.</w:t>
      </w:r>
    </w:p>
    <w:p w:rsidR="001A1181" w:rsidRPr="00702ACD" w:rsidRDefault="001A1181" w:rsidP="00247B90">
      <w:pPr>
        <w:pStyle w:val="Ttulo4"/>
        <w:rPr>
          <w:lang w:val="en-US"/>
        </w:rPr>
      </w:pPr>
      <w:r w:rsidRPr="00702ACD">
        <w:rPr>
          <w:lang w:val="en-US"/>
        </w:rPr>
        <w:t>Data analysis</w:t>
      </w:r>
    </w:p>
    <w:p w:rsidR="00F84CD8" w:rsidRPr="00702ACD" w:rsidRDefault="001A1181" w:rsidP="001A1181">
      <w:pPr>
        <w:rPr>
          <w:lang w:val="en-US"/>
        </w:rPr>
      </w:pPr>
      <w:r w:rsidRPr="00702ACD">
        <w:rPr>
          <w:lang w:val="en-US"/>
        </w:rPr>
        <w:t>PLTs are gated based on their light scatter properties (FSC and SSC) and on the expression of CD42b (PE channel)</w:t>
      </w:r>
      <w:r w:rsidR="00134D3B" w:rsidRPr="00702ACD">
        <w:rPr>
          <w:lang w:val="en-US"/>
        </w:rPr>
        <w:t xml:space="preserve"> (</w:t>
      </w:r>
      <w:r w:rsidR="00134D3B" w:rsidRPr="00702ACD">
        <w:rPr>
          <w:b/>
          <w:bCs/>
          <w:lang w:val="en-US"/>
        </w:rPr>
        <w:t>Figure 2</w:t>
      </w:r>
      <w:r w:rsidR="00134D3B" w:rsidRPr="00702ACD">
        <w:rPr>
          <w:lang w:val="en-US"/>
        </w:rPr>
        <w:t>)</w:t>
      </w:r>
      <w:r w:rsidRPr="00702ACD">
        <w:rPr>
          <w:lang w:val="en-US"/>
        </w:rPr>
        <w:t xml:space="preserve">. </w:t>
      </w:r>
    </w:p>
    <w:p w:rsidR="00F84CD8" w:rsidRPr="00702ACD" w:rsidRDefault="001A1181" w:rsidP="001A1181">
      <w:pPr>
        <w:rPr>
          <w:lang w:val="en-US"/>
        </w:rPr>
      </w:pPr>
      <w:r w:rsidRPr="00702ACD">
        <w:rPr>
          <w:lang w:val="en-US"/>
        </w:rPr>
        <w:t>Fluorescence intensity in the FITC channel is used evaluate the expression of activated GPIIb/IIIa receptor, either directly (as identified by the PA</w:t>
      </w:r>
      <w:r w:rsidR="008A54E8" w:rsidRPr="00702ACD">
        <w:rPr>
          <w:lang w:val="en-US"/>
        </w:rPr>
        <w:t>C</w:t>
      </w:r>
      <w:r w:rsidRPr="00702ACD">
        <w:rPr>
          <w:lang w:val="en-US"/>
        </w:rPr>
        <w:t xml:space="preserve">-1 mAb), or indirectly (using the bFG mAb). </w:t>
      </w:r>
    </w:p>
    <w:p w:rsidR="00F84CD8" w:rsidRPr="00702ACD" w:rsidRDefault="001A1181" w:rsidP="001A1181">
      <w:pPr>
        <w:rPr>
          <w:lang w:val="en-US"/>
        </w:rPr>
      </w:pPr>
      <w:r w:rsidRPr="00702ACD">
        <w:rPr>
          <w:lang w:val="en-US"/>
        </w:rPr>
        <w:t>The level of PE fluorescence emitted by the PLTs allows to estimate the level of PLT activation in the sample.</w:t>
      </w:r>
    </w:p>
    <w:p w:rsidR="001A1181" w:rsidRPr="00702ACD" w:rsidRDefault="001A1181" w:rsidP="001A1181">
      <w:pPr>
        <w:rPr>
          <w:lang w:val="en-US"/>
        </w:rPr>
      </w:pPr>
      <w:r w:rsidRPr="00702ACD">
        <w:rPr>
          <w:lang w:val="en-US"/>
        </w:rPr>
        <w:t xml:space="preserve">The inhibitory tube (EDTA) is used as a negative control to discriminate between activated and non-activated platelets. </w:t>
      </w:r>
    </w:p>
    <w:p w:rsidR="001A1181" w:rsidRPr="00702ACD" w:rsidRDefault="001A1181" w:rsidP="00247B90">
      <w:pPr>
        <w:pStyle w:val="Ttulo4"/>
        <w:rPr>
          <w:lang w:val="en-US"/>
        </w:rPr>
      </w:pPr>
      <w:r w:rsidRPr="00702ACD">
        <w:rPr>
          <w:lang w:val="en-US"/>
        </w:rPr>
        <w:t>Expression of results</w:t>
      </w:r>
    </w:p>
    <w:p w:rsidR="00F84CD8" w:rsidRPr="00702ACD" w:rsidRDefault="001A1181" w:rsidP="00F84CD8">
      <w:pPr>
        <w:pStyle w:val="Ttulo5"/>
        <w:rPr>
          <w:lang w:val="en-US"/>
        </w:rPr>
      </w:pPr>
      <w:r w:rsidRPr="00702ACD">
        <w:rPr>
          <w:lang w:val="en-US"/>
        </w:rPr>
        <w:t>Expressing platelet activation using the Platelet Activation Index</w:t>
      </w:r>
    </w:p>
    <w:p w:rsidR="00F84CD8" w:rsidRPr="00702ACD" w:rsidRDefault="001A1181" w:rsidP="001A1181">
      <w:pPr>
        <w:rPr>
          <w:lang w:val="en-US"/>
        </w:rPr>
      </w:pPr>
      <w:r w:rsidRPr="00702ACD">
        <w:rPr>
          <w:lang w:val="en-US"/>
        </w:rPr>
        <w:t>Platelet activation is evaluated by calculating the Platelet Activation Index (PAI) expressed as fold increase in the MFI obtained for a given activation-related molecule (PAC-1 or bFG) in the test tubes (i.e., basal conditions, ADP-stimulated, and TRAP-6-stimulated), comparatively to the MFI obtained in the corresponding inhibitory conditions (EDTA tubes): (MFI test tube - MFI inhibitory tube) / MFI inhibitory tube</w:t>
      </w:r>
      <w:r w:rsidRPr="00702ACD">
        <w:rPr>
          <w:rFonts w:ascii="Arial Narrow" w:hAnsi="Arial Narrow"/>
          <w:lang w:val="en-US"/>
        </w:rPr>
        <w:t xml:space="preserve">. </w:t>
      </w:r>
    </w:p>
    <w:p w:rsidR="001A1181" w:rsidRPr="00702ACD" w:rsidRDefault="00F84CD8" w:rsidP="001A1181">
      <w:pPr>
        <w:rPr>
          <w:rFonts w:ascii="Arial Narrow" w:hAnsi="Arial Narrow"/>
          <w:lang w:val="en-US"/>
        </w:rPr>
      </w:pPr>
      <w:r w:rsidRPr="00702ACD">
        <w:rPr>
          <w:lang w:val="en-US"/>
        </w:rPr>
        <w:t>F</w:t>
      </w:r>
      <w:r w:rsidR="001A1181" w:rsidRPr="00702ACD">
        <w:rPr>
          <w:lang w:val="en-US"/>
        </w:rPr>
        <w:t xml:space="preserve">or each case studied, six PAIs are calculated: two for basal conditions (BAS/PAC-1 and BAS/bFG), two for stimulation with ADP (ADP/PAC-1 and ADP/bFG), and another two for stimulation with TRAP-6 (TRAP-6/PAC-1 and TRAP-6/bFG). </w:t>
      </w:r>
    </w:p>
    <w:p w:rsidR="00F84CD8" w:rsidRPr="00702ACD" w:rsidRDefault="001A1181" w:rsidP="00F84CD8">
      <w:pPr>
        <w:pStyle w:val="Ttulo5"/>
        <w:rPr>
          <w:lang w:val="en-US"/>
        </w:rPr>
      </w:pPr>
      <w:r w:rsidRPr="00702ACD">
        <w:rPr>
          <w:lang w:val="en-US"/>
        </w:rPr>
        <w:t>Expressing PLT activation as % of the normal values</w:t>
      </w:r>
    </w:p>
    <w:p w:rsidR="001A1181" w:rsidRDefault="001A1181" w:rsidP="001A1181">
      <w:pPr>
        <w:rPr>
          <w:lang w:val="en-US"/>
        </w:rPr>
      </w:pPr>
      <w:r w:rsidRPr="00702ACD">
        <w:rPr>
          <w:lang w:val="en-US"/>
        </w:rPr>
        <w:t>In addition, the expression of the activation related markers (PAC-1 or bFG) in patients´ PLTs is compared to that observed in healthy controls, by calculating the ratio between the MFI obtained in each patient and the mean MFI obtained in controls processed in the same conditions, expressed as percentage of the normal values (MFI of patient / mean MFI of controls*100).</w:t>
      </w:r>
    </w:p>
    <w:p w:rsidR="00F84CD8" w:rsidRDefault="00F84CD8" w:rsidP="00247B90">
      <w:pPr>
        <w:pStyle w:val="Ttulo4"/>
        <w:rPr>
          <w:lang w:val="en-GB"/>
        </w:rPr>
      </w:pPr>
      <w:r>
        <w:rPr>
          <w:lang w:val="en-GB"/>
        </w:rPr>
        <w:br w:type="page"/>
      </w:r>
    </w:p>
    <w:p w:rsidR="00134D3B" w:rsidRPr="007A18BD" w:rsidRDefault="00134D3B" w:rsidP="00134D3B">
      <w:pPr>
        <w:spacing w:after="0" w:line="240" w:lineRule="auto"/>
        <w:rPr>
          <w:sz w:val="18"/>
          <w:szCs w:val="18"/>
          <w:lang w:val="en-GB"/>
        </w:rPr>
      </w:pPr>
    </w:p>
    <w:p w:rsidR="00134D3B" w:rsidRPr="007A18BD" w:rsidRDefault="00134D3B" w:rsidP="00134D3B">
      <w:pPr>
        <w:spacing w:after="0" w:line="240" w:lineRule="auto"/>
        <w:rPr>
          <w:sz w:val="18"/>
          <w:szCs w:val="18"/>
          <w:lang w:val="en-GB"/>
        </w:rPr>
      </w:pPr>
    </w:p>
    <w:p w:rsidR="00134D3B" w:rsidRDefault="00134D3B" w:rsidP="00134D3B">
      <w:pPr>
        <w:rPr>
          <w:lang w:val="en-US"/>
        </w:rPr>
      </w:pPr>
      <w:r w:rsidRPr="008A54E8">
        <w:rPr>
          <w:noProof/>
          <w:lang w:val="en-US"/>
        </w:rPr>
        <w:drawing>
          <wp:inline distT="0" distB="0" distL="0" distR="0" wp14:anchorId="685C9C04" wp14:editId="43DA3339">
            <wp:extent cx="6043885" cy="7654637"/>
            <wp:effectExtent l="0" t="0" r="0" b="381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48719" cy="7660760"/>
                    </a:xfrm>
                    <a:prstGeom prst="rect">
                      <a:avLst/>
                    </a:prstGeom>
                    <a:noFill/>
                    <a:ln>
                      <a:noFill/>
                    </a:ln>
                  </pic:spPr>
                </pic:pic>
              </a:graphicData>
            </a:graphic>
          </wp:inline>
        </w:drawing>
      </w:r>
    </w:p>
    <w:p w:rsidR="00134D3B" w:rsidRPr="008A54E8" w:rsidRDefault="00134D3B" w:rsidP="00134D3B">
      <w:pPr>
        <w:pStyle w:val="Legenda"/>
        <w:rPr>
          <w:lang w:val="en-US"/>
        </w:rPr>
      </w:pPr>
      <w:r w:rsidRPr="00134D3B">
        <w:rPr>
          <w:b/>
          <w:bCs/>
          <w:lang w:val="en-US"/>
        </w:rPr>
        <w:t xml:space="preserve">Figure </w:t>
      </w:r>
      <w:r w:rsidRPr="00134D3B">
        <w:rPr>
          <w:b/>
          <w:bCs/>
          <w:lang w:val="en-US"/>
        </w:rPr>
        <w:fldChar w:fldCharType="begin"/>
      </w:r>
      <w:r w:rsidRPr="00134D3B">
        <w:rPr>
          <w:b/>
          <w:bCs/>
          <w:lang w:val="en-US"/>
        </w:rPr>
        <w:instrText xml:space="preserve"> SEQ Figure \* ARABIC </w:instrText>
      </w:r>
      <w:r w:rsidRPr="00134D3B">
        <w:rPr>
          <w:b/>
          <w:bCs/>
          <w:lang w:val="en-US"/>
        </w:rPr>
        <w:fldChar w:fldCharType="separate"/>
      </w:r>
      <w:r w:rsidRPr="00134D3B">
        <w:rPr>
          <w:b/>
          <w:bCs/>
          <w:noProof/>
          <w:lang w:val="en-US"/>
        </w:rPr>
        <w:t>2</w:t>
      </w:r>
      <w:r w:rsidRPr="00134D3B">
        <w:rPr>
          <w:b/>
          <w:bCs/>
          <w:lang w:val="en-US"/>
        </w:rPr>
        <w:fldChar w:fldCharType="end"/>
      </w:r>
      <w:r w:rsidRPr="00134D3B">
        <w:rPr>
          <w:b/>
          <w:bCs/>
          <w:lang w:val="en-US"/>
        </w:rPr>
        <w:t>.</w:t>
      </w:r>
      <w:r w:rsidRPr="00967A61">
        <w:rPr>
          <w:lang w:val="en-US"/>
        </w:rPr>
        <w:t xml:space="preserve"> Dot plots and histograms illustrating a typical PLT activation experiment using TRAP-6 as agonist. Platelets are</w:t>
      </w:r>
      <w:r>
        <w:rPr>
          <w:lang w:val="en-US"/>
        </w:rPr>
        <w:t xml:space="preserve"> selected based on their FSC and SSC, and on the expression of CD42b (FL2) (first row) and then analyzed for the expression of PAC-1 (second row) and bFG (third row) epitopes on the PLT surface (FL1) under A) inhibitory (EDTA); B) basal / unstimulated (PBS) and C) stimulatory (TRAP-6, 20 </w:t>
      </w:r>
      <w:r>
        <w:rPr>
          <w:rFonts w:cs="Arial"/>
          <w:lang w:val="en-US"/>
        </w:rPr>
        <w:t>µ</w:t>
      </w:r>
      <w:r>
        <w:rPr>
          <w:lang w:val="en-US"/>
        </w:rPr>
        <w:t>M) conditions, respectively. FITC conjugated isotype matched mAb with irrelevant specificity are used as negative control (fourth row). Numbers inside the histograms indicate the median fluorescence intensity in FL1 channel.</w:t>
      </w:r>
    </w:p>
    <w:p w:rsidR="00FC5CD0" w:rsidRDefault="00FC5CD0" w:rsidP="00247B90">
      <w:pPr>
        <w:pStyle w:val="Ttulo4"/>
        <w:rPr>
          <w:lang w:val="en-GB"/>
        </w:rPr>
      </w:pPr>
      <w:r>
        <w:rPr>
          <w:lang w:val="en-GB"/>
        </w:rPr>
        <w:lastRenderedPageBreak/>
        <w:t>Expected results</w:t>
      </w:r>
    </w:p>
    <w:p w:rsidR="00FC5CD0" w:rsidRDefault="00FC5CD0" w:rsidP="00134D3B">
      <w:pPr>
        <w:pBdr>
          <w:top w:val="single" w:sz="4" w:space="1" w:color="auto"/>
          <w:left w:val="single" w:sz="4" w:space="4" w:color="auto"/>
          <w:bottom w:val="single" w:sz="4" w:space="1" w:color="auto"/>
          <w:right w:val="single" w:sz="4" w:space="4" w:color="auto"/>
        </w:pBdr>
        <w:spacing w:after="0" w:line="240" w:lineRule="auto"/>
        <w:rPr>
          <w:i/>
          <w:iCs/>
          <w:lang w:val="en-US"/>
        </w:rPr>
      </w:pPr>
      <w:r w:rsidRPr="00825B2D">
        <w:rPr>
          <w:i/>
          <w:iCs/>
          <w:u w:val="single"/>
          <w:lang w:val="en-US"/>
        </w:rPr>
        <w:t>Comments</w:t>
      </w:r>
      <w:r w:rsidRPr="00825B2D">
        <w:rPr>
          <w:i/>
          <w:iCs/>
          <w:lang w:val="en-US"/>
        </w:rPr>
        <w:t xml:space="preserve"> </w:t>
      </w:r>
    </w:p>
    <w:p w:rsidR="00FC5CD0" w:rsidRDefault="00FC5CD0" w:rsidP="007B0EF5">
      <w:pPr>
        <w:pBdr>
          <w:top w:val="single" w:sz="4" w:space="1" w:color="auto"/>
          <w:left w:val="single" w:sz="4" w:space="4" w:color="auto"/>
          <w:bottom w:val="single" w:sz="4" w:space="1" w:color="auto"/>
          <w:right w:val="single" w:sz="4" w:space="4" w:color="auto"/>
        </w:pBdr>
        <w:spacing w:after="0" w:line="240" w:lineRule="auto"/>
        <w:rPr>
          <w:i/>
          <w:iCs/>
          <w:lang w:val="en-US"/>
        </w:rPr>
      </w:pPr>
      <w:r>
        <w:rPr>
          <w:i/>
          <w:iCs/>
          <w:lang w:val="en-US"/>
        </w:rPr>
        <w:t xml:space="preserve">Previous studies have demonstrated gender and age influence in PLT activation responses as evaluated by FCM, with PLT </w:t>
      </w:r>
      <w:r w:rsidRPr="00825B2D">
        <w:rPr>
          <w:i/>
          <w:iCs/>
          <w:lang w:val="en-US"/>
        </w:rPr>
        <w:t xml:space="preserve">activation in response to ADP </w:t>
      </w:r>
      <w:r>
        <w:rPr>
          <w:i/>
          <w:iCs/>
          <w:lang w:val="en-US"/>
        </w:rPr>
        <w:t>being</w:t>
      </w:r>
      <w:r w:rsidRPr="00825B2D">
        <w:rPr>
          <w:i/>
          <w:iCs/>
          <w:lang w:val="en-US"/>
        </w:rPr>
        <w:t xml:space="preserve"> higher in women</w:t>
      </w:r>
      <w:r>
        <w:rPr>
          <w:i/>
          <w:iCs/>
          <w:lang w:val="en-US"/>
        </w:rPr>
        <w:t xml:space="preserve"> than in men and increasing with age. In our study we did evaluate the effect of these parameters.</w:t>
      </w:r>
    </w:p>
    <w:p w:rsidR="00FC5CD0" w:rsidRPr="00825B2D" w:rsidRDefault="00FC5CD0" w:rsidP="007B0EF5">
      <w:pPr>
        <w:pBdr>
          <w:top w:val="single" w:sz="4" w:space="1" w:color="auto"/>
          <w:left w:val="single" w:sz="4" w:space="4" w:color="auto"/>
          <w:bottom w:val="single" w:sz="4" w:space="1" w:color="auto"/>
          <w:right w:val="single" w:sz="4" w:space="4" w:color="auto"/>
        </w:pBdr>
        <w:spacing w:after="0" w:line="240" w:lineRule="auto"/>
        <w:rPr>
          <w:i/>
          <w:iCs/>
          <w:lang w:val="en-US"/>
        </w:rPr>
      </w:pPr>
      <w:r w:rsidRPr="00825B2D">
        <w:rPr>
          <w:i/>
          <w:iCs/>
          <w:lang w:val="en-US"/>
        </w:rPr>
        <w:t>Each laboratory should validate these reference intervals using their specific experimental conditions.</w:t>
      </w:r>
    </w:p>
    <w:p w:rsidR="00FC5CD0" w:rsidRDefault="00FC5CD0" w:rsidP="00247B90">
      <w:pPr>
        <w:pStyle w:val="Ttulo5"/>
        <w:rPr>
          <w:lang w:val="en-GB"/>
        </w:rPr>
      </w:pPr>
      <w:r>
        <w:rPr>
          <w:lang w:val="en-GB"/>
        </w:rPr>
        <w:t>Normal Reference Values</w:t>
      </w:r>
    </w:p>
    <w:p w:rsidR="00FC5CD0" w:rsidRDefault="00FC5CD0" w:rsidP="00FC5CD0">
      <w:pPr>
        <w:rPr>
          <w:lang w:val="en-GB"/>
        </w:rPr>
      </w:pPr>
      <w:r>
        <w:rPr>
          <w:lang w:val="en-GB"/>
        </w:rPr>
        <w:t>A total of 2</w:t>
      </w:r>
      <w:r w:rsidR="004B4892">
        <w:rPr>
          <w:lang w:val="en-GB"/>
        </w:rPr>
        <w:t>6</w:t>
      </w:r>
      <w:r>
        <w:rPr>
          <w:lang w:val="en-GB"/>
        </w:rPr>
        <w:t xml:space="preserve"> control PB samples (healthy adults, blood donors) were studied till the moment, including the 12 PB samples studied in parallel with GTLS patients described in the present work (</w:t>
      </w:r>
      <w:r w:rsidRPr="00134D3B">
        <w:rPr>
          <w:b/>
          <w:bCs/>
          <w:highlight w:val="lightGray"/>
          <w:lang w:val="en-GB"/>
        </w:rPr>
        <w:t>Table 2</w:t>
      </w:r>
      <w:r>
        <w:rPr>
          <w:lang w:val="en-GB"/>
        </w:rPr>
        <w:t xml:space="preserve">). </w:t>
      </w:r>
    </w:p>
    <w:p w:rsidR="00DD763B" w:rsidRDefault="00AE4B61" w:rsidP="00FC5CD0">
      <w:pPr>
        <w:rPr>
          <w:lang w:val="en-GB"/>
        </w:rPr>
      </w:pPr>
      <w:r>
        <w:rPr>
          <w:lang w:val="en-GB"/>
        </w:rPr>
        <w:t>Two</w:t>
      </w:r>
      <w:r w:rsidR="00FC5CD0">
        <w:rPr>
          <w:lang w:val="en-GB"/>
        </w:rPr>
        <w:t xml:space="preserve"> of the 2</w:t>
      </w:r>
      <w:r w:rsidR="004B4892">
        <w:rPr>
          <w:lang w:val="en-GB"/>
        </w:rPr>
        <w:t>6</w:t>
      </w:r>
      <w:r w:rsidR="00FC5CD0">
        <w:rPr>
          <w:lang w:val="en-GB"/>
        </w:rPr>
        <w:t xml:space="preserve"> healthy controls (</w:t>
      </w:r>
      <w:r w:rsidR="00FC5D1C">
        <w:rPr>
          <w:lang w:val="en-GB"/>
        </w:rPr>
        <w:t>8</w:t>
      </w:r>
      <w:r w:rsidR="00FC5CD0">
        <w:rPr>
          <w:lang w:val="en-GB"/>
        </w:rPr>
        <w:t xml:space="preserve">%) had evidence of PLT activation in unstimulated </w:t>
      </w:r>
      <w:r w:rsidR="00FC5D1C">
        <w:rPr>
          <w:lang w:val="en-GB"/>
        </w:rPr>
        <w:t xml:space="preserve">(basal) </w:t>
      </w:r>
      <w:r w:rsidR="00FC5CD0">
        <w:rPr>
          <w:lang w:val="en-GB"/>
        </w:rPr>
        <w:t>conditions</w:t>
      </w:r>
      <w:r w:rsidR="00FC5D1C">
        <w:rPr>
          <w:lang w:val="en-GB"/>
        </w:rPr>
        <w:t xml:space="preserve"> when evaluated by PAC-1 binding</w:t>
      </w:r>
      <w:r w:rsidR="00FC5CD0">
        <w:rPr>
          <w:lang w:val="en-GB"/>
        </w:rPr>
        <w:t>, having basal PAI</w:t>
      </w:r>
      <w:r w:rsidR="00DD763B">
        <w:rPr>
          <w:lang w:val="en-GB"/>
        </w:rPr>
        <w:t xml:space="preserve"> values</w:t>
      </w:r>
      <w:r w:rsidR="00FC5CD0">
        <w:rPr>
          <w:lang w:val="en-GB"/>
        </w:rPr>
        <w:t xml:space="preserve"> of 26</w:t>
      </w:r>
      <w:r>
        <w:rPr>
          <w:lang w:val="en-GB"/>
        </w:rPr>
        <w:t xml:space="preserve"> and</w:t>
      </w:r>
      <w:r w:rsidR="00FC5CD0">
        <w:rPr>
          <w:lang w:val="en-GB"/>
        </w:rPr>
        <w:t xml:space="preserve"> 37</w:t>
      </w:r>
      <w:r w:rsidR="00FC5D1C">
        <w:rPr>
          <w:lang w:val="en-GB"/>
        </w:rPr>
        <w:t xml:space="preserve"> in TRAP-6 experiments and of 17 and 44 in ADP experiments</w:t>
      </w:r>
      <w:r w:rsidR="00FC5CD0">
        <w:rPr>
          <w:lang w:val="en-GB"/>
        </w:rPr>
        <w:t xml:space="preserve">, respectively, comparatively of median PAI values of </w:t>
      </w:r>
      <w:r>
        <w:rPr>
          <w:lang w:val="en-GB"/>
        </w:rPr>
        <w:t>2</w:t>
      </w:r>
      <w:r w:rsidR="00FC5CD0">
        <w:rPr>
          <w:lang w:val="en-GB"/>
        </w:rPr>
        <w:t xml:space="preserve">, </w:t>
      </w:r>
      <w:r w:rsidR="00FC5D1C">
        <w:rPr>
          <w:lang w:val="en-GB"/>
        </w:rPr>
        <w:t xml:space="preserve">ranging from 1 to 9 in TRAP-6 experiments and from 1 to 12 in ADP experiments, </w:t>
      </w:r>
      <w:r w:rsidR="00FC5CD0">
        <w:rPr>
          <w:lang w:val="en-GB"/>
        </w:rPr>
        <w:t>observed in the remaining 2</w:t>
      </w:r>
      <w:r>
        <w:rPr>
          <w:lang w:val="en-GB"/>
        </w:rPr>
        <w:t>4</w:t>
      </w:r>
      <w:r w:rsidR="00FC5CD0">
        <w:rPr>
          <w:lang w:val="en-GB"/>
        </w:rPr>
        <w:t xml:space="preserve"> healthy controls.</w:t>
      </w:r>
      <w:r w:rsidR="00FC5D1C">
        <w:rPr>
          <w:lang w:val="en-GB"/>
        </w:rPr>
        <w:t xml:space="preserve"> </w:t>
      </w:r>
    </w:p>
    <w:p w:rsidR="00FC5CD0" w:rsidRDefault="00FC5D1C" w:rsidP="00FC5CD0">
      <w:pPr>
        <w:rPr>
          <w:lang w:val="en-GB"/>
        </w:rPr>
      </w:pPr>
      <w:r>
        <w:rPr>
          <w:lang w:val="en-GB"/>
        </w:rPr>
        <w:t>None of the healthy controls had evidence of PLT activation in unstimulated (basal) conditions when evaluated by the expression of bFG on the PLT surface.</w:t>
      </w:r>
    </w:p>
    <w:p w:rsidR="00FA5021" w:rsidRDefault="00645180" w:rsidP="00084CAD">
      <w:pPr>
        <w:rPr>
          <w:lang w:val="en-US"/>
        </w:rPr>
      </w:pPr>
      <w:r>
        <w:rPr>
          <w:lang w:val="en-US"/>
        </w:rPr>
        <w:t>The c</w:t>
      </w:r>
      <w:r w:rsidR="00084CAD" w:rsidRPr="006E6567">
        <w:rPr>
          <w:lang w:val="en-US"/>
        </w:rPr>
        <w:t>ut-off values</w:t>
      </w:r>
      <w:r w:rsidR="00084CAD">
        <w:rPr>
          <w:lang w:val="en-US"/>
        </w:rPr>
        <w:t xml:space="preserve"> </w:t>
      </w:r>
      <w:r>
        <w:rPr>
          <w:lang w:val="en-US"/>
        </w:rPr>
        <w:t xml:space="preserve">used </w:t>
      </w:r>
      <w:r w:rsidR="00084CAD" w:rsidRPr="006E6567">
        <w:rPr>
          <w:lang w:val="en-US"/>
        </w:rPr>
        <w:t>to discriminate normal from abnormal r</w:t>
      </w:r>
      <w:r w:rsidR="00084CAD">
        <w:rPr>
          <w:lang w:val="en-US"/>
        </w:rPr>
        <w:t>esults</w:t>
      </w:r>
      <w:r w:rsidR="00084CAD" w:rsidRPr="006E6567">
        <w:rPr>
          <w:lang w:val="en-US"/>
        </w:rPr>
        <w:t xml:space="preserve"> </w:t>
      </w:r>
      <w:r>
        <w:rPr>
          <w:lang w:val="en-US"/>
        </w:rPr>
        <w:t>are presented below and a</w:t>
      </w:r>
      <w:r w:rsidR="00084CAD" w:rsidRPr="006E6567">
        <w:rPr>
          <w:lang w:val="en-US"/>
        </w:rPr>
        <w:t>re based on the 5th-95th percentile of the</w:t>
      </w:r>
      <w:r w:rsidR="00084CAD">
        <w:rPr>
          <w:lang w:val="en-US"/>
        </w:rPr>
        <w:t xml:space="preserve"> results</w:t>
      </w:r>
      <w:r>
        <w:rPr>
          <w:lang w:val="en-US"/>
        </w:rPr>
        <w:t xml:space="preserve"> for PAI and % of NV</w:t>
      </w:r>
      <w:r w:rsidR="00084CAD">
        <w:rPr>
          <w:lang w:val="en-US"/>
        </w:rPr>
        <w:t xml:space="preserve"> obtained in the</w:t>
      </w:r>
      <w:r w:rsidR="00084CAD" w:rsidRPr="006E6567">
        <w:rPr>
          <w:lang w:val="en-US"/>
        </w:rPr>
        <w:t xml:space="preserve"> </w:t>
      </w:r>
      <w:r w:rsidR="00084CAD">
        <w:rPr>
          <w:lang w:val="en-US"/>
        </w:rPr>
        <w:t xml:space="preserve">26 </w:t>
      </w:r>
      <w:r w:rsidR="00084CAD" w:rsidRPr="006E6567">
        <w:rPr>
          <w:lang w:val="en-US"/>
        </w:rPr>
        <w:t xml:space="preserve">healthy controls </w:t>
      </w:r>
      <w:r w:rsidR="00084CAD">
        <w:rPr>
          <w:lang w:val="en-US"/>
        </w:rPr>
        <w:t>studied</w:t>
      </w:r>
      <w:r w:rsidR="00092AB4">
        <w:rPr>
          <w:lang w:val="en-US"/>
        </w:rPr>
        <w:t>, in TRAP-6 or ADP experiments, when PLT activation was evaluated using anti-PAC-1 or anti-bFG mAbs, respectively</w:t>
      </w:r>
      <w:r w:rsidR="00FA5021">
        <w:rPr>
          <w:lang w:val="en-US"/>
        </w:rPr>
        <w:t xml:space="preserve"> (</w:t>
      </w:r>
      <w:r w:rsidR="00FA5021" w:rsidRPr="00134D3B">
        <w:rPr>
          <w:b/>
          <w:bCs/>
          <w:highlight w:val="lightGray"/>
          <w:lang w:val="en-US"/>
        </w:rPr>
        <w:t>Table 2</w:t>
      </w:r>
      <w:r w:rsidR="00FA5021">
        <w:rPr>
          <w:lang w:val="en-US"/>
        </w:rPr>
        <w:t>)</w:t>
      </w:r>
      <w:r w:rsidR="00084CAD" w:rsidRPr="006E6567">
        <w:rPr>
          <w:lang w:val="en-US"/>
        </w:rPr>
        <w:t>.</w:t>
      </w:r>
    </w:p>
    <w:p w:rsidR="00164771" w:rsidRPr="0013685F" w:rsidRDefault="00164771" w:rsidP="0013685F">
      <w:pPr>
        <w:pStyle w:val="PargrafodaLista"/>
        <w:numPr>
          <w:ilvl w:val="0"/>
          <w:numId w:val="27"/>
        </w:numPr>
        <w:spacing w:after="0"/>
        <w:rPr>
          <w:lang w:val="en-US"/>
        </w:rPr>
      </w:pPr>
      <w:r w:rsidRPr="0013685F">
        <w:rPr>
          <w:lang w:val="en-US"/>
        </w:rPr>
        <w:t xml:space="preserve">Decreased PLT activation in response to </w:t>
      </w:r>
      <w:r w:rsidR="0013685F" w:rsidRPr="0013685F">
        <w:rPr>
          <w:lang w:val="en-US"/>
        </w:rPr>
        <w:t>TRAP-6</w:t>
      </w:r>
      <w:r w:rsidR="0013685F">
        <w:rPr>
          <w:lang w:val="en-US"/>
        </w:rPr>
        <w:t xml:space="preserve"> (20 </w:t>
      </w:r>
      <w:r w:rsidR="0013685F">
        <w:rPr>
          <w:rFonts w:cs="Arial"/>
          <w:lang w:val="en-US"/>
        </w:rPr>
        <w:t>µ</w:t>
      </w:r>
      <w:r w:rsidR="0013685F">
        <w:rPr>
          <w:lang w:val="en-US"/>
        </w:rPr>
        <w:t>M):</w:t>
      </w:r>
    </w:p>
    <w:p w:rsidR="00FA5021" w:rsidRPr="0013685F" w:rsidRDefault="0013685F" w:rsidP="0013685F">
      <w:pPr>
        <w:pStyle w:val="PargrafodaLista"/>
        <w:numPr>
          <w:ilvl w:val="1"/>
          <w:numId w:val="27"/>
        </w:numPr>
        <w:spacing w:after="0"/>
        <w:rPr>
          <w:lang w:val="en-US"/>
        </w:rPr>
      </w:pPr>
      <w:r w:rsidRPr="0013685F">
        <w:rPr>
          <w:lang w:val="en-US"/>
        </w:rPr>
        <w:t>E</w:t>
      </w:r>
      <w:r w:rsidR="00FA5021" w:rsidRPr="0013685F">
        <w:rPr>
          <w:lang w:val="en-US"/>
        </w:rPr>
        <w:t>valuation with anti-PAC-1</w:t>
      </w:r>
      <w:r w:rsidRPr="0013685F">
        <w:rPr>
          <w:lang w:val="en-US"/>
        </w:rPr>
        <w:t xml:space="preserve">: </w:t>
      </w:r>
      <w:r w:rsidR="00FA5021" w:rsidRPr="0013685F">
        <w:rPr>
          <w:lang w:val="en-US"/>
        </w:rPr>
        <w:t>PAI &lt;</w:t>
      </w:r>
      <w:r w:rsidR="00E317D5" w:rsidRPr="0013685F">
        <w:rPr>
          <w:lang w:val="en-US"/>
        </w:rPr>
        <w:t>73</w:t>
      </w:r>
      <w:r w:rsidR="00FA5021" w:rsidRPr="0013685F">
        <w:rPr>
          <w:lang w:val="en-US"/>
        </w:rPr>
        <w:t>; %NV &lt;7</w:t>
      </w:r>
      <w:r w:rsidR="00E317D5" w:rsidRPr="0013685F">
        <w:rPr>
          <w:lang w:val="en-US"/>
        </w:rPr>
        <w:t>3</w:t>
      </w:r>
      <w:r w:rsidR="00FA5021" w:rsidRPr="0013685F">
        <w:rPr>
          <w:lang w:val="en-US"/>
        </w:rPr>
        <w:t>%</w:t>
      </w:r>
    </w:p>
    <w:p w:rsidR="00FA5021" w:rsidRPr="0013685F" w:rsidRDefault="0013685F" w:rsidP="0013685F">
      <w:pPr>
        <w:pStyle w:val="PargrafodaLista"/>
        <w:numPr>
          <w:ilvl w:val="1"/>
          <w:numId w:val="27"/>
        </w:numPr>
        <w:spacing w:after="0"/>
        <w:rPr>
          <w:lang w:val="en-US"/>
        </w:rPr>
      </w:pPr>
      <w:r w:rsidRPr="0013685F">
        <w:rPr>
          <w:lang w:val="en-US"/>
        </w:rPr>
        <w:t>E</w:t>
      </w:r>
      <w:r w:rsidR="00FA5021" w:rsidRPr="0013685F">
        <w:rPr>
          <w:lang w:val="en-US"/>
        </w:rPr>
        <w:t>valuation with anti-bFG</w:t>
      </w:r>
      <w:r w:rsidRPr="0013685F">
        <w:rPr>
          <w:lang w:val="en-US"/>
        </w:rPr>
        <w:t xml:space="preserve">: </w:t>
      </w:r>
      <w:r w:rsidR="00FA5021" w:rsidRPr="0013685F">
        <w:rPr>
          <w:lang w:val="en-US"/>
        </w:rPr>
        <w:t>PAI &lt;7; %NV &lt;</w:t>
      </w:r>
      <w:r w:rsidR="00E317D5" w:rsidRPr="0013685F">
        <w:rPr>
          <w:lang w:val="en-US"/>
        </w:rPr>
        <w:t>4</w:t>
      </w:r>
      <w:r w:rsidRPr="0013685F">
        <w:rPr>
          <w:lang w:val="en-US"/>
        </w:rPr>
        <w:t>2%</w:t>
      </w:r>
    </w:p>
    <w:p w:rsidR="0013685F" w:rsidRPr="0013685F" w:rsidRDefault="0013685F" w:rsidP="0013685F">
      <w:pPr>
        <w:pStyle w:val="PargrafodaLista"/>
        <w:numPr>
          <w:ilvl w:val="0"/>
          <w:numId w:val="27"/>
        </w:numPr>
        <w:spacing w:after="0"/>
        <w:rPr>
          <w:lang w:val="en-US"/>
        </w:rPr>
      </w:pPr>
      <w:r w:rsidRPr="0013685F">
        <w:rPr>
          <w:lang w:val="en-US"/>
        </w:rPr>
        <w:t>Decreased PLT activation in response to ADP</w:t>
      </w:r>
      <w:r>
        <w:rPr>
          <w:lang w:val="en-US"/>
        </w:rPr>
        <w:t xml:space="preserve"> (10 </w:t>
      </w:r>
      <w:r>
        <w:rPr>
          <w:rFonts w:cs="Arial"/>
          <w:lang w:val="en-US"/>
        </w:rPr>
        <w:t>µ</w:t>
      </w:r>
      <w:r>
        <w:rPr>
          <w:lang w:val="en-US"/>
        </w:rPr>
        <w:t>M):</w:t>
      </w:r>
    </w:p>
    <w:p w:rsidR="00FA5021" w:rsidRPr="0013685F" w:rsidRDefault="0013685F" w:rsidP="0013685F">
      <w:pPr>
        <w:pStyle w:val="PargrafodaLista"/>
        <w:numPr>
          <w:ilvl w:val="1"/>
          <w:numId w:val="27"/>
        </w:numPr>
        <w:spacing w:after="0"/>
        <w:rPr>
          <w:lang w:val="en-US"/>
        </w:rPr>
      </w:pPr>
      <w:r w:rsidRPr="0013685F">
        <w:rPr>
          <w:lang w:val="en-US"/>
        </w:rPr>
        <w:t>E</w:t>
      </w:r>
      <w:r w:rsidR="00FA5021" w:rsidRPr="0013685F">
        <w:rPr>
          <w:lang w:val="en-US"/>
        </w:rPr>
        <w:t>valuation with anti-PAC-1</w:t>
      </w:r>
      <w:r w:rsidRPr="0013685F">
        <w:rPr>
          <w:lang w:val="en-US"/>
        </w:rPr>
        <w:t xml:space="preserve">: </w:t>
      </w:r>
      <w:r w:rsidR="00FA5021" w:rsidRPr="0013685F">
        <w:rPr>
          <w:lang w:val="en-US"/>
        </w:rPr>
        <w:t>PAI &lt;7</w:t>
      </w:r>
      <w:r w:rsidR="00E317D5" w:rsidRPr="0013685F">
        <w:rPr>
          <w:lang w:val="en-US"/>
        </w:rPr>
        <w:t>2</w:t>
      </w:r>
      <w:r w:rsidR="00FA5021" w:rsidRPr="0013685F">
        <w:rPr>
          <w:lang w:val="en-US"/>
        </w:rPr>
        <w:t>; %NV &lt;</w:t>
      </w:r>
      <w:r w:rsidR="00E317D5" w:rsidRPr="0013685F">
        <w:rPr>
          <w:lang w:val="en-US"/>
        </w:rPr>
        <w:t>72</w:t>
      </w:r>
      <w:r w:rsidR="00FA5021" w:rsidRPr="0013685F">
        <w:rPr>
          <w:lang w:val="en-US"/>
        </w:rPr>
        <w:t>%</w:t>
      </w:r>
    </w:p>
    <w:p w:rsidR="00E317D5" w:rsidRPr="0013685F" w:rsidRDefault="0013685F" w:rsidP="0013685F">
      <w:pPr>
        <w:pStyle w:val="PargrafodaLista"/>
        <w:numPr>
          <w:ilvl w:val="1"/>
          <w:numId w:val="27"/>
        </w:numPr>
        <w:spacing w:after="0"/>
        <w:rPr>
          <w:lang w:val="en-US"/>
        </w:rPr>
      </w:pPr>
      <w:r w:rsidRPr="0013685F">
        <w:rPr>
          <w:lang w:val="en-US"/>
        </w:rPr>
        <w:t>E</w:t>
      </w:r>
      <w:r w:rsidR="00FA5021" w:rsidRPr="0013685F">
        <w:rPr>
          <w:lang w:val="en-US"/>
        </w:rPr>
        <w:t xml:space="preserve">valuated with </w:t>
      </w:r>
      <w:r w:rsidR="00E317D5" w:rsidRPr="0013685F">
        <w:rPr>
          <w:lang w:val="en-US"/>
        </w:rPr>
        <w:t>anti-bFG</w:t>
      </w:r>
      <w:r w:rsidRPr="0013685F">
        <w:rPr>
          <w:lang w:val="en-US"/>
        </w:rPr>
        <w:t xml:space="preserve">: </w:t>
      </w:r>
      <w:r w:rsidR="00E317D5" w:rsidRPr="0013685F">
        <w:rPr>
          <w:lang w:val="en-US"/>
        </w:rPr>
        <w:t>PAI &lt;11; %NV &lt;46%</w:t>
      </w:r>
    </w:p>
    <w:p w:rsidR="0013685F" w:rsidRDefault="0013685F" w:rsidP="0013685F">
      <w:pPr>
        <w:pStyle w:val="PargrafodaLista"/>
        <w:numPr>
          <w:ilvl w:val="0"/>
          <w:numId w:val="27"/>
        </w:numPr>
        <w:spacing w:after="0"/>
        <w:rPr>
          <w:lang w:val="en-US"/>
        </w:rPr>
      </w:pPr>
      <w:r>
        <w:rPr>
          <w:lang w:val="en-US"/>
        </w:rPr>
        <w:t>Increased PLT activation in basal conditions (no agonist):</w:t>
      </w:r>
    </w:p>
    <w:p w:rsidR="0013685F" w:rsidRDefault="0013685F" w:rsidP="00FA5021">
      <w:pPr>
        <w:pStyle w:val="PargrafodaLista"/>
        <w:numPr>
          <w:ilvl w:val="1"/>
          <w:numId w:val="27"/>
        </w:numPr>
        <w:spacing w:after="0"/>
        <w:rPr>
          <w:lang w:val="en-US"/>
        </w:rPr>
      </w:pPr>
      <w:r>
        <w:rPr>
          <w:lang w:val="en-US"/>
        </w:rPr>
        <w:t>E</w:t>
      </w:r>
      <w:r w:rsidR="00E317D5" w:rsidRPr="0013685F">
        <w:rPr>
          <w:lang w:val="en-US"/>
        </w:rPr>
        <w:t>valuat</w:t>
      </w:r>
      <w:r>
        <w:rPr>
          <w:lang w:val="en-US"/>
        </w:rPr>
        <w:t>ion</w:t>
      </w:r>
      <w:r w:rsidR="00E317D5" w:rsidRPr="0013685F">
        <w:rPr>
          <w:lang w:val="en-US"/>
        </w:rPr>
        <w:t xml:space="preserve"> with anti-PAC-1</w:t>
      </w:r>
      <w:r>
        <w:rPr>
          <w:lang w:val="en-US"/>
        </w:rPr>
        <w:t xml:space="preserve">: PAI </w:t>
      </w:r>
      <w:r w:rsidR="00E317D5" w:rsidRPr="0013685F">
        <w:rPr>
          <w:lang w:val="en-US"/>
        </w:rPr>
        <w:t>&gt;</w:t>
      </w:r>
      <w:r w:rsidR="00164771" w:rsidRPr="0013685F">
        <w:rPr>
          <w:lang w:val="en-US"/>
        </w:rPr>
        <w:t>1</w:t>
      </w:r>
      <w:r w:rsidR="00E317D5" w:rsidRPr="0013685F">
        <w:rPr>
          <w:lang w:val="en-US"/>
        </w:rPr>
        <w:t>9</w:t>
      </w:r>
      <w:r>
        <w:rPr>
          <w:lang w:val="en-US"/>
        </w:rPr>
        <w:t xml:space="preserve"> (TRAP-experiments); PAI </w:t>
      </w:r>
      <w:r w:rsidR="00164771" w:rsidRPr="0013685F">
        <w:rPr>
          <w:lang w:val="en-US"/>
        </w:rPr>
        <w:t>&gt;16</w:t>
      </w:r>
      <w:r>
        <w:rPr>
          <w:lang w:val="en-US"/>
        </w:rPr>
        <w:t xml:space="preserve"> </w:t>
      </w:r>
      <w:r w:rsidR="00164771" w:rsidRPr="0013685F">
        <w:rPr>
          <w:lang w:val="en-US"/>
        </w:rPr>
        <w:t>(ADP-experiments)</w:t>
      </w:r>
    </w:p>
    <w:p w:rsidR="00E317D5" w:rsidRPr="0013685F" w:rsidRDefault="0013685F" w:rsidP="00E317D5">
      <w:pPr>
        <w:pStyle w:val="PargrafodaLista"/>
        <w:numPr>
          <w:ilvl w:val="1"/>
          <w:numId w:val="27"/>
        </w:numPr>
        <w:spacing w:after="0"/>
        <w:rPr>
          <w:lang w:val="en-US"/>
        </w:rPr>
      </w:pPr>
      <w:r>
        <w:rPr>
          <w:lang w:val="en-US"/>
        </w:rPr>
        <w:t>Evaluation</w:t>
      </w:r>
      <w:r w:rsidR="00FA5021" w:rsidRPr="0013685F">
        <w:rPr>
          <w:lang w:val="en-US"/>
        </w:rPr>
        <w:t xml:space="preserve"> with anti-bFG</w:t>
      </w:r>
      <w:r>
        <w:rPr>
          <w:lang w:val="en-US"/>
        </w:rPr>
        <w:t xml:space="preserve">: </w:t>
      </w:r>
      <w:r w:rsidR="00E317D5" w:rsidRPr="0013685F">
        <w:rPr>
          <w:lang w:val="en-US"/>
        </w:rPr>
        <w:t>PAI &gt;</w:t>
      </w:r>
      <w:r w:rsidR="009627E7" w:rsidRPr="0013685F">
        <w:rPr>
          <w:lang w:val="en-US"/>
        </w:rPr>
        <w:t>1</w:t>
      </w:r>
      <w:r w:rsidR="00164771" w:rsidRPr="0013685F">
        <w:rPr>
          <w:lang w:val="en-US"/>
        </w:rPr>
        <w:t xml:space="preserve"> (TRAP-experiments and ADP-experiments)</w:t>
      </w:r>
    </w:p>
    <w:p w:rsidR="00FC5CD0" w:rsidRDefault="00FC5CD0" w:rsidP="00247B90">
      <w:pPr>
        <w:pStyle w:val="Ttulo5"/>
        <w:rPr>
          <w:lang w:val="en-US"/>
        </w:rPr>
      </w:pPr>
      <w:r>
        <w:rPr>
          <w:lang w:val="en-US"/>
        </w:rPr>
        <w:t>Expected Results in GTLS Patients</w:t>
      </w:r>
    </w:p>
    <w:p w:rsidR="00FC5CD0" w:rsidRDefault="00FC5CD0" w:rsidP="00FC5CD0">
      <w:pPr>
        <w:rPr>
          <w:lang w:val="en-GB"/>
        </w:rPr>
      </w:pPr>
      <w:r>
        <w:rPr>
          <w:lang w:val="en-GB"/>
        </w:rPr>
        <w:t xml:space="preserve">GTLS patients are expected to have variable decreased levels of PLT activation (evaluated by the expression of PAC-1 and bFG on the PLT surface) upon stimulation with TRAP-6 and ADP compared to that observed in controls (healthy individuals), with a variable decrease of the correspondent PAIs and lower percentages of PAC-1 and bFG, expressed as % of the normal values. </w:t>
      </w:r>
    </w:p>
    <w:p w:rsidR="00FC5CD0" w:rsidRDefault="00FC5CD0" w:rsidP="00FC5CD0">
      <w:pPr>
        <w:rPr>
          <w:lang w:val="en-GB"/>
        </w:rPr>
      </w:pPr>
      <w:r>
        <w:rPr>
          <w:lang w:val="en-GB"/>
        </w:rPr>
        <w:t>Some GTLS patients may have residual PLT activation at basal conditions, as evaluated by the expression of PAC-1 epitopes, but not when evaluated by the expression of bFG epitopes, suggesting that this residual PLT activation is abortive, i.e., it does no traduces in effective FG binding to the GPIIbIIIa complex. Further studies are needed in order to better understand the relevance of this phenomena, and if there is a relationship to the genetic variants.</w:t>
      </w:r>
    </w:p>
    <w:p w:rsidR="00FC5CD0" w:rsidRPr="002F4224" w:rsidRDefault="00F84CD8" w:rsidP="006407A4">
      <w:pPr>
        <w:spacing w:line="259" w:lineRule="auto"/>
        <w:jc w:val="left"/>
        <w:rPr>
          <w:lang w:val="en-GB"/>
        </w:rPr>
      </w:pPr>
      <w:r>
        <w:rPr>
          <w:lang w:val="en-US"/>
        </w:rPr>
        <w:br w:type="page"/>
      </w:r>
      <w:r w:rsidR="00FC5CD0" w:rsidRPr="00134D3B">
        <w:rPr>
          <w:b/>
          <w:bCs/>
          <w:lang w:val="en-US"/>
        </w:rPr>
        <w:lastRenderedPageBreak/>
        <w:t xml:space="preserve">Table </w:t>
      </w:r>
      <w:r w:rsidR="00FC5CD0" w:rsidRPr="00134D3B">
        <w:rPr>
          <w:b/>
          <w:bCs/>
          <w:lang w:val="en-US"/>
        </w:rPr>
        <w:fldChar w:fldCharType="begin"/>
      </w:r>
      <w:r w:rsidR="00FC5CD0" w:rsidRPr="00134D3B">
        <w:rPr>
          <w:b/>
          <w:bCs/>
          <w:lang w:val="en-US"/>
        </w:rPr>
        <w:instrText xml:space="preserve"> SEQ Table \* ARABIC </w:instrText>
      </w:r>
      <w:r w:rsidR="00FC5CD0" w:rsidRPr="00134D3B">
        <w:rPr>
          <w:b/>
          <w:bCs/>
          <w:lang w:val="en-US"/>
        </w:rPr>
        <w:fldChar w:fldCharType="separate"/>
      </w:r>
      <w:r w:rsidRPr="00134D3B">
        <w:rPr>
          <w:b/>
          <w:bCs/>
          <w:noProof/>
          <w:lang w:val="en-US"/>
        </w:rPr>
        <w:t>2</w:t>
      </w:r>
      <w:r w:rsidR="00FC5CD0" w:rsidRPr="00134D3B">
        <w:rPr>
          <w:b/>
          <w:bCs/>
          <w:lang w:val="en-US"/>
        </w:rPr>
        <w:fldChar w:fldCharType="end"/>
      </w:r>
      <w:r w:rsidR="00FC5CD0" w:rsidRPr="00134D3B">
        <w:rPr>
          <w:b/>
          <w:bCs/>
          <w:lang w:val="en-US"/>
        </w:rPr>
        <w:t>.</w:t>
      </w:r>
      <w:r w:rsidR="00FC5CD0" w:rsidRPr="00967A61">
        <w:rPr>
          <w:lang w:val="en-US"/>
        </w:rPr>
        <w:t xml:space="preserve"> Platelet activation indexes at basal conditions and upon stimulation with TRAP-6 or ADP, as evaluated by the</w:t>
      </w:r>
      <w:r w:rsidR="00FC5CD0" w:rsidRPr="002F4224">
        <w:rPr>
          <w:lang w:val="en-GB"/>
        </w:rPr>
        <w:t xml:space="preserve"> expression of PAC-1 and bFG on the PLT surface the 12 healthy controls studied in parallel with GTLS patients, and comparatively to a total of 2</w:t>
      </w:r>
      <w:r w:rsidR="007A18BD">
        <w:rPr>
          <w:lang w:val="en-GB"/>
        </w:rPr>
        <w:t>6</w:t>
      </w:r>
      <w:r w:rsidR="00FC5CD0" w:rsidRPr="002F4224">
        <w:rPr>
          <w:lang w:val="en-GB"/>
        </w:rPr>
        <w:t xml:space="preserve"> healthy controls studied till now.</w:t>
      </w:r>
    </w:p>
    <w:tbl>
      <w:tblPr>
        <w:tblStyle w:val="TabelacomGrelha"/>
        <w:tblW w:w="9793" w:type="dxa"/>
        <w:tblLook w:val="04A0" w:firstRow="1" w:lastRow="0" w:firstColumn="1" w:lastColumn="0" w:noHBand="0" w:noVBand="1"/>
      </w:tblPr>
      <w:tblGrid>
        <w:gridCol w:w="1103"/>
        <w:gridCol w:w="658"/>
        <w:gridCol w:w="1436"/>
        <w:gridCol w:w="1744"/>
        <w:gridCol w:w="1291"/>
        <w:gridCol w:w="1138"/>
        <w:gridCol w:w="1152"/>
        <w:gridCol w:w="1271"/>
      </w:tblGrid>
      <w:tr w:rsidR="00FC5CD0" w:rsidRPr="002F4224" w:rsidTr="00E317D5">
        <w:tc>
          <w:tcPr>
            <w:tcW w:w="1103" w:type="dxa"/>
            <w:vMerge w:val="restart"/>
          </w:tcPr>
          <w:p w:rsidR="00FC5CD0" w:rsidRPr="002F4224" w:rsidRDefault="00FC5CD0" w:rsidP="00E317D5">
            <w:pPr>
              <w:spacing w:line="240" w:lineRule="auto"/>
              <w:rPr>
                <w:rFonts w:ascii="Arial Narrow" w:hAnsi="Arial Narrow"/>
                <w:b/>
                <w:bCs/>
                <w:sz w:val="18"/>
                <w:szCs w:val="18"/>
                <w:lang w:val="en-GB"/>
              </w:rPr>
            </w:pPr>
            <w:r w:rsidRPr="002F4224">
              <w:rPr>
                <w:rFonts w:ascii="Arial Narrow" w:hAnsi="Arial Narrow"/>
                <w:b/>
                <w:bCs/>
                <w:sz w:val="18"/>
                <w:szCs w:val="18"/>
                <w:lang w:val="en-GB"/>
              </w:rPr>
              <w:t>Experiments (agonist)</w:t>
            </w:r>
          </w:p>
        </w:tc>
        <w:tc>
          <w:tcPr>
            <w:tcW w:w="658" w:type="dxa"/>
            <w:vMerge w:val="restart"/>
          </w:tcPr>
          <w:p w:rsidR="00FC5CD0" w:rsidRPr="002F4224" w:rsidRDefault="00FC5CD0" w:rsidP="00E317D5">
            <w:pPr>
              <w:spacing w:line="240" w:lineRule="auto"/>
              <w:rPr>
                <w:rFonts w:ascii="Arial Narrow" w:hAnsi="Arial Narrow"/>
                <w:b/>
                <w:bCs/>
                <w:sz w:val="18"/>
                <w:szCs w:val="18"/>
                <w:lang w:val="en-GB"/>
              </w:rPr>
            </w:pPr>
            <w:r w:rsidRPr="002F4224">
              <w:rPr>
                <w:rFonts w:ascii="Arial Narrow" w:hAnsi="Arial Narrow"/>
                <w:b/>
                <w:bCs/>
                <w:sz w:val="18"/>
                <w:szCs w:val="18"/>
                <w:lang w:val="en-GB"/>
              </w:rPr>
              <w:t>mAbs</w:t>
            </w:r>
          </w:p>
        </w:tc>
        <w:tc>
          <w:tcPr>
            <w:tcW w:w="1436" w:type="dxa"/>
            <w:vMerge w:val="restart"/>
          </w:tcPr>
          <w:p w:rsidR="00FC5CD0" w:rsidRPr="002F4224" w:rsidRDefault="00FC5CD0" w:rsidP="00E317D5">
            <w:pPr>
              <w:spacing w:line="240" w:lineRule="auto"/>
              <w:jc w:val="left"/>
              <w:rPr>
                <w:rFonts w:ascii="Arial Narrow" w:hAnsi="Arial Narrow"/>
                <w:b/>
                <w:bCs/>
                <w:sz w:val="18"/>
                <w:szCs w:val="18"/>
                <w:lang w:val="en-GB"/>
              </w:rPr>
            </w:pPr>
            <w:r w:rsidRPr="002F4224">
              <w:rPr>
                <w:rFonts w:ascii="Arial Narrow" w:hAnsi="Arial Narrow"/>
                <w:b/>
                <w:bCs/>
                <w:sz w:val="18"/>
                <w:szCs w:val="18"/>
                <w:lang w:val="en-GB"/>
              </w:rPr>
              <w:t>Conditions</w:t>
            </w:r>
          </w:p>
        </w:tc>
        <w:tc>
          <w:tcPr>
            <w:tcW w:w="1744" w:type="dxa"/>
            <w:vMerge w:val="restart"/>
          </w:tcPr>
          <w:p w:rsidR="00FC5CD0" w:rsidRPr="002F4224" w:rsidRDefault="00FC5CD0" w:rsidP="00E317D5">
            <w:pPr>
              <w:spacing w:line="240" w:lineRule="auto"/>
              <w:jc w:val="center"/>
              <w:rPr>
                <w:rFonts w:ascii="Arial Narrow" w:hAnsi="Arial Narrow"/>
                <w:b/>
                <w:bCs/>
                <w:sz w:val="18"/>
                <w:szCs w:val="18"/>
                <w:lang w:val="en-GB"/>
              </w:rPr>
            </w:pPr>
            <w:r w:rsidRPr="002F4224">
              <w:rPr>
                <w:rFonts w:ascii="Arial Narrow" w:hAnsi="Arial Narrow"/>
                <w:b/>
                <w:bCs/>
                <w:sz w:val="18"/>
                <w:szCs w:val="18"/>
                <w:lang w:val="en-GB"/>
              </w:rPr>
              <w:t>Statistic</w:t>
            </w:r>
          </w:p>
        </w:tc>
        <w:tc>
          <w:tcPr>
            <w:tcW w:w="2429" w:type="dxa"/>
            <w:gridSpan w:val="2"/>
          </w:tcPr>
          <w:p w:rsidR="00FC5CD0" w:rsidRPr="002F4224" w:rsidRDefault="00FC5CD0" w:rsidP="00E317D5">
            <w:pPr>
              <w:spacing w:line="240" w:lineRule="auto"/>
              <w:jc w:val="center"/>
              <w:rPr>
                <w:rFonts w:ascii="Arial Narrow" w:hAnsi="Arial Narrow"/>
                <w:b/>
                <w:bCs/>
                <w:sz w:val="18"/>
                <w:szCs w:val="18"/>
                <w:lang w:val="en-GB"/>
              </w:rPr>
            </w:pPr>
            <w:r w:rsidRPr="002F4224">
              <w:rPr>
                <w:rFonts w:ascii="Arial Narrow" w:hAnsi="Arial Narrow"/>
                <w:b/>
                <w:bCs/>
                <w:sz w:val="18"/>
                <w:szCs w:val="18"/>
                <w:lang w:val="en-GB"/>
              </w:rPr>
              <w:t>N=12</w:t>
            </w:r>
          </w:p>
        </w:tc>
        <w:tc>
          <w:tcPr>
            <w:tcW w:w="2423" w:type="dxa"/>
            <w:gridSpan w:val="2"/>
          </w:tcPr>
          <w:p w:rsidR="00FC5CD0" w:rsidRPr="00167861" w:rsidRDefault="00FC5CD0" w:rsidP="00E317D5">
            <w:pPr>
              <w:spacing w:line="240" w:lineRule="auto"/>
              <w:jc w:val="center"/>
              <w:rPr>
                <w:rFonts w:ascii="Arial Narrow" w:hAnsi="Arial Narrow"/>
                <w:b/>
                <w:bCs/>
                <w:color w:val="000000" w:themeColor="text1"/>
                <w:sz w:val="18"/>
                <w:szCs w:val="18"/>
                <w:lang w:val="en-GB"/>
              </w:rPr>
            </w:pPr>
            <w:r w:rsidRPr="00167861">
              <w:rPr>
                <w:rFonts w:ascii="Arial Narrow" w:hAnsi="Arial Narrow"/>
                <w:b/>
                <w:bCs/>
                <w:color w:val="000000" w:themeColor="text1"/>
                <w:sz w:val="18"/>
                <w:szCs w:val="18"/>
                <w:lang w:val="en-GB"/>
              </w:rPr>
              <w:t>N=2</w:t>
            </w:r>
            <w:r w:rsidR="00FC5D1C" w:rsidRPr="00167861">
              <w:rPr>
                <w:rFonts w:ascii="Arial Narrow" w:hAnsi="Arial Narrow"/>
                <w:b/>
                <w:bCs/>
                <w:color w:val="000000" w:themeColor="text1"/>
                <w:sz w:val="18"/>
                <w:szCs w:val="18"/>
                <w:lang w:val="en-GB"/>
              </w:rPr>
              <w:t>6</w:t>
            </w:r>
          </w:p>
        </w:tc>
      </w:tr>
      <w:tr w:rsidR="00FC5CD0" w:rsidRPr="002F4224" w:rsidTr="00E317D5">
        <w:tc>
          <w:tcPr>
            <w:tcW w:w="1103" w:type="dxa"/>
            <w:vMerge/>
          </w:tcPr>
          <w:p w:rsidR="00FC5CD0" w:rsidRPr="002F4224" w:rsidRDefault="00FC5CD0" w:rsidP="00E317D5">
            <w:pPr>
              <w:spacing w:line="240" w:lineRule="auto"/>
              <w:rPr>
                <w:rFonts w:ascii="Arial Narrow" w:hAnsi="Arial Narrow"/>
                <w:b/>
                <w:bCs/>
                <w:sz w:val="18"/>
                <w:szCs w:val="18"/>
                <w:lang w:val="en-GB"/>
              </w:rPr>
            </w:pPr>
          </w:p>
        </w:tc>
        <w:tc>
          <w:tcPr>
            <w:tcW w:w="658" w:type="dxa"/>
            <w:vMerge/>
          </w:tcPr>
          <w:p w:rsidR="00FC5CD0" w:rsidRPr="002F4224" w:rsidRDefault="00FC5CD0" w:rsidP="00E317D5">
            <w:pPr>
              <w:spacing w:line="240" w:lineRule="auto"/>
              <w:rPr>
                <w:rFonts w:ascii="Arial Narrow" w:hAnsi="Arial Narrow"/>
                <w:b/>
                <w:bCs/>
                <w:sz w:val="18"/>
                <w:szCs w:val="18"/>
                <w:lang w:val="en-GB"/>
              </w:rPr>
            </w:pPr>
          </w:p>
        </w:tc>
        <w:tc>
          <w:tcPr>
            <w:tcW w:w="1436" w:type="dxa"/>
            <w:vMerge/>
          </w:tcPr>
          <w:p w:rsidR="00FC5CD0" w:rsidRPr="002F4224" w:rsidRDefault="00FC5CD0" w:rsidP="00E317D5">
            <w:pPr>
              <w:spacing w:line="240" w:lineRule="auto"/>
              <w:jc w:val="left"/>
              <w:rPr>
                <w:rFonts w:ascii="Arial Narrow" w:hAnsi="Arial Narrow"/>
                <w:b/>
                <w:bCs/>
                <w:sz w:val="18"/>
                <w:szCs w:val="18"/>
                <w:lang w:val="en-GB"/>
              </w:rPr>
            </w:pPr>
          </w:p>
        </w:tc>
        <w:tc>
          <w:tcPr>
            <w:tcW w:w="1744" w:type="dxa"/>
            <w:vMerge/>
          </w:tcPr>
          <w:p w:rsidR="00FC5CD0" w:rsidRPr="002F4224" w:rsidRDefault="00FC5CD0" w:rsidP="00E317D5">
            <w:pPr>
              <w:spacing w:line="240" w:lineRule="auto"/>
              <w:jc w:val="center"/>
              <w:rPr>
                <w:rFonts w:ascii="Arial Narrow" w:hAnsi="Arial Narrow"/>
                <w:b/>
                <w:bCs/>
                <w:sz w:val="18"/>
                <w:szCs w:val="18"/>
                <w:lang w:val="en-GB"/>
              </w:rPr>
            </w:pPr>
          </w:p>
        </w:tc>
        <w:tc>
          <w:tcPr>
            <w:tcW w:w="1291" w:type="dxa"/>
          </w:tcPr>
          <w:p w:rsidR="00FC5CD0" w:rsidRPr="002F4224" w:rsidRDefault="00FC5CD0" w:rsidP="00E317D5">
            <w:pPr>
              <w:spacing w:line="240" w:lineRule="auto"/>
              <w:jc w:val="center"/>
              <w:rPr>
                <w:rFonts w:ascii="Arial Narrow" w:hAnsi="Arial Narrow"/>
                <w:b/>
                <w:bCs/>
                <w:sz w:val="18"/>
                <w:szCs w:val="18"/>
                <w:lang w:val="en-GB"/>
              </w:rPr>
            </w:pPr>
            <w:r w:rsidRPr="002F4224">
              <w:rPr>
                <w:rFonts w:ascii="Arial Narrow" w:hAnsi="Arial Narrow"/>
                <w:b/>
                <w:bCs/>
                <w:sz w:val="18"/>
                <w:szCs w:val="18"/>
                <w:lang w:val="en-GB"/>
              </w:rPr>
              <w:t>PAI</w:t>
            </w:r>
          </w:p>
        </w:tc>
        <w:tc>
          <w:tcPr>
            <w:tcW w:w="1135" w:type="dxa"/>
          </w:tcPr>
          <w:p w:rsidR="00FC5CD0" w:rsidRPr="002F4224" w:rsidRDefault="00FC5CD0" w:rsidP="00E317D5">
            <w:pPr>
              <w:spacing w:line="240" w:lineRule="auto"/>
              <w:jc w:val="center"/>
              <w:rPr>
                <w:rFonts w:ascii="Arial Narrow" w:hAnsi="Arial Narrow"/>
                <w:b/>
                <w:bCs/>
                <w:sz w:val="18"/>
                <w:szCs w:val="18"/>
                <w:lang w:val="en-GB"/>
              </w:rPr>
            </w:pPr>
            <w:r w:rsidRPr="002F4224">
              <w:rPr>
                <w:rFonts w:ascii="Arial Narrow" w:hAnsi="Arial Narrow"/>
                <w:b/>
                <w:bCs/>
                <w:sz w:val="18"/>
                <w:szCs w:val="18"/>
                <w:lang w:val="en-GB"/>
              </w:rPr>
              <w:t>% NV</w:t>
            </w:r>
          </w:p>
        </w:tc>
        <w:tc>
          <w:tcPr>
            <w:tcW w:w="1152" w:type="dxa"/>
          </w:tcPr>
          <w:p w:rsidR="00FC5CD0" w:rsidRPr="00167861" w:rsidRDefault="00FC5CD0" w:rsidP="00E317D5">
            <w:pPr>
              <w:spacing w:line="240" w:lineRule="auto"/>
              <w:jc w:val="center"/>
              <w:rPr>
                <w:rFonts w:ascii="Arial Narrow" w:hAnsi="Arial Narrow"/>
                <w:b/>
                <w:bCs/>
                <w:color w:val="000000" w:themeColor="text1"/>
                <w:sz w:val="18"/>
                <w:szCs w:val="18"/>
                <w:lang w:val="en-GB"/>
              </w:rPr>
            </w:pPr>
            <w:r w:rsidRPr="00167861">
              <w:rPr>
                <w:rFonts w:ascii="Arial Narrow" w:hAnsi="Arial Narrow"/>
                <w:b/>
                <w:bCs/>
                <w:color w:val="000000" w:themeColor="text1"/>
                <w:sz w:val="18"/>
                <w:szCs w:val="18"/>
                <w:lang w:val="en-GB"/>
              </w:rPr>
              <w:t>PAI</w:t>
            </w:r>
          </w:p>
        </w:tc>
        <w:tc>
          <w:tcPr>
            <w:tcW w:w="1271" w:type="dxa"/>
          </w:tcPr>
          <w:p w:rsidR="00FC5CD0" w:rsidRPr="00167861" w:rsidRDefault="00FC5CD0" w:rsidP="00E317D5">
            <w:pPr>
              <w:spacing w:line="240" w:lineRule="auto"/>
              <w:jc w:val="center"/>
              <w:rPr>
                <w:rFonts w:ascii="Arial Narrow" w:hAnsi="Arial Narrow"/>
                <w:b/>
                <w:bCs/>
                <w:color w:val="000000" w:themeColor="text1"/>
                <w:sz w:val="18"/>
                <w:szCs w:val="18"/>
                <w:lang w:val="en-GB"/>
              </w:rPr>
            </w:pPr>
            <w:r w:rsidRPr="00167861">
              <w:rPr>
                <w:rFonts w:ascii="Arial Narrow" w:hAnsi="Arial Narrow"/>
                <w:b/>
                <w:bCs/>
                <w:color w:val="000000" w:themeColor="text1"/>
                <w:sz w:val="18"/>
                <w:szCs w:val="18"/>
                <w:lang w:val="en-GB"/>
              </w:rPr>
              <w:t>% NV</w:t>
            </w:r>
          </w:p>
        </w:tc>
      </w:tr>
      <w:tr w:rsidR="00FC5CD0" w:rsidTr="00E317D5">
        <w:trPr>
          <w:trHeight w:val="267"/>
        </w:trPr>
        <w:tc>
          <w:tcPr>
            <w:tcW w:w="1103" w:type="dxa"/>
            <w:vMerge w:val="restart"/>
          </w:tcPr>
          <w:p w:rsidR="00FC5CD0" w:rsidRPr="002F4224" w:rsidRDefault="00FC5CD0" w:rsidP="00E317D5">
            <w:pPr>
              <w:spacing w:line="276" w:lineRule="auto"/>
              <w:rPr>
                <w:rFonts w:ascii="Arial Narrow" w:hAnsi="Arial Narrow"/>
                <w:b/>
                <w:bCs/>
                <w:sz w:val="18"/>
                <w:szCs w:val="18"/>
                <w:lang w:val="en-GB"/>
              </w:rPr>
            </w:pPr>
            <w:r w:rsidRPr="002F4224">
              <w:rPr>
                <w:rFonts w:ascii="Arial Narrow" w:hAnsi="Arial Narrow"/>
                <w:b/>
                <w:bCs/>
                <w:sz w:val="18"/>
                <w:szCs w:val="18"/>
                <w:lang w:val="en-GB"/>
              </w:rPr>
              <w:t>TRAP-6</w:t>
            </w:r>
          </w:p>
        </w:tc>
        <w:tc>
          <w:tcPr>
            <w:tcW w:w="658" w:type="dxa"/>
            <w:vMerge w:val="restart"/>
          </w:tcPr>
          <w:p w:rsidR="00FC5CD0" w:rsidRPr="002F4224" w:rsidRDefault="00FC5CD0" w:rsidP="00E317D5">
            <w:pPr>
              <w:spacing w:line="276" w:lineRule="auto"/>
              <w:rPr>
                <w:rFonts w:ascii="Arial Narrow" w:hAnsi="Arial Narrow"/>
                <w:b/>
                <w:bCs/>
                <w:sz w:val="18"/>
                <w:szCs w:val="18"/>
                <w:lang w:val="en-GB"/>
              </w:rPr>
            </w:pPr>
            <w:r w:rsidRPr="002F4224">
              <w:rPr>
                <w:rFonts w:ascii="Arial Narrow" w:hAnsi="Arial Narrow"/>
                <w:b/>
                <w:bCs/>
                <w:sz w:val="18"/>
                <w:szCs w:val="18"/>
                <w:lang w:val="en-GB"/>
              </w:rPr>
              <w:t>PAC-1</w:t>
            </w:r>
          </w:p>
        </w:tc>
        <w:tc>
          <w:tcPr>
            <w:tcW w:w="1436" w:type="dxa"/>
            <w:vMerge w:val="restart"/>
          </w:tcPr>
          <w:p w:rsidR="00FC5CD0" w:rsidRPr="002F4224" w:rsidRDefault="00FC5CD0" w:rsidP="00E317D5">
            <w:pPr>
              <w:spacing w:line="276" w:lineRule="auto"/>
              <w:jc w:val="left"/>
              <w:rPr>
                <w:rFonts w:ascii="Arial Narrow" w:hAnsi="Arial Narrow"/>
                <w:b/>
                <w:bCs/>
                <w:sz w:val="18"/>
                <w:szCs w:val="18"/>
                <w:lang w:val="en-GB"/>
              </w:rPr>
            </w:pPr>
            <w:r w:rsidRPr="002F4224">
              <w:rPr>
                <w:rFonts w:ascii="Arial Narrow" w:hAnsi="Arial Narrow"/>
                <w:b/>
                <w:bCs/>
                <w:sz w:val="18"/>
                <w:szCs w:val="18"/>
                <w:lang w:val="en-GB"/>
              </w:rPr>
              <w:t>Unstimulated</w:t>
            </w:r>
          </w:p>
          <w:p w:rsidR="00FC5CD0" w:rsidRPr="002F4224" w:rsidRDefault="00FC5CD0" w:rsidP="00E317D5">
            <w:pPr>
              <w:spacing w:line="276" w:lineRule="auto"/>
              <w:jc w:val="left"/>
              <w:rPr>
                <w:rFonts w:ascii="Arial Narrow" w:hAnsi="Arial Narrow"/>
                <w:b/>
                <w:bCs/>
                <w:sz w:val="18"/>
                <w:szCs w:val="18"/>
                <w:lang w:val="en-GB"/>
              </w:rPr>
            </w:pPr>
            <w:r w:rsidRPr="002F4224">
              <w:rPr>
                <w:rFonts w:ascii="Arial Narrow" w:hAnsi="Arial Narrow"/>
                <w:b/>
                <w:bCs/>
                <w:sz w:val="18"/>
                <w:szCs w:val="18"/>
                <w:lang w:val="en-GB"/>
              </w:rPr>
              <w:t>(PBS)</w:t>
            </w:r>
          </w:p>
        </w:tc>
        <w:tc>
          <w:tcPr>
            <w:tcW w:w="1744"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Median</w:t>
            </w:r>
            <w:r>
              <w:rPr>
                <w:rFonts w:ascii="Arial Narrow" w:hAnsi="Arial Narrow"/>
                <w:sz w:val="18"/>
                <w:szCs w:val="18"/>
                <w:lang w:val="en-GB"/>
              </w:rPr>
              <w:t xml:space="preserve"> (range)</w:t>
            </w:r>
          </w:p>
        </w:tc>
        <w:tc>
          <w:tcPr>
            <w:tcW w:w="1291"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5</w:t>
            </w:r>
            <w:r>
              <w:rPr>
                <w:rFonts w:ascii="Arial Narrow" w:hAnsi="Arial Narrow"/>
                <w:sz w:val="18"/>
                <w:szCs w:val="18"/>
                <w:lang w:val="en-GB"/>
              </w:rPr>
              <w:t xml:space="preserve"> (2-37)</w:t>
            </w:r>
            <w:r w:rsidR="007A18BD">
              <w:rPr>
                <w:rFonts w:ascii="Arial Narrow" w:hAnsi="Arial Narrow"/>
                <w:sz w:val="18"/>
                <w:szCs w:val="18"/>
                <w:lang w:val="en-GB"/>
              </w:rPr>
              <w:t xml:space="preserve"> *</w:t>
            </w:r>
          </w:p>
        </w:tc>
        <w:tc>
          <w:tcPr>
            <w:tcW w:w="1135"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NA</w:t>
            </w:r>
          </w:p>
        </w:tc>
        <w:tc>
          <w:tcPr>
            <w:tcW w:w="1152" w:type="dxa"/>
          </w:tcPr>
          <w:p w:rsidR="00FC5CD0" w:rsidRPr="00167861" w:rsidRDefault="00414D27"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3</w:t>
            </w:r>
            <w:r w:rsidR="00FC5CD0" w:rsidRPr="00167861">
              <w:rPr>
                <w:rFonts w:ascii="Arial Narrow" w:hAnsi="Arial Narrow"/>
                <w:color w:val="000000" w:themeColor="text1"/>
                <w:sz w:val="18"/>
                <w:szCs w:val="18"/>
                <w:lang w:val="en-GB"/>
              </w:rPr>
              <w:t xml:space="preserve"> (1-37)</w:t>
            </w:r>
            <w:r w:rsidR="007A18BD" w:rsidRPr="00167861">
              <w:rPr>
                <w:rFonts w:ascii="Arial Narrow" w:hAnsi="Arial Narrow"/>
                <w:color w:val="000000" w:themeColor="text1"/>
                <w:sz w:val="18"/>
                <w:szCs w:val="18"/>
                <w:lang w:val="en-GB"/>
              </w:rPr>
              <w:t xml:space="preserve"> *</w:t>
            </w:r>
          </w:p>
        </w:tc>
        <w:tc>
          <w:tcPr>
            <w:tcW w:w="1271" w:type="dxa"/>
          </w:tcPr>
          <w:p w:rsidR="00FC5CD0" w:rsidRPr="00167861" w:rsidRDefault="00FC5CD0" w:rsidP="00E317D5">
            <w:pPr>
              <w:spacing w:line="276" w:lineRule="auto"/>
              <w:jc w:val="center"/>
              <w:rPr>
                <w:color w:val="000000" w:themeColor="text1"/>
              </w:rPr>
            </w:pPr>
            <w:r w:rsidRPr="00167861">
              <w:rPr>
                <w:rFonts w:ascii="Arial Narrow" w:hAnsi="Arial Narrow"/>
                <w:color w:val="000000" w:themeColor="text1"/>
                <w:sz w:val="18"/>
                <w:szCs w:val="18"/>
                <w:lang w:val="en-GB"/>
              </w:rPr>
              <w:t>NA</w:t>
            </w:r>
          </w:p>
        </w:tc>
      </w:tr>
      <w:tr w:rsidR="00FC5CD0" w:rsidTr="00E317D5">
        <w:tc>
          <w:tcPr>
            <w:tcW w:w="1103" w:type="dxa"/>
            <w:vMerge/>
          </w:tcPr>
          <w:p w:rsidR="00FC5CD0" w:rsidRPr="001F5412" w:rsidRDefault="00FC5CD0" w:rsidP="00E317D5">
            <w:pPr>
              <w:spacing w:line="276" w:lineRule="auto"/>
              <w:rPr>
                <w:rFonts w:ascii="Arial Narrow" w:hAnsi="Arial Narrow"/>
                <w:sz w:val="18"/>
                <w:szCs w:val="18"/>
                <w:lang w:val="en-GB"/>
              </w:rPr>
            </w:pPr>
          </w:p>
        </w:tc>
        <w:tc>
          <w:tcPr>
            <w:tcW w:w="658" w:type="dxa"/>
            <w:vMerge/>
          </w:tcPr>
          <w:p w:rsidR="00FC5CD0" w:rsidRPr="002F4224" w:rsidRDefault="00FC5CD0" w:rsidP="00E317D5">
            <w:pPr>
              <w:spacing w:line="276" w:lineRule="auto"/>
              <w:rPr>
                <w:rFonts w:ascii="Arial Narrow" w:hAnsi="Arial Narrow"/>
                <w:b/>
                <w:bCs/>
                <w:sz w:val="18"/>
                <w:szCs w:val="18"/>
                <w:lang w:val="en-GB"/>
              </w:rPr>
            </w:pPr>
          </w:p>
        </w:tc>
        <w:tc>
          <w:tcPr>
            <w:tcW w:w="1436" w:type="dxa"/>
            <w:vMerge/>
          </w:tcPr>
          <w:p w:rsidR="00FC5CD0" w:rsidRPr="002F4224" w:rsidRDefault="00FC5CD0" w:rsidP="00E317D5">
            <w:pPr>
              <w:spacing w:line="276" w:lineRule="auto"/>
              <w:jc w:val="left"/>
              <w:rPr>
                <w:rFonts w:ascii="Arial Narrow" w:hAnsi="Arial Narrow"/>
                <w:b/>
                <w:bCs/>
                <w:sz w:val="18"/>
                <w:szCs w:val="18"/>
                <w:lang w:val="en-GB"/>
              </w:rPr>
            </w:pPr>
          </w:p>
        </w:tc>
        <w:tc>
          <w:tcPr>
            <w:tcW w:w="1744"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Mean ± SD</w:t>
            </w:r>
          </w:p>
        </w:tc>
        <w:tc>
          <w:tcPr>
            <w:tcW w:w="1291"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9±1</w:t>
            </w:r>
            <w:r>
              <w:rPr>
                <w:rFonts w:ascii="Arial Narrow" w:hAnsi="Arial Narrow"/>
                <w:sz w:val="18"/>
                <w:szCs w:val="18"/>
                <w:lang w:val="en-GB"/>
              </w:rPr>
              <w:t>1</w:t>
            </w:r>
          </w:p>
        </w:tc>
        <w:tc>
          <w:tcPr>
            <w:tcW w:w="1135"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NA</w:t>
            </w:r>
          </w:p>
        </w:tc>
        <w:tc>
          <w:tcPr>
            <w:tcW w:w="1152" w:type="dxa"/>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6±8</w:t>
            </w:r>
          </w:p>
        </w:tc>
        <w:tc>
          <w:tcPr>
            <w:tcW w:w="1271" w:type="dxa"/>
          </w:tcPr>
          <w:p w:rsidR="00FC5CD0" w:rsidRPr="00167861" w:rsidRDefault="00FC5CD0" w:rsidP="00E317D5">
            <w:pPr>
              <w:spacing w:line="276" w:lineRule="auto"/>
              <w:jc w:val="center"/>
              <w:rPr>
                <w:color w:val="000000" w:themeColor="text1"/>
              </w:rPr>
            </w:pPr>
            <w:r w:rsidRPr="00167861">
              <w:rPr>
                <w:rFonts w:ascii="Arial Narrow" w:hAnsi="Arial Narrow"/>
                <w:color w:val="000000" w:themeColor="text1"/>
                <w:sz w:val="18"/>
                <w:szCs w:val="18"/>
                <w:lang w:val="en-GB"/>
              </w:rPr>
              <w:t>NA</w:t>
            </w:r>
          </w:p>
        </w:tc>
      </w:tr>
      <w:tr w:rsidR="00FC5CD0" w:rsidTr="00E317D5">
        <w:tc>
          <w:tcPr>
            <w:tcW w:w="1103" w:type="dxa"/>
            <w:vMerge/>
          </w:tcPr>
          <w:p w:rsidR="00FC5CD0" w:rsidRPr="001F5412" w:rsidRDefault="00FC5CD0" w:rsidP="00E317D5">
            <w:pPr>
              <w:spacing w:line="276" w:lineRule="auto"/>
              <w:rPr>
                <w:rFonts w:ascii="Arial Narrow" w:hAnsi="Arial Narrow"/>
                <w:sz w:val="18"/>
                <w:szCs w:val="18"/>
                <w:lang w:val="en-GB"/>
              </w:rPr>
            </w:pPr>
          </w:p>
        </w:tc>
        <w:tc>
          <w:tcPr>
            <w:tcW w:w="658" w:type="dxa"/>
            <w:vMerge/>
          </w:tcPr>
          <w:p w:rsidR="00FC5CD0" w:rsidRPr="002F4224" w:rsidRDefault="00FC5CD0" w:rsidP="00E317D5">
            <w:pPr>
              <w:spacing w:line="276" w:lineRule="auto"/>
              <w:rPr>
                <w:rFonts w:ascii="Arial Narrow" w:hAnsi="Arial Narrow"/>
                <w:b/>
                <w:bCs/>
                <w:sz w:val="18"/>
                <w:szCs w:val="18"/>
                <w:lang w:val="en-GB"/>
              </w:rPr>
            </w:pPr>
          </w:p>
        </w:tc>
        <w:tc>
          <w:tcPr>
            <w:tcW w:w="1436" w:type="dxa"/>
            <w:vMerge/>
          </w:tcPr>
          <w:p w:rsidR="00FC5CD0" w:rsidRPr="002F4224" w:rsidRDefault="00FC5CD0" w:rsidP="00E317D5">
            <w:pPr>
              <w:spacing w:line="276" w:lineRule="auto"/>
              <w:jc w:val="left"/>
              <w:rPr>
                <w:rFonts w:ascii="Arial Narrow" w:hAnsi="Arial Narrow"/>
                <w:b/>
                <w:bCs/>
                <w:sz w:val="18"/>
                <w:szCs w:val="18"/>
                <w:lang w:val="en-GB"/>
              </w:rPr>
            </w:pPr>
          </w:p>
        </w:tc>
        <w:tc>
          <w:tcPr>
            <w:tcW w:w="1744"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P25-P75</w:t>
            </w:r>
          </w:p>
        </w:tc>
        <w:tc>
          <w:tcPr>
            <w:tcW w:w="1291" w:type="dxa"/>
          </w:tcPr>
          <w:p w:rsidR="00FC5CD0" w:rsidRPr="001F5412" w:rsidRDefault="00FC5CD0" w:rsidP="00E317D5">
            <w:pPr>
              <w:spacing w:line="276" w:lineRule="auto"/>
              <w:jc w:val="center"/>
              <w:rPr>
                <w:rFonts w:ascii="Arial Narrow" w:hAnsi="Arial Narrow"/>
                <w:sz w:val="18"/>
                <w:szCs w:val="18"/>
                <w:lang w:val="en-GB"/>
              </w:rPr>
            </w:pPr>
            <w:r>
              <w:rPr>
                <w:rFonts w:ascii="Arial Narrow" w:hAnsi="Arial Narrow"/>
                <w:sz w:val="18"/>
                <w:szCs w:val="18"/>
                <w:lang w:val="en-GB"/>
              </w:rPr>
              <w:t>2-8</w:t>
            </w:r>
          </w:p>
        </w:tc>
        <w:tc>
          <w:tcPr>
            <w:tcW w:w="1135" w:type="dxa"/>
          </w:tcPr>
          <w:p w:rsidR="00FC5CD0" w:rsidRPr="001F5412" w:rsidRDefault="00FC5CD0" w:rsidP="00E317D5">
            <w:pPr>
              <w:spacing w:line="276" w:lineRule="auto"/>
              <w:jc w:val="center"/>
              <w:rPr>
                <w:rFonts w:ascii="Arial Narrow" w:hAnsi="Arial Narrow"/>
                <w:sz w:val="18"/>
                <w:szCs w:val="18"/>
                <w:lang w:val="en-GB"/>
              </w:rPr>
            </w:pPr>
            <w:r>
              <w:rPr>
                <w:rFonts w:ascii="Arial Narrow" w:hAnsi="Arial Narrow"/>
                <w:sz w:val="18"/>
                <w:szCs w:val="18"/>
                <w:lang w:val="en-GB"/>
              </w:rPr>
              <w:t>NA</w:t>
            </w:r>
          </w:p>
        </w:tc>
        <w:tc>
          <w:tcPr>
            <w:tcW w:w="1152" w:type="dxa"/>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2-6</w:t>
            </w:r>
          </w:p>
        </w:tc>
        <w:tc>
          <w:tcPr>
            <w:tcW w:w="1271" w:type="dxa"/>
          </w:tcPr>
          <w:p w:rsidR="00FC5CD0" w:rsidRPr="00167861" w:rsidRDefault="00FC5CD0" w:rsidP="00E317D5">
            <w:pPr>
              <w:spacing w:line="276" w:lineRule="auto"/>
              <w:jc w:val="center"/>
              <w:rPr>
                <w:color w:val="000000" w:themeColor="text1"/>
              </w:rPr>
            </w:pPr>
            <w:r w:rsidRPr="00167861">
              <w:rPr>
                <w:rFonts w:ascii="Arial Narrow" w:hAnsi="Arial Narrow"/>
                <w:color w:val="000000" w:themeColor="text1"/>
                <w:sz w:val="18"/>
                <w:szCs w:val="18"/>
                <w:lang w:val="en-GB"/>
              </w:rPr>
              <w:t>NA</w:t>
            </w:r>
          </w:p>
        </w:tc>
      </w:tr>
      <w:tr w:rsidR="00FC5CD0" w:rsidTr="00E317D5">
        <w:tc>
          <w:tcPr>
            <w:tcW w:w="1103" w:type="dxa"/>
            <w:vMerge/>
          </w:tcPr>
          <w:p w:rsidR="00FC5CD0" w:rsidRPr="001F5412" w:rsidRDefault="00FC5CD0" w:rsidP="00E317D5">
            <w:pPr>
              <w:spacing w:line="276" w:lineRule="auto"/>
              <w:rPr>
                <w:rFonts w:ascii="Arial Narrow" w:hAnsi="Arial Narrow"/>
                <w:sz w:val="18"/>
                <w:szCs w:val="18"/>
                <w:lang w:val="en-GB"/>
              </w:rPr>
            </w:pPr>
          </w:p>
        </w:tc>
        <w:tc>
          <w:tcPr>
            <w:tcW w:w="658" w:type="dxa"/>
            <w:vMerge/>
          </w:tcPr>
          <w:p w:rsidR="00FC5CD0" w:rsidRPr="002F4224" w:rsidRDefault="00FC5CD0" w:rsidP="00E317D5">
            <w:pPr>
              <w:spacing w:line="276" w:lineRule="auto"/>
              <w:rPr>
                <w:rFonts w:ascii="Arial Narrow" w:hAnsi="Arial Narrow"/>
                <w:b/>
                <w:bCs/>
                <w:sz w:val="18"/>
                <w:szCs w:val="18"/>
                <w:lang w:val="en-GB"/>
              </w:rPr>
            </w:pPr>
          </w:p>
        </w:tc>
        <w:tc>
          <w:tcPr>
            <w:tcW w:w="1436" w:type="dxa"/>
            <w:vMerge/>
          </w:tcPr>
          <w:p w:rsidR="00FC5CD0" w:rsidRPr="002F4224" w:rsidRDefault="00FC5CD0" w:rsidP="00E317D5">
            <w:pPr>
              <w:spacing w:line="276" w:lineRule="auto"/>
              <w:jc w:val="left"/>
              <w:rPr>
                <w:rFonts w:ascii="Arial Narrow" w:hAnsi="Arial Narrow"/>
                <w:b/>
                <w:bCs/>
                <w:sz w:val="18"/>
                <w:szCs w:val="18"/>
                <w:lang w:val="en-GB"/>
              </w:rPr>
            </w:pPr>
          </w:p>
        </w:tc>
        <w:tc>
          <w:tcPr>
            <w:tcW w:w="1744"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P10-P90</w:t>
            </w:r>
          </w:p>
        </w:tc>
        <w:tc>
          <w:tcPr>
            <w:tcW w:w="1291" w:type="dxa"/>
          </w:tcPr>
          <w:p w:rsidR="00FC5CD0" w:rsidRPr="001F5412" w:rsidRDefault="00FC5CD0" w:rsidP="00E317D5">
            <w:pPr>
              <w:spacing w:line="276" w:lineRule="auto"/>
              <w:jc w:val="center"/>
              <w:rPr>
                <w:rFonts w:ascii="Arial Narrow" w:hAnsi="Arial Narrow"/>
                <w:sz w:val="18"/>
                <w:szCs w:val="18"/>
                <w:lang w:val="en-GB"/>
              </w:rPr>
            </w:pPr>
            <w:r>
              <w:rPr>
                <w:rFonts w:ascii="Arial Narrow" w:hAnsi="Arial Narrow"/>
                <w:sz w:val="18"/>
                <w:szCs w:val="18"/>
                <w:lang w:val="en-GB"/>
              </w:rPr>
              <w:t>2-21</w:t>
            </w:r>
          </w:p>
        </w:tc>
        <w:tc>
          <w:tcPr>
            <w:tcW w:w="1135" w:type="dxa"/>
          </w:tcPr>
          <w:p w:rsidR="00FC5CD0" w:rsidRPr="001F5412" w:rsidRDefault="00FC5CD0" w:rsidP="00E317D5">
            <w:pPr>
              <w:spacing w:line="276" w:lineRule="auto"/>
              <w:jc w:val="center"/>
              <w:rPr>
                <w:rFonts w:ascii="Arial Narrow" w:hAnsi="Arial Narrow"/>
                <w:sz w:val="18"/>
                <w:szCs w:val="18"/>
                <w:lang w:val="en-GB"/>
              </w:rPr>
            </w:pPr>
            <w:r>
              <w:rPr>
                <w:rFonts w:ascii="Arial Narrow" w:hAnsi="Arial Narrow"/>
                <w:sz w:val="18"/>
                <w:szCs w:val="18"/>
                <w:lang w:val="en-GB"/>
              </w:rPr>
              <w:t>NA</w:t>
            </w:r>
          </w:p>
        </w:tc>
        <w:tc>
          <w:tcPr>
            <w:tcW w:w="1152" w:type="dxa"/>
          </w:tcPr>
          <w:p w:rsidR="00FC5CD0" w:rsidRPr="00167861" w:rsidRDefault="00414D27"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1</w:t>
            </w:r>
            <w:r w:rsidR="00FC5CD0" w:rsidRPr="00167861">
              <w:rPr>
                <w:rFonts w:ascii="Arial Narrow" w:hAnsi="Arial Narrow"/>
                <w:color w:val="000000" w:themeColor="text1"/>
                <w:sz w:val="18"/>
                <w:szCs w:val="18"/>
                <w:lang w:val="en-GB"/>
              </w:rPr>
              <w:t>-</w:t>
            </w:r>
            <w:r w:rsidRPr="00167861">
              <w:rPr>
                <w:rFonts w:ascii="Arial Narrow" w:hAnsi="Arial Narrow"/>
                <w:color w:val="000000" w:themeColor="text1"/>
                <w:sz w:val="18"/>
                <w:szCs w:val="18"/>
                <w:lang w:val="en-GB"/>
              </w:rPr>
              <w:t>8</w:t>
            </w:r>
          </w:p>
        </w:tc>
        <w:tc>
          <w:tcPr>
            <w:tcW w:w="1271" w:type="dxa"/>
          </w:tcPr>
          <w:p w:rsidR="00FC5CD0" w:rsidRPr="00167861" w:rsidRDefault="00FC5CD0" w:rsidP="00E317D5">
            <w:pPr>
              <w:spacing w:line="276" w:lineRule="auto"/>
              <w:jc w:val="center"/>
              <w:rPr>
                <w:color w:val="000000" w:themeColor="text1"/>
              </w:rPr>
            </w:pPr>
            <w:r w:rsidRPr="00167861">
              <w:rPr>
                <w:rFonts w:ascii="Arial Narrow" w:hAnsi="Arial Narrow"/>
                <w:color w:val="000000" w:themeColor="text1"/>
                <w:sz w:val="18"/>
                <w:szCs w:val="18"/>
                <w:lang w:val="en-GB"/>
              </w:rPr>
              <w:t>NA</w:t>
            </w:r>
          </w:p>
        </w:tc>
      </w:tr>
      <w:tr w:rsidR="00FC5CD0" w:rsidTr="00E317D5">
        <w:tc>
          <w:tcPr>
            <w:tcW w:w="1103" w:type="dxa"/>
            <w:vMerge/>
          </w:tcPr>
          <w:p w:rsidR="00FC5CD0" w:rsidRPr="001F5412" w:rsidRDefault="00FC5CD0" w:rsidP="00E317D5">
            <w:pPr>
              <w:spacing w:line="276" w:lineRule="auto"/>
              <w:rPr>
                <w:rFonts w:ascii="Arial Narrow" w:hAnsi="Arial Narrow"/>
                <w:sz w:val="18"/>
                <w:szCs w:val="18"/>
                <w:lang w:val="en-GB"/>
              </w:rPr>
            </w:pPr>
          </w:p>
        </w:tc>
        <w:tc>
          <w:tcPr>
            <w:tcW w:w="658" w:type="dxa"/>
            <w:vMerge/>
          </w:tcPr>
          <w:p w:rsidR="00FC5CD0" w:rsidRPr="002F4224" w:rsidRDefault="00FC5CD0" w:rsidP="00E317D5">
            <w:pPr>
              <w:spacing w:line="276" w:lineRule="auto"/>
              <w:rPr>
                <w:rFonts w:ascii="Arial Narrow" w:hAnsi="Arial Narrow"/>
                <w:b/>
                <w:bCs/>
                <w:sz w:val="18"/>
                <w:szCs w:val="18"/>
                <w:lang w:val="en-GB"/>
              </w:rPr>
            </w:pPr>
          </w:p>
        </w:tc>
        <w:tc>
          <w:tcPr>
            <w:tcW w:w="1436" w:type="dxa"/>
            <w:vMerge/>
          </w:tcPr>
          <w:p w:rsidR="00FC5CD0" w:rsidRPr="002F4224" w:rsidRDefault="00FC5CD0" w:rsidP="00E317D5">
            <w:pPr>
              <w:spacing w:line="276" w:lineRule="auto"/>
              <w:jc w:val="left"/>
              <w:rPr>
                <w:rFonts w:ascii="Arial Narrow" w:hAnsi="Arial Narrow"/>
                <w:b/>
                <w:bCs/>
                <w:sz w:val="18"/>
                <w:szCs w:val="18"/>
                <w:lang w:val="en-GB"/>
              </w:rPr>
            </w:pPr>
          </w:p>
        </w:tc>
        <w:tc>
          <w:tcPr>
            <w:tcW w:w="1744" w:type="dxa"/>
            <w:shd w:val="clear" w:color="auto" w:fill="D9D9D9" w:themeFill="background1" w:themeFillShade="D9"/>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P5-P95</w:t>
            </w:r>
          </w:p>
        </w:tc>
        <w:tc>
          <w:tcPr>
            <w:tcW w:w="1291" w:type="dxa"/>
            <w:shd w:val="clear" w:color="auto" w:fill="D9D9D9" w:themeFill="background1" w:themeFillShade="D9"/>
          </w:tcPr>
          <w:p w:rsidR="00FC5CD0" w:rsidRPr="001F5412" w:rsidRDefault="00FC5CD0" w:rsidP="00E317D5">
            <w:pPr>
              <w:spacing w:line="276" w:lineRule="auto"/>
              <w:jc w:val="center"/>
              <w:rPr>
                <w:rFonts w:ascii="Arial Narrow" w:hAnsi="Arial Narrow"/>
                <w:sz w:val="18"/>
                <w:szCs w:val="18"/>
                <w:lang w:val="en-GB"/>
              </w:rPr>
            </w:pPr>
            <w:r>
              <w:rPr>
                <w:rFonts w:ascii="Arial Narrow" w:hAnsi="Arial Narrow"/>
                <w:sz w:val="18"/>
                <w:szCs w:val="18"/>
                <w:lang w:val="en-GB"/>
              </w:rPr>
              <w:t>2-</w:t>
            </w:r>
            <w:r w:rsidRPr="00CD56CB">
              <w:rPr>
                <w:rFonts w:ascii="Arial Narrow" w:hAnsi="Arial Narrow"/>
                <w:b/>
                <w:bCs/>
                <w:sz w:val="18"/>
                <w:szCs w:val="18"/>
                <w:lang w:val="en-GB"/>
              </w:rPr>
              <w:t>29</w:t>
            </w:r>
          </w:p>
        </w:tc>
        <w:tc>
          <w:tcPr>
            <w:tcW w:w="1135" w:type="dxa"/>
            <w:shd w:val="clear" w:color="auto" w:fill="D9D9D9" w:themeFill="background1" w:themeFillShade="D9"/>
          </w:tcPr>
          <w:p w:rsidR="00FC5CD0" w:rsidRPr="001F5412" w:rsidRDefault="00FC5CD0" w:rsidP="00E317D5">
            <w:pPr>
              <w:spacing w:line="276" w:lineRule="auto"/>
              <w:jc w:val="center"/>
              <w:rPr>
                <w:rFonts w:ascii="Arial Narrow" w:hAnsi="Arial Narrow"/>
                <w:sz w:val="18"/>
                <w:szCs w:val="18"/>
                <w:lang w:val="en-GB"/>
              </w:rPr>
            </w:pPr>
            <w:r>
              <w:rPr>
                <w:rFonts w:ascii="Arial Narrow" w:hAnsi="Arial Narrow"/>
                <w:sz w:val="18"/>
                <w:szCs w:val="18"/>
                <w:lang w:val="en-GB"/>
              </w:rPr>
              <w:t>NA</w:t>
            </w:r>
          </w:p>
        </w:tc>
        <w:tc>
          <w:tcPr>
            <w:tcW w:w="1152" w:type="dxa"/>
            <w:shd w:val="clear" w:color="auto" w:fill="D9D9D9" w:themeFill="background1" w:themeFillShade="D9"/>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1-</w:t>
            </w:r>
            <w:r w:rsidR="00414D27" w:rsidRPr="00167861">
              <w:rPr>
                <w:rFonts w:ascii="Arial Narrow" w:hAnsi="Arial Narrow"/>
                <w:b/>
                <w:bCs/>
                <w:color w:val="000000" w:themeColor="text1"/>
                <w:sz w:val="18"/>
                <w:szCs w:val="18"/>
                <w:lang w:val="en-GB"/>
              </w:rPr>
              <w:t>19</w:t>
            </w:r>
          </w:p>
        </w:tc>
        <w:tc>
          <w:tcPr>
            <w:tcW w:w="1271" w:type="dxa"/>
            <w:shd w:val="clear" w:color="auto" w:fill="D9D9D9" w:themeFill="background1" w:themeFillShade="D9"/>
          </w:tcPr>
          <w:p w:rsidR="00FC5CD0" w:rsidRPr="00167861" w:rsidRDefault="00FC5CD0" w:rsidP="00E317D5">
            <w:pPr>
              <w:spacing w:line="276" w:lineRule="auto"/>
              <w:jc w:val="center"/>
              <w:rPr>
                <w:color w:val="000000" w:themeColor="text1"/>
              </w:rPr>
            </w:pPr>
            <w:r w:rsidRPr="00167861">
              <w:rPr>
                <w:rFonts w:ascii="Arial Narrow" w:hAnsi="Arial Narrow"/>
                <w:color w:val="000000" w:themeColor="text1"/>
                <w:sz w:val="18"/>
                <w:szCs w:val="18"/>
                <w:lang w:val="en-GB"/>
              </w:rPr>
              <w:t>NA</w:t>
            </w:r>
          </w:p>
        </w:tc>
      </w:tr>
      <w:tr w:rsidR="00FC5CD0" w:rsidTr="00E317D5">
        <w:tc>
          <w:tcPr>
            <w:tcW w:w="1103" w:type="dxa"/>
            <w:vMerge/>
          </w:tcPr>
          <w:p w:rsidR="00FC5CD0" w:rsidRPr="001F5412" w:rsidRDefault="00FC5CD0" w:rsidP="00E317D5">
            <w:pPr>
              <w:spacing w:line="276" w:lineRule="auto"/>
              <w:rPr>
                <w:rFonts w:ascii="Arial Narrow" w:hAnsi="Arial Narrow"/>
                <w:sz w:val="18"/>
                <w:szCs w:val="18"/>
                <w:lang w:val="en-GB"/>
              </w:rPr>
            </w:pPr>
          </w:p>
        </w:tc>
        <w:tc>
          <w:tcPr>
            <w:tcW w:w="658" w:type="dxa"/>
            <w:vMerge/>
          </w:tcPr>
          <w:p w:rsidR="00FC5CD0" w:rsidRPr="002F4224" w:rsidRDefault="00FC5CD0" w:rsidP="00E317D5">
            <w:pPr>
              <w:spacing w:line="276" w:lineRule="auto"/>
              <w:rPr>
                <w:rFonts w:ascii="Arial Narrow" w:hAnsi="Arial Narrow"/>
                <w:b/>
                <w:bCs/>
                <w:sz w:val="18"/>
                <w:szCs w:val="18"/>
                <w:lang w:val="en-GB"/>
              </w:rPr>
            </w:pPr>
          </w:p>
        </w:tc>
        <w:tc>
          <w:tcPr>
            <w:tcW w:w="1436" w:type="dxa"/>
            <w:vMerge w:val="restart"/>
          </w:tcPr>
          <w:p w:rsidR="00FC5CD0" w:rsidRPr="002F4224" w:rsidRDefault="00FC5CD0" w:rsidP="00E317D5">
            <w:pPr>
              <w:spacing w:line="276" w:lineRule="auto"/>
              <w:jc w:val="left"/>
              <w:rPr>
                <w:rFonts w:ascii="Arial Narrow" w:hAnsi="Arial Narrow"/>
                <w:b/>
                <w:bCs/>
                <w:sz w:val="18"/>
                <w:szCs w:val="18"/>
                <w:lang w:val="en-GB"/>
              </w:rPr>
            </w:pPr>
            <w:r w:rsidRPr="002F4224">
              <w:rPr>
                <w:rFonts w:ascii="Arial Narrow" w:hAnsi="Arial Narrow"/>
                <w:b/>
                <w:bCs/>
                <w:sz w:val="18"/>
                <w:szCs w:val="18"/>
                <w:lang w:val="en-GB"/>
              </w:rPr>
              <w:t xml:space="preserve">Stimulated </w:t>
            </w:r>
          </w:p>
          <w:p w:rsidR="00FC5CD0" w:rsidRPr="002F4224" w:rsidRDefault="00FC5CD0" w:rsidP="00E317D5">
            <w:pPr>
              <w:spacing w:line="276" w:lineRule="auto"/>
              <w:jc w:val="left"/>
              <w:rPr>
                <w:rFonts w:ascii="Arial Narrow" w:hAnsi="Arial Narrow"/>
                <w:b/>
                <w:bCs/>
                <w:sz w:val="18"/>
                <w:szCs w:val="18"/>
                <w:lang w:val="en-GB"/>
              </w:rPr>
            </w:pPr>
            <w:r w:rsidRPr="002F4224">
              <w:rPr>
                <w:rFonts w:ascii="Arial Narrow" w:hAnsi="Arial Narrow"/>
                <w:b/>
                <w:bCs/>
                <w:sz w:val="18"/>
                <w:szCs w:val="18"/>
                <w:lang w:val="en-GB"/>
              </w:rPr>
              <w:t>(TRAP-6 20 µM)</w:t>
            </w:r>
          </w:p>
        </w:tc>
        <w:tc>
          <w:tcPr>
            <w:tcW w:w="1744"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Median</w:t>
            </w:r>
            <w:r>
              <w:rPr>
                <w:rFonts w:ascii="Arial Narrow" w:hAnsi="Arial Narrow"/>
                <w:sz w:val="18"/>
                <w:szCs w:val="18"/>
                <w:lang w:val="en-GB"/>
              </w:rPr>
              <w:t xml:space="preserve"> (range)</w:t>
            </w:r>
          </w:p>
        </w:tc>
        <w:tc>
          <w:tcPr>
            <w:tcW w:w="1291"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136</w:t>
            </w:r>
            <w:r>
              <w:rPr>
                <w:rFonts w:ascii="Arial Narrow" w:hAnsi="Arial Narrow"/>
                <w:sz w:val="18"/>
                <w:szCs w:val="18"/>
                <w:lang w:val="en-GB"/>
              </w:rPr>
              <w:t xml:space="preserve"> (</w:t>
            </w:r>
            <w:r w:rsidRPr="001F5412">
              <w:rPr>
                <w:rFonts w:ascii="Arial Narrow" w:hAnsi="Arial Narrow"/>
                <w:sz w:val="18"/>
                <w:szCs w:val="18"/>
                <w:lang w:val="en-GB"/>
              </w:rPr>
              <w:t>100-194</w:t>
            </w:r>
            <w:r>
              <w:rPr>
                <w:rFonts w:ascii="Arial Narrow" w:hAnsi="Arial Narrow"/>
                <w:sz w:val="18"/>
                <w:szCs w:val="18"/>
                <w:lang w:val="en-GB"/>
              </w:rPr>
              <w:t>)</w:t>
            </w:r>
          </w:p>
        </w:tc>
        <w:tc>
          <w:tcPr>
            <w:tcW w:w="1135"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100</w:t>
            </w:r>
            <w:r>
              <w:rPr>
                <w:rFonts w:ascii="Arial Narrow" w:hAnsi="Arial Narrow"/>
                <w:sz w:val="18"/>
                <w:szCs w:val="18"/>
                <w:lang w:val="en-GB"/>
              </w:rPr>
              <w:t xml:space="preserve"> (</w:t>
            </w:r>
            <w:r w:rsidRPr="001F5412">
              <w:rPr>
                <w:rFonts w:ascii="Arial Narrow" w:hAnsi="Arial Narrow"/>
                <w:sz w:val="18"/>
                <w:szCs w:val="18"/>
                <w:lang w:val="en-GB"/>
              </w:rPr>
              <w:t>76-147</w:t>
            </w:r>
            <w:r>
              <w:rPr>
                <w:rFonts w:ascii="Arial Narrow" w:hAnsi="Arial Narrow"/>
                <w:sz w:val="18"/>
                <w:szCs w:val="18"/>
                <w:lang w:val="en-GB"/>
              </w:rPr>
              <w:t>)</w:t>
            </w:r>
          </w:p>
        </w:tc>
        <w:tc>
          <w:tcPr>
            <w:tcW w:w="1152" w:type="dxa"/>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1</w:t>
            </w:r>
            <w:r w:rsidR="00414D27" w:rsidRPr="00167861">
              <w:rPr>
                <w:rFonts w:ascii="Arial Narrow" w:hAnsi="Arial Narrow"/>
                <w:color w:val="000000" w:themeColor="text1"/>
                <w:sz w:val="18"/>
                <w:szCs w:val="18"/>
                <w:lang w:val="en-GB"/>
              </w:rPr>
              <w:t>08</w:t>
            </w:r>
            <w:r w:rsidRPr="00167861">
              <w:rPr>
                <w:rFonts w:ascii="Arial Narrow" w:hAnsi="Arial Narrow"/>
                <w:color w:val="000000" w:themeColor="text1"/>
                <w:sz w:val="18"/>
                <w:szCs w:val="18"/>
                <w:lang w:val="en-GB"/>
              </w:rPr>
              <w:t xml:space="preserve"> (69-194)</w:t>
            </w:r>
          </w:p>
        </w:tc>
        <w:tc>
          <w:tcPr>
            <w:tcW w:w="1271" w:type="dxa"/>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100 (7</w:t>
            </w:r>
            <w:r w:rsidR="00414D27" w:rsidRPr="00167861">
              <w:rPr>
                <w:rFonts w:ascii="Arial Narrow" w:hAnsi="Arial Narrow"/>
                <w:color w:val="000000" w:themeColor="text1"/>
                <w:sz w:val="18"/>
                <w:szCs w:val="18"/>
                <w:lang w:val="en-GB"/>
              </w:rPr>
              <w:t>2</w:t>
            </w:r>
            <w:r w:rsidRPr="00167861">
              <w:rPr>
                <w:rFonts w:ascii="Arial Narrow" w:hAnsi="Arial Narrow"/>
                <w:color w:val="000000" w:themeColor="text1"/>
                <w:sz w:val="18"/>
                <w:szCs w:val="18"/>
                <w:lang w:val="en-GB"/>
              </w:rPr>
              <w:t>-17</w:t>
            </w:r>
            <w:r w:rsidR="00414D27" w:rsidRPr="00167861">
              <w:rPr>
                <w:rFonts w:ascii="Arial Narrow" w:hAnsi="Arial Narrow"/>
                <w:color w:val="000000" w:themeColor="text1"/>
                <w:sz w:val="18"/>
                <w:szCs w:val="18"/>
                <w:lang w:val="en-GB"/>
              </w:rPr>
              <w:t>1</w:t>
            </w:r>
            <w:r w:rsidRPr="00167861">
              <w:rPr>
                <w:rFonts w:ascii="Arial Narrow" w:hAnsi="Arial Narrow"/>
                <w:color w:val="000000" w:themeColor="text1"/>
                <w:sz w:val="18"/>
                <w:szCs w:val="18"/>
                <w:lang w:val="en-GB"/>
              </w:rPr>
              <w:t>)</w:t>
            </w:r>
          </w:p>
        </w:tc>
      </w:tr>
      <w:tr w:rsidR="00FC5CD0" w:rsidTr="00E317D5">
        <w:tc>
          <w:tcPr>
            <w:tcW w:w="1103" w:type="dxa"/>
            <w:vMerge/>
          </w:tcPr>
          <w:p w:rsidR="00FC5CD0" w:rsidRPr="001F5412" w:rsidRDefault="00FC5CD0" w:rsidP="00E317D5">
            <w:pPr>
              <w:spacing w:line="276" w:lineRule="auto"/>
              <w:rPr>
                <w:rFonts w:ascii="Arial Narrow" w:hAnsi="Arial Narrow"/>
                <w:sz w:val="18"/>
                <w:szCs w:val="18"/>
                <w:lang w:val="en-GB"/>
              </w:rPr>
            </w:pPr>
          </w:p>
        </w:tc>
        <w:tc>
          <w:tcPr>
            <w:tcW w:w="658" w:type="dxa"/>
            <w:vMerge/>
          </w:tcPr>
          <w:p w:rsidR="00FC5CD0" w:rsidRPr="002F4224" w:rsidRDefault="00FC5CD0" w:rsidP="00E317D5">
            <w:pPr>
              <w:spacing w:line="276" w:lineRule="auto"/>
              <w:rPr>
                <w:rFonts w:ascii="Arial Narrow" w:hAnsi="Arial Narrow"/>
                <w:b/>
                <w:bCs/>
                <w:sz w:val="18"/>
                <w:szCs w:val="18"/>
                <w:lang w:val="en-GB"/>
              </w:rPr>
            </w:pPr>
          </w:p>
        </w:tc>
        <w:tc>
          <w:tcPr>
            <w:tcW w:w="1436" w:type="dxa"/>
            <w:vMerge/>
          </w:tcPr>
          <w:p w:rsidR="00FC5CD0" w:rsidRPr="002F4224" w:rsidRDefault="00FC5CD0" w:rsidP="00E317D5">
            <w:pPr>
              <w:spacing w:line="276" w:lineRule="auto"/>
              <w:jc w:val="left"/>
              <w:rPr>
                <w:rFonts w:ascii="Arial Narrow" w:hAnsi="Arial Narrow"/>
                <w:b/>
                <w:bCs/>
                <w:sz w:val="18"/>
                <w:szCs w:val="18"/>
                <w:lang w:val="en-GB"/>
              </w:rPr>
            </w:pPr>
          </w:p>
        </w:tc>
        <w:tc>
          <w:tcPr>
            <w:tcW w:w="1744"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Mean ± SD</w:t>
            </w:r>
          </w:p>
        </w:tc>
        <w:tc>
          <w:tcPr>
            <w:tcW w:w="1291"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144±39</w:t>
            </w:r>
          </w:p>
        </w:tc>
        <w:tc>
          <w:tcPr>
            <w:tcW w:w="1135"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102±29</w:t>
            </w:r>
          </w:p>
        </w:tc>
        <w:tc>
          <w:tcPr>
            <w:tcW w:w="1152" w:type="dxa"/>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12</w:t>
            </w:r>
            <w:r w:rsidR="00414D27" w:rsidRPr="00167861">
              <w:rPr>
                <w:rFonts w:ascii="Arial Narrow" w:hAnsi="Arial Narrow"/>
                <w:color w:val="000000" w:themeColor="text1"/>
                <w:sz w:val="18"/>
                <w:szCs w:val="18"/>
                <w:lang w:val="en-GB"/>
              </w:rPr>
              <w:t>2</w:t>
            </w:r>
            <w:r w:rsidRPr="00167861">
              <w:rPr>
                <w:rFonts w:ascii="Arial Narrow" w:hAnsi="Arial Narrow"/>
                <w:color w:val="000000" w:themeColor="text1"/>
                <w:sz w:val="18"/>
                <w:szCs w:val="18"/>
                <w:lang w:val="en-GB"/>
              </w:rPr>
              <w:t>±</w:t>
            </w:r>
            <w:r w:rsidR="00414D27" w:rsidRPr="00167861">
              <w:rPr>
                <w:rFonts w:ascii="Arial Narrow" w:hAnsi="Arial Narrow"/>
                <w:color w:val="000000" w:themeColor="text1"/>
                <w:sz w:val="18"/>
                <w:szCs w:val="18"/>
                <w:lang w:val="en-GB"/>
              </w:rPr>
              <w:t>40</w:t>
            </w:r>
          </w:p>
        </w:tc>
        <w:tc>
          <w:tcPr>
            <w:tcW w:w="1271" w:type="dxa"/>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105±2</w:t>
            </w:r>
            <w:r w:rsidR="00414D27" w:rsidRPr="00167861">
              <w:rPr>
                <w:rFonts w:ascii="Arial Narrow" w:hAnsi="Arial Narrow"/>
                <w:color w:val="000000" w:themeColor="text1"/>
                <w:sz w:val="18"/>
                <w:szCs w:val="18"/>
                <w:lang w:val="en-GB"/>
              </w:rPr>
              <w:t>5</w:t>
            </w:r>
          </w:p>
        </w:tc>
      </w:tr>
      <w:tr w:rsidR="00FC5CD0" w:rsidTr="00E317D5">
        <w:tc>
          <w:tcPr>
            <w:tcW w:w="1103" w:type="dxa"/>
            <w:vMerge/>
          </w:tcPr>
          <w:p w:rsidR="00FC5CD0" w:rsidRPr="001F5412" w:rsidRDefault="00FC5CD0" w:rsidP="00E317D5">
            <w:pPr>
              <w:spacing w:line="276" w:lineRule="auto"/>
              <w:rPr>
                <w:rFonts w:ascii="Arial Narrow" w:hAnsi="Arial Narrow"/>
                <w:sz w:val="18"/>
                <w:szCs w:val="18"/>
                <w:lang w:val="en-GB"/>
              </w:rPr>
            </w:pPr>
          </w:p>
        </w:tc>
        <w:tc>
          <w:tcPr>
            <w:tcW w:w="658" w:type="dxa"/>
            <w:vMerge/>
          </w:tcPr>
          <w:p w:rsidR="00FC5CD0" w:rsidRPr="002F4224" w:rsidRDefault="00FC5CD0" w:rsidP="00E317D5">
            <w:pPr>
              <w:spacing w:line="276" w:lineRule="auto"/>
              <w:rPr>
                <w:rFonts w:ascii="Arial Narrow" w:hAnsi="Arial Narrow"/>
                <w:b/>
                <w:bCs/>
                <w:sz w:val="18"/>
                <w:szCs w:val="18"/>
                <w:lang w:val="en-GB"/>
              </w:rPr>
            </w:pPr>
          </w:p>
        </w:tc>
        <w:tc>
          <w:tcPr>
            <w:tcW w:w="1436" w:type="dxa"/>
            <w:vMerge/>
          </w:tcPr>
          <w:p w:rsidR="00FC5CD0" w:rsidRPr="002F4224" w:rsidRDefault="00FC5CD0" w:rsidP="00E317D5">
            <w:pPr>
              <w:spacing w:line="276" w:lineRule="auto"/>
              <w:jc w:val="left"/>
              <w:rPr>
                <w:rFonts w:ascii="Arial Narrow" w:hAnsi="Arial Narrow"/>
                <w:b/>
                <w:bCs/>
                <w:sz w:val="18"/>
                <w:szCs w:val="18"/>
                <w:lang w:val="en-GB"/>
              </w:rPr>
            </w:pPr>
          </w:p>
        </w:tc>
        <w:tc>
          <w:tcPr>
            <w:tcW w:w="1744"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P25-P75</w:t>
            </w:r>
          </w:p>
        </w:tc>
        <w:tc>
          <w:tcPr>
            <w:tcW w:w="1291" w:type="dxa"/>
          </w:tcPr>
          <w:p w:rsidR="00FC5CD0" w:rsidRPr="001F5412" w:rsidRDefault="00FC5CD0" w:rsidP="00E317D5">
            <w:pPr>
              <w:spacing w:line="276" w:lineRule="auto"/>
              <w:jc w:val="center"/>
              <w:rPr>
                <w:rFonts w:ascii="Arial Narrow" w:hAnsi="Arial Narrow"/>
                <w:sz w:val="18"/>
                <w:szCs w:val="18"/>
                <w:lang w:val="en-GB"/>
              </w:rPr>
            </w:pPr>
            <w:r w:rsidRPr="00E65C68">
              <w:rPr>
                <w:rFonts w:ascii="Arial Narrow" w:hAnsi="Arial Narrow"/>
                <w:sz w:val="18"/>
                <w:szCs w:val="18"/>
                <w:lang w:val="en-GB"/>
              </w:rPr>
              <w:t>113</w:t>
            </w:r>
            <w:r>
              <w:rPr>
                <w:rFonts w:ascii="Arial Narrow" w:hAnsi="Arial Narrow"/>
                <w:sz w:val="18"/>
                <w:szCs w:val="18"/>
                <w:lang w:val="en-GB"/>
              </w:rPr>
              <w:t>-</w:t>
            </w:r>
            <w:r w:rsidRPr="00E65C68">
              <w:rPr>
                <w:rFonts w:ascii="Arial Narrow" w:hAnsi="Arial Narrow"/>
                <w:sz w:val="18"/>
                <w:szCs w:val="18"/>
                <w:lang w:val="en-GB"/>
              </w:rPr>
              <w:t>172</w:t>
            </w:r>
          </w:p>
        </w:tc>
        <w:tc>
          <w:tcPr>
            <w:tcW w:w="1135" w:type="dxa"/>
          </w:tcPr>
          <w:p w:rsidR="00FC5CD0" w:rsidRPr="001F5412" w:rsidRDefault="00FC5CD0" w:rsidP="00E317D5">
            <w:pPr>
              <w:spacing w:line="276" w:lineRule="auto"/>
              <w:jc w:val="center"/>
              <w:rPr>
                <w:rFonts w:ascii="Arial Narrow" w:hAnsi="Arial Narrow"/>
                <w:sz w:val="18"/>
                <w:szCs w:val="18"/>
                <w:lang w:val="en-GB"/>
              </w:rPr>
            </w:pPr>
            <w:r>
              <w:rPr>
                <w:rFonts w:ascii="Arial Narrow" w:hAnsi="Arial Narrow"/>
                <w:sz w:val="18"/>
                <w:szCs w:val="18"/>
                <w:lang w:val="en-GB"/>
              </w:rPr>
              <w:t>88-110</w:t>
            </w:r>
          </w:p>
        </w:tc>
        <w:tc>
          <w:tcPr>
            <w:tcW w:w="1152" w:type="dxa"/>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9</w:t>
            </w:r>
            <w:r w:rsidR="00414D27" w:rsidRPr="00167861">
              <w:rPr>
                <w:rFonts w:ascii="Arial Narrow" w:hAnsi="Arial Narrow"/>
                <w:color w:val="000000" w:themeColor="text1"/>
                <w:sz w:val="18"/>
                <w:szCs w:val="18"/>
                <w:lang w:val="en-GB"/>
              </w:rPr>
              <w:t>3</w:t>
            </w:r>
            <w:r w:rsidRPr="00167861">
              <w:rPr>
                <w:rFonts w:ascii="Arial Narrow" w:hAnsi="Arial Narrow"/>
                <w:color w:val="000000" w:themeColor="text1"/>
                <w:sz w:val="18"/>
                <w:szCs w:val="18"/>
                <w:lang w:val="en-GB"/>
              </w:rPr>
              <w:t>-157</w:t>
            </w:r>
          </w:p>
        </w:tc>
        <w:tc>
          <w:tcPr>
            <w:tcW w:w="1271" w:type="dxa"/>
          </w:tcPr>
          <w:p w:rsidR="00FC5CD0" w:rsidRPr="00167861" w:rsidRDefault="00414D27"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90</w:t>
            </w:r>
            <w:r w:rsidR="00FC5CD0" w:rsidRPr="00167861">
              <w:rPr>
                <w:rFonts w:ascii="Arial Narrow" w:hAnsi="Arial Narrow"/>
                <w:color w:val="000000" w:themeColor="text1"/>
                <w:sz w:val="18"/>
                <w:szCs w:val="18"/>
                <w:lang w:val="en-GB"/>
              </w:rPr>
              <w:t>-119</w:t>
            </w:r>
          </w:p>
        </w:tc>
      </w:tr>
      <w:tr w:rsidR="00FC5CD0" w:rsidTr="00E317D5">
        <w:tc>
          <w:tcPr>
            <w:tcW w:w="1103" w:type="dxa"/>
            <w:vMerge/>
          </w:tcPr>
          <w:p w:rsidR="00FC5CD0" w:rsidRPr="001F5412" w:rsidRDefault="00FC5CD0" w:rsidP="00E317D5">
            <w:pPr>
              <w:spacing w:line="276" w:lineRule="auto"/>
              <w:rPr>
                <w:rFonts w:ascii="Arial Narrow" w:hAnsi="Arial Narrow"/>
                <w:sz w:val="18"/>
                <w:szCs w:val="18"/>
                <w:lang w:val="en-GB"/>
              </w:rPr>
            </w:pPr>
          </w:p>
        </w:tc>
        <w:tc>
          <w:tcPr>
            <w:tcW w:w="658" w:type="dxa"/>
            <w:vMerge/>
          </w:tcPr>
          <w:p w:rsidR="00FC5CD0" w:rsidRPr="002F4224" w:rsidRDefault="00FC5CD0" w:rsidP="00E317D5">
            <w:pPr>
              <w:spacing w:line="276" w:lineRule="auto"/>
              <w:rPr>
                <w:rFonts w:ascii="Arial Narrow" w:hAnsi="Arial Narrow"/>
                <w:b/>
                <w:bCs/>
                <w:sz w:val="18"/>
                <w:szCs w:val="18"/>
                <w:lang w:val="en-GB"/>
              </w:rPr>
            </w:pPr>
          </w:p>
        </w:tc>
        <w:tc>
          <w:tcPr>
            <w:tcW w:w="1436" w:type="dxa"/>
            <w:vMerge/>
          </w:tcPr>
          <w:p w:rsidR="00FC5CD0" w:rsidRPr="002F4224" w:rsidRDefault="00FC5CD0" w:rsidP="00E317D5">
            <w:pPr>
              <w:spacing w:line="276" w:lineRule="auto"/>
              <w:jc w:val="left"/>
              <w:rPr>
                <w:rFonts w:ascii="Arial Narrow" w:hAnsi="Arial Narrow"/>
                <w:b/>
                <w:bCs/>
                <w:sz w:val="18"/>
                <w:szCs w:val="18"/>
                <w:lang w:val="en-GB"/>
              </w:rPr>
            </w:pPr>
          </w:p>
        </w:tc>
        <w:tc>
          <w:tcPr>
            <w:tcW w:w="1744"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P10-P90</w:t>
            </w:r>
          </w:p>
        </w:tc>
        <w:tc>
          <w:tcPr>
            <w:tcW w:w="1291" w:type="dxa"/>
          </w:tcPr>
          <w:p w:rsidR="00FC5CD0" w:rsidRPr="001F5412" w:rsidRDefault="00FC5CD0" w:rsidP="00E317D5">
            <w:pPr>
              <w:spacing w:line="276" w:lineRule="auto"/>
              <w:jc w:val="center"/>
              <w:rPr>
                <w:rFonts w:ascii="Arial Narrow" w:hAnsi="Arial Narrow"/>
                <w:sz w:val="18"/>
                <w:szCs w:val="18"/>
                <w:lang w:val="en-GB"/>
              </w:rPr>
            </w:pPr>
            <w:r>
              <w:rPr>
                <w:rFonts w:ascii="Arial Narrow" w:hAnsi="Arial Narrow"/>
                <w:sz w:val="18"/>
                <w:szCs w:val="18"/>
                <w:lang w:val="en-GB"/>
              </w:rPr>
              <w:t>101-193</w:t>
            </w:r>
          </w:p>
        </w:tc>
        <w:tc>
          <w:tcPr>
            <w:tcW w:w="1135" w:type="dxa"/>
          </w:tcPr>
          <w:p w:rsidR="00FC5CD0" w:rsidRPr="001F5412" w:rsidRDefault="00FC5CD0" w:rsidP="00E317D5">
            <w:pPr>
              <w:spacing w:line="276" w:lineRule="auto"/>
              <w:jc w:val="center"/>
              <w:rPr>
                <w:rFonts w:ascii="Arial Narrow" w:hAnsi="Arial Narrow"/>
                <w:sz w:val="18"/>
                <w:szCs w:val="18"/>
                <w:lang w:val="en-GB"/>
              </w:rPr>
            </w:pPr>
            <w:r>
              <w:rPr>
                <w:rFonts w:ascii="Arial Narrow" w:hAnsi="Arial Narrow"/>
                <w:sz w:val="18"/>
                <w:szCs w:val="18"/>
                <w:lang w:val="en-GB"/>
              </w:rPr>
              <w:t>82-122</w:t>
            </w:r>
          </w:p>
        </w:tc>
        <w:tc>
          <w:tcPr>
            <w:tcW w:w="1152" w:type="dxa"/>
          </w:tcPr>
          <w:p w:rsidR="00FC5CD0" w:rsidRPr="00167861" w:rsidRDefault="00414D27"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79</w:t>
            </w:r>
            <w:r w:rsidR="00FC5CD0" w:rsidRPr="00167861">
              <w:rPr>
                <w:rFonts w:ascii="Arial Narrow" w:hAnsi="Arial Narrow"/>
                <w:color w:val="000000" w:themeColor="text1"/>
                <w:sz w:val="18"/>
                <w:szCs w:val="18"/>
                <w:lang w:val="en-GB"/>
              </w:rPr>
              <w:t>-18</w:t>
            </w:r>
            <w:r w:rsidRPr="00167861">
              <w:rPr>
                <w:rFonts w:ascii="Arial Narrow" w:hAnsi="Arial Narrow"/>
                <w:color w:val="000000" w:themeColor="text1"/>
                <w:sz w:val="18"/>
                <w:szCs w:val="18"/>
                <w:lang w:val="en-GB"/>
              </w:rPr>
              <w:t>4</w:t>
            </w:r>
          </w:p>
        </w:tc>
        <w:tc>
          <w:tcPr>
            <w:tcW w:w="1271" w:type="dxa"/>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75-13</w:t>
            </w:r>
            <w:r w:rsidR="00414D27" w:rsidRPr="00167861">
              <w:rPr>
                <w:rFonts w:ascii="Arial Narrow" w:hAnsi="Arial Narrow"/>
                <w:color w:val="000000" w:themeColor="text1"/>
                <w:sz w:val="18"/>
                <w:szCs w:val="18"/>
                <w:lang w:val="en-GB"/>
              </w:rPr>
              <w:t>6</w:t>
            </w:r>
          </w:p>
        </w:tc>
      </w:tr>
      <w:tr w:rsidR="00FC5CD0" w:rsidTr="00E317D5">
        <w:tc>
          <w:tcPr>
            <w:tcW w:w="1103" w:type="dxa"/>
            <w:vMerge/>
          </w:tcPr>
          <w:p w:rsidR="00FC5CD0" w:rsidRPr="001F5412" w:rsidRDefault="00FC5CD0" w:rsidP="00E317D5">
            <w:pPr>
              <w:spacing w:line="276" w:lineRule="auto"/>
              <w:rPr>
                <w:rFonts w:ascii="Arial Narrow" w:hAnsi="Arial Narrow"/>
                <w:sz w:val="18"/>
                <w:szCs w:val="18"/>
                <w:lang w:val="en-GB"/>
              </w:rPr>
            </w:pPr>
          </w:p>
        </w:tc>
        <w:tc>
          <w:tcPr>
            <w:tcW w:w="658" w:type="dxa"/>
            <w:vMerge/>
          </w:tcPr>
          <w:p w:rsidR="00FC5CD0" w:rsidRPr="002F4224" w:rsidRDefault="00FC5CD0" w:rsidP="00E317D5">
            <w:pPr>
              <w:spacing w:line="276" w:lineRule="auto"/>
              <w:rPr>
                <w:rFonts w:ascii="Arial Narrow" w:hAnsi="Arial Narrow"/>
                <w:b/>
                <w:bCs/>
                <w:sz w:val="18"/>
                <w:szCs w:val="18"/>
                <w:lang w:val="en-GB"/>
              </w:rPr>
            </w:pPr>
          </w:p>
        </w:tc>
        <w:tc>
          <w:tcPr>
            <w:tcW w:w="1436" w:type="dxa"/>
            <w:vMerge/>
          </w:tcPr>
          <w:p w:rsidR="00FC5CD0" w:rsidRPr="002F4224" w:rsidRDefault="00FC5CD0" w:rsidP="00E317D5">
            <w:pPr>
              <w:spacing w:line="276" w:lineRule="auto"/>
              <w:jc w:val="left"/>
              <w:rPr>
                <w:rFonts w:ascii="Arial Narrow" w:hAnsi="Arial Narrow"/>
                <w:b/>
                <w:bCs/>
                <w:sz w:val="18"/>
                <w:szCs w:val="18"/>
                <w:lang w:val="en-GB"/>
              </w:rPr>
            </w:pPr>
          </w:p>
        </w:tc>
        <w:tc>
          <w:tcPr>
            <w:tcW w:w="1744" w:type="dxa"/>
            <w:shd w:val="clear" w:color="auto" w:fill="E2EFD9" w:themeFill="accent6" w:themeFillTint="33"/>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P5-P95</w:t>
            </w:r>
          </w:p>
        </w:tc>
        <w:tc>
          <w:tcPr>
            <w:tcW w:w="1291" w:type="dxa"/>
            <w:shd w:val="clear" w:color="auto" w:fill="E2EFD9" w:themeFill="accent6" w:themeFillTint="33"/>
          </w:tcPr>
          <w:p w:rsidR="00FC5CD0" w:rsidRPr="001F5412" w:rsidRDefault="00FC5CD0" w:rsidP="00E317D5">
            <w:pPr>
              <w:spacing w:line="276" w:lineRule="auto"/>
              <w:jc w:val="center"/>
              <w:rPr>
                <w:rFonts w:ascii="Arial Narrow" w:hAnsi="Arial Narrow"/>
                <w:sz w:val="18"/>
                <w:szCs w:val="18"/>
                <w:lang w:val="en-GB"/>
              </w:rPr>
            </w:pPr>
            <w:r w:rsidRPr="00CD56CB">
              <w:rPr>
                <w:rFonts w:ascii="Arial Narrow" w:hAnsi="Arial Narrow"/>
                <w:b/>
                <w:bCs/>
                <w:sz w:val="18"/>
                <w:szCs w:val="18"/>
                <w:lang w:val="en-GB"/>
              </w:rPr>
              <w:t>100</w:t>
            </w:r>
            <w:r>
              <w:rPr>
                <w:rFonts w:ascii="Arial Narrow" w:hAnsi="Arial Narrow"/>
                <w:sz w:val="18"/>
                <w:szCs w:val="18"/>
                <w:lang w:val="en-GB"/>
              </w:rPr>
              <w:t>-194</w:t>
            </w:r>
          </w:p>
        </w:tc>
        <w:tc>
          <w:tcPr>
            <w:tcW w:w="1135" w:type="dxa"/>
            <w:shd w:val="clear" w:color="auto" w:fill="E2EFD9" w:themeFill="accent6" w:themeFillTint="33"/>
          </w:tcPr>
          <w:p w:rsidR="00FC5CD0" w:rsidRPr="001F5412" w:rsidRDefault="00FC5CD0" w:rsidP="00E317D5">
            <w:pPr>
              <w:spacing w:line="276" w:lineRule="auto"/>
              <w:jc w:val="center"/>
              <w:rPr>
                <w:rFonts w:ascii="Arial Narrow" w:hAnsi="Arial Narrow"/>
                <w:sz w:val="18"/>
                <w:szCs w:val="18"/>
                <w:lang w:val="en-GB"/>
              </w:rPr>
            </w:pPr>
            <w:r w:rsidRPr="00CD56CB">
              <w:rPr>
                <w:rFonts w:ascii="Arial Narrow" w:hAnsi="Arial Narrow"/>
                <w:b/>
                <w:bCs/>
                <w:sz w:val="18"/>
                <w:szCs w:val="18"/>
                <w:lang w:val="en-GB"/>
              </w:rPr>
              <w:t>79</w:t>
            </w:r>
            <w:r>
              <w:rPr>
                <w:rFonts w:ascii="Arial Narrow" w:hAnsi="Arial Narrow"/>
                <w:sz w:val="18"/>
                <w:szCs w:val="18"/>
                <w:lang w:val="en-GB"/>
              </w:rPr>
              <w:t>-134</w:t>
            </w:r>
          </w:p>
        </w:tc>
        <w:tc>
          <w:tcPr>
            <w:tcW w:w="1152" w:type="dxa"/>
            <w:shd w:val="clear" w:color="auto" w:fill="E2EFD9" w:themeFill="accent6" w:themeFillTint="33"/>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b/>
                <w:bCs/>
                <w:color w:val="000000" w:themeColor="text1"/>
                <w:sz w:val="18"/>
                <w:szCs w:val="18"/>
                <w:lang w:val="en-GB"/>
              </w:rPr>
              <w:t>7</w:t>
            </w:r>
            <w:r w:rsidR="00414D27" w:rsidRPr="00167861">
              <w:rPr>
                <w:rFonts w:ascii="Arial Narrow" w:hAnsi="Arial Narrow"/>
                <w:b/>
                <w:bCs/>
                <w:color w:val="000000" w:themeColor="text1"/>
                <w:sz w:val="18"/>
                <w:szCs w:val="18"/>
                <w:lang w:val="en-GB"/>
              </w:rPr>
              <w:t>3</w:t>
            </w:r>
            <w:r w:rsidRPr="00167861">
              <w:rPr>
                <w:rFonts w:ascii="Arial Narrow" w:hAnsi="Arial Narrow"/>
                <w:color w:val="000000" w:themeColor="text1"/>
                <w:sz w:val="18"/>
                <w:szCs w:val="18"/>
                <w:lang w:val="en-GB"/>
              </w:rPr>
              <w:t>-19</w:t>
            </w:r>
            <w:r w:rsidR="00414D27" w:rsidRPr="00167861">
              <w:rPr>
                <w:rFonts w:ascii="Arial Narrow" w:hAnsi="Arial Narrow"/>
                <w:color w:val="000000" w:themeColor="text1"/>
                <w:sz w:val="18"/>
                <w:szCs w:val="18"/>
                <w:lang w:val="en-GB"/>
              </w:rPr>
              <w:t>1</w:t>
            </w:r>
          </w:p>
        </w:tc>
        <w:tc>
          <w:tcPr>
            <w:tcW w:w="1271" w:type="dxa"/>
            <w:shd w:val="clear" w:color="auto" w:fill="E2EFD9" w:themeFill="accent6" w:themeFillTint="33"/>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b/>
                <w:bCs/>
                <w:color w:val="000000" w:themeColor="text1"/>
                <w:sz w:val="18"/>
                <w:szCs w:val="18"/>
                <w:lang w:val="en-GB"/>
              </w:rPr>
              <w:t>73</w:t>
            </w:r>
            <w:r w:rsidRPr="00167861">
              <w:rPr>
                <w:rFonts w:ascii="Arial Narrow" w:hAnsi="Arial Narrow"/>
                <w:color w:val="000000" w:themeColor="text1"/>
                <w:sz w:val="18"/>
                <w:szCs w:val="18"/>
                <w:lang w:val="en-GB"/>
              </w:rPr>
              <w:t>-1</w:t>
            </w:r>
            <w:r w:rsidR="00414D27" w:rsidRPr="00167861">
              <w:rPr>
                <w:rFonts w:ascii="Arial Narrow" w:hAnsi="Arial Narrow"/>
                <w:color w:val="000000" w:themeColor="text1"/>
                <w:sz w:val="18"/>
                <w:szCs w:val="18"/>
                <w:lang w:val="en-GB"/>
              </w:rPr>
              <w:t>41</w:t>
            </w:r>
          </w:p>
        </w:tc>
      </w:tr>
      <w:tr w:rsidR="00FC5CD0" w:rsidTr="00E317D5">
        <w:tc>
          <w:tcPr>
            <w:tcW w:w="1103" w:type="dxa"/>
            <w:vMerge/>
          </w:tcPr>
          <w:p w:rsidR="00FC5CD0" w:rsidRPr="001F5412" w:rsidRDefault="00FC5CD0" w:rsidP="00E317D5">
            <w:pPr>
              <w:spacing w:line="276" w:lineRule="auto"/>
              <w:rPr>
                <w:rFonts w:ascii="Arial Narrow" w:hAnsi="Arial Narrow"/>
                <w:sz w:val="18"/>
                <w:szCs w:val="18"/>
                <w:lang w:val="en-GB"/>
              </w:rPr>
            </w:pPr>
          </w:p>
        </w:tc>
        <w:tc>
          <w:tcPr>
            <w:tcW w:w="658" w:type="dxa"/>
            <w:vMerge w:val="restart"/>
          </w:tcPr>
          <w:p w:rsidR="00FC5CD0" w:rsidRPr="002F4224" w:rsidRDefault="00FC5CD0" w:rsidP="00E317D5">
            <w:pPr>
              <w:spacing w:line="276" w:lineRule="auto"/>
              <w:rPr>
                <w:rFonts w:ascii="Arial Narrow" w:hAnsi="Arial Narrow"/>
                <w:b/>
                <w:bCs/>
                <w:sz w:val="18"/>
                <w:szCs w:val="18"/>
                <w:lang w:val="en-GB"/>
              </w:rPr>
            </w:pPr>
            <w:r w:rsidRPr="002F4224">
              <w:rPr>
                <w:rFonts w:ascii="Arial Narrow" w:hAnsi="Arial Narrow"/>
                <w:b/>
                <w:bCs/>
                <w:sz w:val="18"/>
                <w:szCs w:val="18"/>
                <w:lang w:val="en-GB"/>
              </w:rPr>
              <w:t>bFG</w:t>
            </w:r>
          </w:p>
        </w:tc>
        <w:tc>
          <w:tcPr>
            <w:tcW w:w="1436" w:type="dxa"/>
            <w:vMerge w:val="restart"/>
          </w:tcPr>
          <w:p w:rsidR="00FC5CD0" w:rsidRPr="002F4224" w:rsidRDefault="00FC5CD0" w:rsidP="00E317D5">
            <w:pPr>
              <w:spacing w:line="276" w:lineRule="auto"/>
              <w:jc w:val="left"/>
              <w:rPr>
                <w:rFonts w:ascii="Arial Narrow" w:hAnsi="Arial Narrow"/>
                <w:b/>
                <w:bCs/>
                <w:sz w:val="18"/>
                <w:szCs w:val="18"/>
                <w:lang w:val="en-GB"/>
              </w:rPr>
            </w:pPr>
            <w:r w:rsidRPr="002F4224">
              <w:rPr>
                <w:rFonts w:ascii="Arial Narrow" w:hAnsi="Arial Narrow"/>
                <w:b/>
                <w:bCs/>
                <w:sz w:val="18"/>
                <w:szCs w:val="18"/>
                <w:lang w:val="en-GB"/>
              </w:rPr>
              <w:t>Unstimulated</w:t>
            </w:r>
          </w:p>
          <w:p w:rsidR="00FC5CD0" w:rsidRPr="002F4224" w:rsidRDefault="00FC5CD0" w:rsidP="00E317D5">
            <w:pPr>
              <w:spacing w:line="276" w:lineRule="auto"/>
              <w:jc w:val="left"/>
              <w:rPr>
                <w:rFonts w:ascii="Arial Narrow" w:hAnsi="Arial Narrow"/>
                <w:b/>
                <w:bCs/>
                <w:sz w:val="18"/>
                <w:szCs w:val="18"/>
                <w:lang w:val="en-GB"/>
              </w:rPr>
            </w:pPr>
            <w:r w:rsidRPr="002F4224">
              <w:rPr>
                <w:rFonts w:ascii="Arial Narrow" w:hAnsi="Arial Narrow"/>
                <w:b/>
                <w:bCs/>
                <w:sz w:val="18"/>
                <w:szCs w:val="18"/>
                <w:lang w:val="en-GB"/>
              </w:rPr>
              <w:t>(PBS)</w:t>
            </w:r>
          </w:p>
        </w:tc>
        <w:tc>
          <w:tcPr>
            <w:tcW w:w="1744"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Median</w:t>
            </w:r>
            <w:r>
              <w:rPr>
                <w:rFonts w:ascii="Arial Narrow" w:hAnsi="Arial Narrow"/>
                <w:sz w:val="18"/>
                <w:szCs w:val="18"/>
                <w:lang w:val="en-GB"/>
              </w:rPr>
              <w:t xml:space="preserve"> (range)</w:t>
            </w:r>
          </w:p>
        </w:tc>
        <w:tc>
          <w:tcPr>
            <w:tcW w:w="1291"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0</w:t>
            </w:r>
            <w:r>
              <w:rPr>
                <w:rFonts w:ascii="Arial Narrow" w:hAnsi="Arial Narrow"/>
                <w:sz w:val="18"/>
                <w:szCs w:val="18"/>
                <w:lang w:val="en-GB"/>
              </w:rPr>
              <w:t xml:space="preserve"> (0-1)</w:t>
            </w:r>
            <w:r w:rsidR="007A18BD">
              <w:rPr>
                <w:rFonts w:ascii="Arial Narrow" w:hAnsi="Arial Narrow"/>
                <w:sz w:val="18"/>
                <w:szCs w:val="18"/>
                <w:lang w:val="en-GB"/>
              </w:rPr>
              <w:t xml:space="preserve"> **</w:t>
            </w:r>
          </w:p>
        </w:tc>
        <w:tc>
          <w:tcPr>
            <w:tcW w:w="1135"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NA</w:t>
            </w:r>
          </w:p>
        </w:tc>
        <w:tc>
          <w:tcPr>
            <w:tcW w:w="1152" w:type="dxa"/>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0 (0-</w:t>
            </w:r>
            <w:r w:rsidR="00414D27" w:rsidRPr="00167861">
              <w:rPr>
                <w:rFonts w:ascii="Arial Narrow" w:hAnsi="Arial Narrow"/>
                <w:color w:val="000000" w:themeColor="text1"/>
                <w:sz w:val="18"/>
                <w:szCs w:val="18"/>
                <w:lang w:val="en-GB"/>
              </w:rPr>
              <w:t>1</w:t>
            </w:r>
            <w:r w:rsidRPr="00167861">
              <w:rPr>
                <w:rFonts w:ascii="Arial Narrow" w:hAnsi="Arial Narrow"/>
                <w:color w:val="000000" w:themeColor="text1"/>
                <w:sz w:val="18"/>
                <w:szCs w:val="18"/>
                <w:lang w:val="en-GB"/>
              </w:rPr>
              <w:t>)</w:t>
            </w:r>
            <w:r w:rsidR="007A18BD" w:rsidRPr="00167861">
              <w:rPr>
                <w:rFonts w:ascii="Arial Narrow" w:hAnsi="Arial Narrow"/>
                <w:color w:val="000000" w:themeColor="text1"/>
                <w:sz w:val="18"/>
                <w:szCs w:val="18"/>
                <w:lang w:val="en-GB"/>
              </w:rPr>
              <w:t xml:space="preserve"> **</w:t>
            </w:r>
          </w:p>
        </w:tc>
        <w:tc>
          <w:tcPr>
            <w:tcW w:w="1271" w:type="dxa"/>
          </w:tcPr>
          <w:p w:rsidR="00FC5CD0" w:rsidRPr="00167861" w:rsidRDefault="00FC5CD0" w:rsidP="00E317D5">
            <w:pPr>
              <w:spacing w:line="276" w:lineRule="auto"/>
              <w:jc w:val="center"/>
              <w:rPr>
                <w:color w:val="000000" w:themeColor="text1"/>
              </w:rPr>
            </w:pPr>
            <w:r w:rsidRPr="00167861">
              <w:rPr>
                <w:rFonts w:ascii="Arial Narrow" w:hAnsi="Arial Narrow"/>
                <w:color w:val="000000" w:themeColor="text1"/>
                <w:sz w:val="18"/>
                <w:szCs w:val="18"/>
                <w:lang w:val="en-GB"/>
              </w:rPr>
              <w:t>NA</w:t>
            </w:r>
          </w:p>
        </w:tc>
      </w:tr>
      <w:tr w:rsidR="00FC5CD0" w:rsidTr="00E317D5">
        <w:tc>
          <w:tcPr>
            <w:tcW w:w="1103" w:type="dxa"/>
            <w:vMerge/>
          </w:tcPr>
          <w:p w:rsidR="00FC5CD0" w:rsidRPr="001F5412" w:rsidRDefault="00FC5CD0" w:rsidP="00E317D5">
            <w:pPr>
              <w:spacing w:line="276" w:lineRule="auto"/>
              <w:rPr>
                <w:rFonts w:ascii="Arial Narrow" w:hAnsi="Arial Narrow"/>
                <w:sz w:val="18"/>
                <w:szCs w:val="18"/>
                <w:lang w:val="en-GB"/>
              </w:rPr>
            </w:pPr>
          </w:p>
        </w:tc>
        <w:tc>
          <w:tcPr>
            <w:tcW w:w="658" w:type="dxa"/>
            <w:vMerge/>
          </w:tcPr>
          <w:p w:rsidR="00FC5CD0" w:rsidRPr="002F4224" w:rsidRDefault="00FC5CD0" w:rsidP="00E317D5">
            <w:pPr>
              <w:spacing w:line="276" w:lineRule="auto"/>
              <w:rPr>
                <w:rFonts w:ascii="Arial Narrow" w:hAnsi="Arial Narrow"/>
                <w:b/>
                <w:bCs/>
                <w:sz w:val="18"/>
                <w:szCs w:val="18"/>
                <w:lang w:val="en-GB"/>
              </w:rPr>
            </w:pPr>
          </w:p>
        </w:tc>
        <w:tc>
          <w:tcPr>
            <w:tcW w:w="1436" w:type="dxa"/>
            <w:vMerge/>
          </w:tcPr>
          <w:p w:rsidR="00FC5CD0" w:rsidRPr="002F4224" w:rsidRDefault="00FC5CD0" w:rsidP="00E317D5">
            <w:pPr>
              <w:spacing w:line="276" w:lineRule="auto"/>
              <w:jc w:val="left"/>
              <w:rPr>
                <w:rFonts w:ascii="Arial Narrow" w:hAnsi="Arial Narrow"/>
                <w:b/>
                <w:bCs/>
                <w:sz w:val="18"/>
                <w:szCs w:val="18"/>
                <w:lang w:val="en-GB"/>
              </w:rPr>
            </w:pPr>
          </w:p>
        </w:tc>
        <w:tc>
          <w:tcPr>
            <w:tcW w:w="1744"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Mean ± SD</w:t>
            </w:r>
          </w:p>
        </w:tc>
        <w:tc>
          <w:tcPr>
            <w:tcW w:w="1291"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0±1</w:t>
            </w:r>
          </w:p>
        </w:tc>
        <w:tc>
          <w:tcPr>
            <w:tcW w:w="1135" w:type="dxa"/>
          </w:tcPr>
          <w:p w:rsidR="00FC5CD0" w:rsidRDefault="00FC5CD0" w:rsidP="00E317D5">
            <w:pPr>
              <w:spacing w:line="276" w:lineRule="auto"/>
              <w:jc w:val="center"/>
            </w:pPr>
            <w:r w:rsidRPr="00000493">
              <w:rPr>
                <w:rFonts w:ascii="Arial Narrow" w:hAnsi="Arial Narrow"/>
                <w:sz w:val="18"/>
                <w:szCs w:val="18"/>
                <w:lang w:val="en-GB"/>
              </w:rPr>
              <w:t>NA</w:t>
            </w:r>
          </w:p>
        </w:tc>
        <w:tc>
          <w:tcPr>
            <w:tcW w:w="1152" w:type="dxa"/>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0±</w:t>
            </w:r>
            <w:r w:rsidR="00414D27" w:rsidRPr="00167861">
              <w:rPr>
                <w:rFonts w:ascii="Arial Narrow" w:hAnsi="Arial Narrow"/>
                <w:color w:val="000000" w:themeColor="text1"/>
                <w:sz w:val="18"/>
                <w:szCs w:val="18"/>
                <w:lang w:val="en-GB"/>
              </w:rPr>
              <w:t>0</w:t>
            </w:r>
          </w:p>
        </w:tc>
        <w:tc>
          <w:tcPr>
            <w:tcW w:w="1271" w:type="dxa"/>
          </w:tcPr>
          <w:p w:rsidR="00FC5CD0" w:rsidRPr="00167861" w:rsidRDefault="00FC5CD0" w:rsidP="00E317D5">
            <w:pPr>
              <w:spacing w:line="276" w:lineRule="auto"/>
              <w:jc w:val="center"/>
              <w:rPr>
                <w:color w:val="000000" w:themeColor="text1"/>
              </w:rPr>
            </w:pPr>
            <w:r w:rsidRPr="00167861">
              <w:rPr>
                <w:rFonts w:ascii="Arial Narrow" w:hAnsi="Arial Narrow"/>
                <w:color w:val="000000" w:themeColor="text1"/>
                <w:sz w:val="18"/>
                <w:szCs w:val="18"/>
                <w:lang w:val="en-GB"/>
              </w:rPr>
              <w:t>NA</w:t>
            </w:r>
          </w:p>
        </w:tc>
      </w:tr>
      <w:tr w:rsidR="00FC5CD0" w:rsidTr="00E317D5">
        <w:tc>
          <w:tcPr>
            <w:tcW w:w="1103" w:type="dxa"/>
            <w:vMerge/>
          </w:tcPr>
          <w:p w:rsidR="00FC5CD0" w:rsidRPr="001F5412" w:rsidRDefault="00FC5CD0" w:rsidP="00E317D5">
            <w:pPr>
              <w:spacing w:line="276" w:lineRule="auto"/>
              <w:rPr>
                <w:rFonts w:ascii="Arial Narrow" w:hAnsi="Arial Narrow"/>
                <w:sz w:val="18"/>
                <w:szCs w:val="18"/>
                <w:lang w:val="en-GB"/>
              </w:rPr>
            </w:pPr>
          </w:p>
        </w:tc>
        <w:tc>
          <w:tcPr>
            <w:tcW w:w="658" w:type="dxa"/>
            <w:vMerge/>
          </w:tcPr>
          <w:p w:rsidR="00FC5CD0" w:rsidRPr="002F4224" w:rsidRDefault="00FC5CD0" w:rsidP="00E317D5">
            <w:pPr>
              <w:spacing w:line="276" w:lineRule="auto"/>
              <w:rPr>
                <w:rFonts w:ascii="Arial Narrow" w:hAnsi="Arial Narrow"/>
                <w:b/>
                <w:bCs/>
                <w:sz w:val="18"/>
                <w:szCs w:val="18"/>
                <w:lang w:val="en-GB"/>
              </w:rPr>
            </w:pPr>
          </w:p>
        </w:tc>
        <w:tc>
          <w:tcPr>
            <w:tcW w:w="1436" w:type="dxa"/>
            <w:vMerge/>
          </w:tcPr>
          <w:p w:rsidR="00FC5CD0" w:rsidRPr="002F4224" w:rsidRDefault="00FC5CD0" w:rsidP="00E317D5">
            <w:pPr>
              <w:spacing w:line="276" w:lineRule="auto"/>
              <w:jc w:val="left"/>
              <w:rPr>
                <w:rFonts w:ascii="Arial Narrow" w:hAnsi="Arial Narrow"/>
                <w:b/>
                <w:bCs/>
                <w:sz w:val="18"/>
                <w:szCs w:val="18"/>
                <w:lang w:val="en-GB"/>
              </w:rPr>
            </w:pPr>
          </w:p>
        </w:tc>
        <w:tc>
          <w:tcPr>
            <w:tcW w:w="1744"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P25-P75</w:t>
            </w:r>
          </w:p>
        </w:tc>
        <w:tc>
          <w:tcPr>
            <w:tcW w:w="1291" w:type="dxa"/>
          </w:tcPr>
          <w:p w:rsidR="00FC5CD0" w:rsidRPr="001F5412" w:rsidRDefault="00FC5CD0" w:rsidP="00E317D5">
            <w:pPr>
              <w:spacing w:line="276" w:lineRule="auto"/>
              <w:jc w:val="center"/>
              <w:rPr>
                <w:rFonts w:ascii="Arial Narrow" w:hAnsi="Arial Narrow"/>
                <w:sz w:val="18"/>
                <w:szCs w:val="18"/>
                <w:lang w:val="en-GB"/>
              </w:rPr>
            </w:pPr>
            <w:r>
              <w:rPr>
                <w:rFonts w:ascii="Arial Narrow" w:hAnsi="Arial Narrow"/>
                <w:sz w:val="18"/>
                <w:szCs w:val="18"/>
                <w:lang w:val="en-GB"/>
              </w:rPr>
              <w:t>0-0</w:t>
            </w:r>
          </w:p>
        </w:tc>
        <w:tc>
          <w:tcPr>
            <w:tcW w:w="1135" w:type="dxa"/>
          </w:tcPr>
          <w:p w:rsidR="00FC5CD0" w:rsidRDefault="00FC5CD0" w:rsidP="00E317D5">
            <w:pPr>
              <w:spacing w:line="276" w:lineRule="auto"/>
              <w:jc w:val="center"/>
            </w:pPr>
            <w:r w:rsidRPr="00000493">
              <w:rPr>
                <w:rFonts w:ascii="Arial Narrow" w:hAnsi="Arial Narrow"/>
                <w:sz w:val="18"/>
                <w:szCs w:val="18"/>
                <w:lang w:val="en-GB"/>
              </w:rPr>
              <w:t>NA</w:t>
            </w:r>
          </w:p>
        </w:tc>
        <w:tc>
          <w:tcPr>
            <w:tcW w:w="1152" w:type="dxa"/>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0-0</w:t>
            </w:r>
          </w:p>
        </w:tc>
        <w:tc>
          <w:tcPr>
            <w:tcW w:w="1271" w:type="dxa"/>
          </w:tcPr>
          <w:p w:rsidR="00FC5CD0" w:rsidRPr="00167861" w:rsidRDefault="00FC5CD0" w:rsidP="00E317D5">
            <w:pPr>
              <w:spacing w:line="276" w:lineRule="auto"/>
              <w:jc w:val="center"/>
              <w:rPr>
                <w:color w:val="000000" w:themeColor="text1"/>
              </w:rPr>
            </w:pPr>
            <w:r w:rsidRPr="00167861">
              <w:rPr>
                <w:rFonts w:ascii="Arial Narrow" w:hAnsi="Arial Narrow"/>
                <w:color w:val="000000" w:themeColor="text1"/>
                <w:sz w:val="18"/>
                <w:szCs w:val="18"/>
                <w:lang w:val="en-GB"/>
              </w:rPr>
              <w:t>NA</w:t>
            </w:r>
          </w:p>
        </w:tc>
      </w:tr>
      <w:tr w:rsidR="00FC5CD0" w:rsidTr="00E317D5">
        <w:tc>
          <w:tcPr>
            <w:tcW w:w="1103" w:type="dxa"/>
            <w:vMerge/>
          </w:tcPr>
          <w:p w:rsidR="00FC5CD0" w:rsidRPr="001F5412" w:rsidRDefault="00FC5CD0" w:rsidP="00E317D5">
            <w:pPr>
              <w:spacing w:line="276" w:lineRule="auto"/>
              <w:rPr>
                <w:rFonts w:ascii="Arial Narrow" w:hAnsi="Arial Narrow"/>
                <w:sz w:val="18"/>
                <w:szCs w:val="18"/>
                <w:lang w:val="en-GB"/>
              </w:rPr>
            </w:pPr>
          </w:p>
        </w:tc>
        <w:tc>
          <w:tcPr>
            <w:tcW w:w="658" w:type="dxa"/>
            <w:vMerge/>
          </w:tcPr>
          <w:p w:rsidR="00FC5CD0" w:rsidRPr="002F4224" w:rsidRDefault="00FC5CD0" w:rsidP="00E317D5">
            <w:pPr>
              <w:spacing w:line="276" w:lineRule="auto"/>
              <w:rPr>
                <w:rFonts w:ascii="Arial Narrow" w:hAnsi="Arial Narrow"/>
                <w:b/>
                <w:bCs/>
                <w:sz w:val="18"/>
                <w:szCs w:val="18"/>
                <w:lang w:val="en-GB"/>
              </w:rPr>
            </w:pPr>
          </w:p>
        </w:tc>
        <w:tc>
          <w:tcPr>
            <w:tcW w:w="1436" w:type="dxa"/>
            <w:vMerge/>
          </w:tcPr>
          <w:p w:rsidR="00FC5CD0" w:rsidRPr="002F4224" w:rsidRDefault="00FC5CD0" w:rsidP="00E317D5">
            <w:pPr>
              <w:spacing w:line="276" w:lineRule="auto"/>
              <w:jc w:val="left"/>
              <w:rPr>
                <w:rFonts w:ascii="Arial Narrow" w:hAnsi="Arial Narrow"/>
                <w:b/>
                <w:bCs/>
                <w:sz w:val="18"/>
                <w:szCs w:val="18"/>
                <w:lang w:val="en-GB"/>
              </w:rPr>
            </w:pPr>
          </w:p>
        </w:tc>
        <w:tc>
          <w:tcPr>
            <w:tcW w:w="1744"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P10-P90</w:t>
            </w:r>
          </w:p>
        </w:tc>
        <w:tc>
          <w:tcPr>
            <w:tcW w:w="1291" w:type="dxa"/>
          </w:tcPr>
          <w:p w:rsidR="00FC5CD0" w:rsidRPr="001F5412" w:rsidRDefault="00FC5CD0" w:rsidP="00E317D5">
            <w:pPr>
              <w:spacing w:line="276" w:lineRule="auto"/>
              <w:jc w:val="center"/>
              <w:rPr>
                <w:rFonts w:ascii="Arial Narrow" w:hAnsi="Arial Narrow"/>
                <w:sz w:val="18"/>
                <w:szCs w:val="18"/>
                <w:lang w:val="en-GB"/>
              </w:rPr>
            </w:pPr>
            <w:r>
              <w:rPr>
                <w:rFonts w:ascii="Arial Narrow" w:hAnsi="Arial Narrow"/>
                <w:sz w:val="18"/>
                <w:szCs w:val="18"/>
                <w:lang w:val="en-GB"/>
              </w:rPr>
              <w:t>0-1</w:t>
            </w:r>
          </w:p>
        </w:tc>
        <w:tc>
          <w:tcPr>
            <w:tcW w:w="1135" w:type="dxa"/>
          </w:tcPr>
          <w:p w:rsidR="00FC5CD0" w:rsidRDefault="00FC5CD0" w:rsidP="00E317D5">
            <w:pPr>
              <w:spacing w:line="276" w:lineRule="auto"/>
              <w:jc w:val="center"/>
            </w:pPr>
            <w:r w:rsidRPr="00000493">
              <w:rPr>
                <w:rFonts w:ascii="Arial Narrow" w:hAnsi="Arial Narrow"/>
                <w:sz w:val="18"/>
                <w:szCs w:val="18"/>
                <w:lang w:val="en-GB"/>
              </w:rPr>
              <w:t>NA</w:t>
            </w:r>
          </w:p>
        </w:tc>
        <w:tc>
          <w:tcPr>
            <w:tcW w:w="1152" w:type="dxa"/>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0-1</w:t>
            </w:r>
          </w:p>
        </w:tc>
        <w:tc>
          <w:tcPr>
            <w:tcW w:w="1271" w:type="dxa"/>
          </w:tcPr>
          <w:p w:rsidR="00FC5CD0" w:rsidRPr="00167861" w:rsidRDefault="00FC5CD0" w:rsidP="00E317D5">
            <w:pPr>
              <w:spacing w:line="276" w:lineRule="auto"/>
              <w:jc w:val="center"/>
              <w:rPr>
                <w:color w:val="000000" w:themeColor="text1"/>
              </w:rPr>
            </w:pPr>
            <w:r w:rsidRPr="00167861">
              <w:rPr>
                <w:rFonts w:ascii="Arial Narrow" w:hAnsi="Arial Narrow"/>
                <w:color w:val="000000" w:themeColor="text1"/>
                <w:sz w:val="18"/>
                <w:szCs w:val="18"/>
                <w:lang w:val="en-GB"/>
              </w:rPr>
              <w:t>NA</w:t>
            </w:r>
          </w:p>
        </w:tc>
      </w:tr>
      <w:tr w:rsidR="00FC5CD0" w:rsidTr="00E317D5">
        <w:tc>
          <w:tcPr>
            <w:tcW w:w="1103" w:type="dxa"/>
            <w:vMerge/>
          </w:tcPr>
          <w:p w:rsidR="00FC5CD0" w:rsidRPr="001F5412" w:rsidRDefault="00FC5CD0" w:rsidP="00E317D5">
            <w:pPr>
              <w:spacing w:line="276" w:lineRule="auto"/>
              <w:rPr>
                <w:rFonts w:ascii="Arial Narrow" w:hAnsi="Arial Narrow"/>
                <w:sz w:val="18"/>
                <w:szCs w:val="18"/>
                <w:lang w:val="en-GB"/>
              </w:rPr>
            </w:pPr>
          </w:p>
        </w:tc>
        <w:tc>
          <w:tcPr>
            <w:tcW w:w="658" w:type="dxa"/>
            <w:vMerge/>
          </w:tcPr>
          <w:p w:rsidR="00FC5CD0" w:rsidRPr="002F4224" w:rsidRDefault="00FC5CD0" w:rsidP="00E317D5">
            <w:pPr>
              <w:spacing w:line="276" w:lineRule="auto"/>
              <w:rPr>
                <w:rFonts w:ascii="Arial Narrow" w:hAnsi="Arial Narrow"/>
                <w:b/>
                <w:bCs/>
                <w:sz w:val="18"/>
                <w:szCs w:val="18"/>
                <w:lang w:val="en-GB"/>
              </w:rPr>
            </w:pPr>
          </w:p>
        </w:tc>
        <w:tc>
          <w:tcPr>
            <w:tcW w:w="1436" w:type="dxa"/>
            <w:vMerge/>
          </w:tcPr>
          <w:p w:rsidR="00FC5CD0" w:rsidRPr="002F4224" w:rsidRDefault="00FC5CD0" w:rsidP="00E317D5">
            <w:pPr>
              <w:spacing w:line="276" w:lineRule="auto"/>
              <w:jc w:val="left"/>
              <w:rPr>
                <w:rFonts w:ascii="Arial Narrow" w:hAnsi="Arial Narrow"/>
                <w:b/>
                <w:bCs/>
                <w:sz w:val="18"/>
                <w:szCs w:val="18"/>
                <w:lang w:val="en-GB"/>
              </w:rPr>
            </w:pPr>
          </w:p>
        </w:tc>
        <w:tc>
          <w:tcPr>
            <w:tcW w:w="1744" w:type="dxa"/>
            <w:shd w:val="clear" w:color="auto" w:fill="D9D9D9" w:themeFill="background1" w:themeFillShade="D9"/>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P5-P95</w:t>
            </w:r>
          </w:p>
        </w:tc>
        <w:tc>
          <w:tcPr>
            <w:tcW w:w="1291" w:type="dxa"/>
            <w:shd w:val="clear" w:color="auto" w:fill="D9D9D9" w:themeFill="background1" w:themeFillShade="D9"/>
          </w:tcPr>
          <w:p w:rsidR="00FC5CD0" w:rsidRPr="001F5412" w:rsidRDefault="00FC5CD0" w:rsidP="00E317D5">
            <w:pPr>
              <w:spacing w:line="276" w:lineRule="auto"/>
              <w:jc w:val="center"/>
              <w:rPr>
                <w:rFonts w:ascii="Arial Narrow" w:hAnsi="Arial Narrow"/>
                <w:sz w:val="18"/>
                <w:szCs w:val="18"/>
                <w:lang w:val="en-GB"/>
              </w:rPr>
            </w:pPr>
            <w:r>
              <w:rPr>
                <w:rFonts w:ascii="Arial Narrow" w:hAnsi="Arial Narrow"/>
                <w:sz w:val="18"/>
                <w:szCs w:val="18"/>
                <w:lang w:val="en-GB"/>
              </w:rPr>
              <w:t>0-</w:t>
            </w:r>
            <w:r w:rsidRPr="00CD56CB">
              <w:rPr>
                <w:rFonts w:ascii="Arial Narrow" w:hAnsi="Arial Narrow"/>
                <w:b/>
                <w:bCs/>
                <w:sz w:val="18"/>
                <w:szCs w:val="18"/>
                <w:lang w:val="en-GB"/>
              </w:rPr>
              <w:t>1</w:t>
            </w:r>
          </w:p>
        </w:tc>
        <w:tc>
          <w:tcPr>
            <w:tcW w:w="1135" w:type="dxa"/>
            <w:shd w:val="clear" w:color="auto" w:fill="D9D9D9" w:themeFill="background1" w:themeFillShade="D9"/>
          </w:tcPr>
          <w:p w:rsidR="00FC5CD0" w:rsidRDefault="00FC5CD0" w:rsidP="00E317D5">
            <w:pPr>
              <w:spacing w:line="276" w:lineRule="auto"/>
              <w:jc w:val="center"/>
            </w:pPr>
            <w:r w:rsidRPr="00000493">
              <w:rPr>
                <w:rFonts w:ascii="Arial Narrow" w:hAnsi="Arial Narrow"/>
                <w:sz w:val="18"/>
                <w:szCs w:val="18"/>
                <w:lang w:val="en-GB"/>
              </w:rPr>
              <w:t>NA</w:t>
            </w:r>
          </w:p>
        </w:tc>
        <w:tc>
          <w:tcPr>
            <w:tcW w:w="1152" w:type="dxa"/>
            <w:shd w:val="clear" w:color="auto" w:fill="D9D9D9" w:themeFill="background1" w:themeFillShade="D9"/>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0-</w:t>
            </w:r>
            <w:r w:rsidRPr="00167861">
              <w:rPr>
                <w:rFonts w:ascii="Arial Narrow" w:hAnsi="Arial Narrow"/>
                <w:b/>
                <w:bCs/>
                <w:color w:val="000000" w:themeColor="text1"/>
                <w:sz w:val="18"/>
                <w:szCs w:val="18"/>
                <w:lang w:val="en-GB"/>
              </w:rPr>
              <w:t>1</w:t>
            </w:r>
          </w:p>
        </w:tc>
        <w:tc>
          <w:tcPr>
            <w:tcW w:w="1271" w:type="dxa"/>
            <w:shd w:val="clear" w:color="auto" w:fill="D9D9D9" w:themeFill="background1" w:themeFillShade="D9"/>
          </w:tcPr>
          <w:p w:rsidR="00FC5CD0" w:rsidRPr="00167861" w:rsidRDefault="00FC5CD0" w:rsidP="00E317D5">
            <w:pPr>
              <w:spacing w:line="276" w:lineRule="auto"/>
              <w:jc w:val="center"/>
              <w:rPr>
                <w:color w:val="000000" w:themeColor="text1"/>
              </w:rPr>
            </w:pPr>
            <w:r w:rsidRPr="00167861">
              <w:rPr>
                <w:rFonts w:ascii="Arial Narrow" w:hAnsi="Arial Narrow"/>
                <w:color w:val="000000" w:themeColor="text1"/>
                <w:sz w:val="18"/>
                <w:szCs w:val="18"/>
                <w:lang w:val="en-GB"/>
              </w:rPr>
              <w:t>NA</w:t>
            </w:r>
          </w:p>
        </w:tc>
      </w:tr>
      <w:tr w:rsidR="00FC5CD0" w:rsidTr="00E317D5">
        <w:tc>
          <w:tcPr>
            <w:tcW w:w="1103" w:type="dxa"/>
            <w:vMerge/>
          </w:tcPr>
          <w:p w:rsidR="00FC5CD0" w:rsidRPr="001F5412" w:rsidRDefault="00FC5CD0" w:rsidP="00E317D5">
            <w:pPr>
              <w:spacing w:line="276" w:lineRule="auto"/>
              <w:rPr>
                <w:rFonts w:ascii="Arial Narrow" w:hAnsi="Arial Narrow"/>
                <w:sz w:val="18"/>
                <w:szCs w:val="18"/>
                <w:lang w:val="en-GB"/>
              </w:rPr>
            </w:pPr>
          </w:p>
        </w:tc>
        <w:tc>
          <w:tcPr>
            <w:tcW w:w="658" w:type="dxa"/>
            <w:vMerge/>
          </w:tcPr>
          <w:p w:rsidR="00FC5CD0" w:rsidRPr="002F4224" w:rsidRDefault="00FC5CD0" w:rsidP="00E317D5">
            <w:pPr>
              <w:spacing w:line="276" w:lineRule="auto"/>
              <w:rPr>
                <w:rFonts w:ascii="Arial Narrow" w:hAnsi="Arial Narrow"/>
                <w:b/>
                <w:bCs/>
                <w:sz w:val="18"/>
                <w:szCs w:val="18"/>
                <w:lang w:val="en-GB"/>
              </w:rPr>
            </w:pPr>
          </w:p>
        </w:tc>
        <w:tc>
          <w:tcPr>
            <w:tcW w:w="1436" w:type="dxa"/>
            <w:vMerge w:val="restart"/>
          </w:tcPr>
          <w:p w:rsidR="00FC5CD0" w:rsidRPr="002F4224" w:rsidRDefault="00FC5CD0" w:rsidP="00E317D5">
            <w:pPr>
              <w:spacing w:line="276" w:lineRule="auto"/>
              <w:jc w:val="left"/>
              <w:rPr>
                <w:rFonts w:ascii="Arial Narrow" w:hAnsi="Arial Narrow"/>
                <w:b/>
                <w:bCs/>
                <w:sz w:val="18"/>
                <w:szCs w:val="18"/>
                <w:lang w:val="en-GB"/>
              </w:rPr>
            </w:pPr>
            <w:r w:rsidRPr="002F4224">
              <w:rPr>
                <w:rFonts w:ascii="Arial Narrow" w:hAnsi="Arial Narrow"/>
                <w:b/>
                <w:bCs/>
                <w:sz w:val="18"/>
                <w:szCs w:val="18"/>
                <w:lang w:val="en-GB"/>
              </w:rPr>
              <w:t>Stimulated</w:t>
            </w:r>
          </w:p>
          <w:p w:rsidR="00FC5CD0" w:rsidRPr="002F4224" w:rsidRDefault="00FC5CD0" w:rsidP="00E317D5">
            <w:pPr>
              <w:spacing w:line="276" w:lineRule="auto"/>
              <w:jc w:val="left"/>
              <w:rPr>
                <w:rFonts w:ascii="Arial Narrow" w:hAnsi="Arial Narrow"/>
                <w:b/>
                <w:bCs/>
                <w:sz w:val="18"/>
                <w:szCs w:val="18"/>
                <w:lang w:val="en-GB"/>
              </w:rPr>
            </w:pPr>
            <w:r w:rsidRPr="002F4224">
              <w:rPr>
                <w:rFonts w:ascii="Arial Narrow" w:hAnsi="Arial Narrow"/>
                <w:b/>
                <w:bCs/>
                <w:sz w:val="18"/>
                <w:szCs w:val="18"/>
                <w:lang w:val="en-GB"/>
              </w:rPr>
              <w:t>(TRAP-6 20 µM)</w:t>
            </w:r>
          </w:p>
        </w:tc>
        <w:tc>
          <w:tcPr>
            <w:tcW w:w="1744"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Median</w:t>
            </w:r>
            <w:r>
              <w:rPr>
                <w:rFonts w:ascii="Arial Narrow" w:hAnsi="Arial Narrow"/>
                <w:sz w:val="18"/>
                <w:szCs w:val="18"/>
                <w:lang w:val="en-GB"/>
              </w:rPr>
              <w:t xml:space="preserve"> (range)</w:t>
            </w:r>
          </w:p>
        </w:tc>
        <w:tc>
          <w:tcPr>
            <w:tcW w:w="1291" w:type="dxa"/>
          </w:tcPr>
          <w:p w:rsidR="00FC5CD0" w:rsidRPr="001F5412" w:rsidRDefault="00FC5CD0" w:rsidP="00E317D5">
            <w:pPr>
              <w:spacing w:line="276" w:lineRule="auto"/>
              <w:jc w:val="center"/>
              <w:rPr>
                <w:rFonts w:ascii="Arial Narrow" w:hAnsi="Arial Narrow"/>
                <w:sz w:val="18"/>
                <w:szCs w:val="18"/>
                <w:lang w:val="en-GB"/>
              </w:rPr>
            </w:pPr>
            <w:r w:rsidRPr="00CD56CB">
              <w:rPr>
                <w:rFonts w:ascii="Arial Narrow" w:hAnsi="Arial Narrow"/>
                <w:sz w:val="18"/>
                <w:szCs w:val="18"/>
                <w:lang w:val="en-GB"/>
              </w:rPr>
              <w:t>13</w:t>
            </w:r>
            <w:r>
              <w:rPr>
                <w:rFonts w:ascii="Arial Narrow" w:hAnsi="Arial Narrow"/>
                <w:sz w:val="18"/>
                <w:szCs w:val="18"/>
                <w:lang w:val="en-GB"/>
              </w:rPr>
              <w:t xml:space="preserve"> (7-33)</w:t>
            </w:r>
          </w:p>
        </w:tc>
        <w:tc>
          <w:tcPr>
            <w:tcW w:w="1135"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100</w:t>
            </w:r>
            <w:r>
              <w:rPr>
                <w:rFonts w:ascii="Arial Narrow" w:hAnsi="Arial Narrow"/>
                <w:sz w:val="18"/>
                <w:szCs w:val="18"/>
                <w:lang w:val="en-GB"/>
              </w:rPr>
              <w:t xml:space="preserve"> (40-180)</w:t>
            </w:r>
          </w:p>
        </w:tc>
        <w:tc>
          <w:tcPr>
            <w:tcW w:w="1152" w:type="dxa"/>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15 (6-33)</w:t>
            </w:r>
          </w:p>
        </w:tc>
        <w:tc>
          <w:tcPr>
            <w:tcW w:w="1271" w:type="dxa"/>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100 (3</w:t>
            </w:r>
            <w:r w:rsidR="00FD3A58" w:rsidRPr="00167861">
              <w:rPr>
                <w:rFonts w:ascii="Arial Narrow" w:hAnsi="Arial Narrow"/>
                <w:color w:val="000000" w:themeColor="text1"/>
                <w:sz w:val="18"/>
                <w:szCs w:val="18"/>
                <w:lang w:val="en-GB"/>
              </w:rPr>
              <w:t>2</w:t>
            </w:r>
            <w:r w:rsidRPr="00167861">
              <w:rPr>
                <w:rFonts w:ascii="Arial Narrow" w:hAnsi="Arial Narrow"/>
                <w:color w:val="000000" w:themeColor="text1"/>
                <w:sz w:val="18"/>
                <w:szCs w:val="18"/>
                <w:lang w:val="en-GB"/>
              </w:rPr>
              <w:t>-1</w:t>
            </w:r>
            <w:r w:rsidR="00FD3A58" w:rsidRPr="00167861">
              <w:rPr>
                <w:rFonts w:ascii="Arial Narrow" w:hAnsi="Arial Narrow"/>
                <w:color w:val="000000" w:themeColor="text1"/>
                <w:sz w:val="18"/>
                <w:szCs w:val="18"/>
                <w:lang w:val="en-GB"/>
              </w:rPr>
              <w:t>80</w:t>
            </w:r>
            <w:r w:rsidRPr="00167861">
              <w:rPr>
                <w:rFonts w:ascii="Arial Narrow" w:hAnsi="Arial Narrow"/>
                <w:color w:val="000000" w:themeColor="text1"/>
                <w:sz w:val="18"/>
                <w:szCs w:val="18"/>
                <w:lang w:val="en-GB"/>
              </w:rPr>
              <w:t>)</w:t>
            </w:r>
          </w:p>
        </w:tc>
      </w:tr>
      <w:tr w:rsidR="00FC5CD0" w:rsidTr="00E317D5">
        <w:tc>
          <w:tcPr>
            <w:tcW w:w="1103" w:type="dxa"/>
            <w:vMerge/>
          </w:tcPr>
          <w:p w:rsidR="00FC5CD0" w:rsidRPr="001F5412" w:rsidRDefault="00FC5CD0" w:rsidP="00E317D5">
            <w:pPr>
              <w:spacing w:line="276" w:lineRule="auto"/>
              <w:rPr>
                <w:rFonts w:ascii="Arial Narrow" w:hAnsi="Arial Narrow"/>
                <w:sz w:val="18"/>
                <w:szCs w:val="18"/>
                <w:lang w:val="en-GB"/>
              </w:rPr>
            </w:pPr>
          </w:p>
        </w:tc>
        <w:tc>
          <w:tcPr>
            <w:tcW w:w="658" w:type="dxa"/>
            <w:vMerge/>
          </w:tcPr>
          <w:p w:rsidR="00FC5CD0" w:rsidRPr="002F4224" w:rsidRDefault="00FC5CD0" w:rsidP="00E317D5">
            <w:pPr>
              <w:spacing w:line="276" w:lineRule="auto"/>
              <w:rPr>
                <w:rFonts w:ascii="Arial Narrow" w:hAnsi="Arial Narrow"/>
                <w:b/>
                <w:bCs/>
                <w:sz w:val="18"/>
                <w:szCs w:val="18"/>
                <w:lang w:val="en-GB"/>
              </w:rPr>
            </w:pPr>
          </w:p>
        </w:tc>
        <w:tc>
          <w:tcPr>
            <w:tcW w:w="1436" w:type="dxa"/>
            <w:vMerge/>
          </w:tcPr>
          <w:p w:rsidR="00FC5CD0" w:rsidRPr="002F4224" w:rsidRDefault="00FC5CD0" w:rsidP="00E317D5">
            <w:pPr>
              <w:spacing w:line="276" w:lineRule="auto"/>
              <w:jc w:val="left"/>
              <w:rPr>
                <w:rFonts w:ascii="Arial Narrow" w:hAnsi="Arial Narrow"/>
                <w:b/>
                <w:bCs/>
                <w:sz w:val="18"/>
                <w:szCs w:val="18"/>
                <w:lang w:val="en-GB"/>
              </w:rPr>
            </w:pPr>
          </w:p>
        </w:tc>
        <w:tc>
          <w:tcPr>
            <w:tcW w:w="1744"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Mean ± SD</w:t>
            </w:r>
          </w:p>
        </w:tc>
        <w:tc>
          <w:tcPr>
            <w:tcW w:w="1291"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1</w:t>
            </w:r>
            <w:r>
              <w:rPr>
                <w:rFonts w:ascii="Arial Narrow" w:hAnsi="Arial Narrow"/>
                <w:sz w:val="18"/>
                <w:szCs w:val="18"/>
                <w:lang w:val="en-GB"/>
              </w:rPr>
              <w:t>5</w:t>
            </w:r>
            <w:r w:rsidRPr="001F5412">
              <w:rPr>
                <w:rFonts w:ascii="Arial Narrow" w:hAnsi="Arial Narrow"/>
                <w:sz w:val="18"/>
                <w:szCs w:val="18"/>
                <w:lang w:val="en-GB"/>
              </w:rPr>
              <w:t>±</w:t>
            </w:r>
            <w:r>
              <w:rPr>
                <w:rFonts w:ascii="Arial Narrow" w:hAnsi="Arial Narrow"/>
                <w:sz w:val="18"/>
                <w:szCs w:val="18"/>
                <w:lang w:val="en-GB"/>
              </w:rPr>
              <w:t>8</w:t>
            </w:r>
          </w:p>
        </w:tc>
        <w:tc>
          <w:tcPr>
            <w:tcW w:w="1135"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10</w:t>
            </w:r>
            <w:r>
              <w:rPr>
                <w:rFonts w:ascii="Arial Narrow" w:hAnsi="Arial Narrow"/>
                <w:sz w:val="18"/>
                <w:szCs w:val="18"/>
                <w:lang w:val="en-GB"/>
              </w:rPr>
              <w:t>1</w:t>
            </w:r>
            <w:r w:rsidRPr="001F5412">
              <w:rPr>
                <w:rFonts w:ascii="Arial Narrow" w:hAnsi="Arial Narrow"/>
                <w:sz w:val="18"/>
                <w:szCs w:val="18"/>
                <w:lang w:val="en-GB"/>
              </w:rPr>
              <w:t>±</w:t>
            </w:r>
            <w:r>
              <w:rPr>
                <w:rFonts w:ascii="Arial Narrow" w:hAnsi="Arial Narrow"/>
                <w:sz w:val="18"/>
                <w:szCs w:val="18"/>
                <w:lang w:val="en-GB"/>
              </w:rPr>
              <w:t>49</w:t>
            </w:r>
          </w:p>
        </w:tc>
        <w:tc>
          <w:tcPr>
            <w:tcW w:w="1152" w:type="dxa"/>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16±7</w:t>
            </w:r>
          </w:p>
        </w:tc>
        <w:tc>
          <w:tcPr>
            <w:tcW w:w="1271" w:type="dxa"/>
          </w:tcPr>
          <w:p w:rsidR="00FC5CD0" w:rsidRPr="00167861" w:rsidRDefault="00FD3A58"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99</w:t>
            </w:r>
            <w:r w:rsidR="00FC5CD0" w:rsidRPr="00167861">
              <w:rPr>
                <w:rFonts w:ascii="Arial Narrow" w:hAnsi="Arial Narrow"/>
                <w:color w:val="000000" w:themeColor="text1"/>
                <w:sz w:val="18"/>
                <w:szCs w:val="18"/>
                <w:lang w:val="en-GB"/>
              </w:rPr>
              <w:t>±4</w:t>
            </w:r>
            <w:r w:rsidRPr="00167861">
              <w:rPr>
                <w:rFonts w:ascii="Arial Narrow" w:hAnsi="Arial Narrow"/>
                <w:color w:val="000000" w:themeColor="text1"/>
                <w:sz w:val="18"/>
                <w:szCs w:val="18"/>
                <w:lang w:val="en-GB"/>
              </w:rPr>
              <w:t>1</w:t>
            </w:r>
          </w:p>
        </w:tc>
      </w:tr>
      <w:tr w:rsidR="00FC5CD0" w:rsidTr="00E317D5">
        <w:tc>
          <w:tcPr>
            <w:tcW w:w="1103" w:type="dxa"/>
            <w:vMerge/>
          </w:tcPr>
          <w:p w:rsidR="00FC5CD0" w:rsidRPr="001F5412" w:rsidRDefault="00FC5CD0" w:rsidP="00E317D5">
            <w:pPr>
              <w:spacing w:line="276" w:lineRule="auto"/>
              <w:rPr>
                <w:rFonts w:ascii="Arial Narrow" w:hAnsi="Arial Narrow"/>
                <w:sz w:val="18"/>
                <w:szCs w:val="18"/>
                <w:lang w:val="en-GB"/>
              </w:rPr>
            </w:pPr>
          </w:p>
        </w:tc>
        <w:tc>
          <w:tcPr>
            <w:tcW w:w="658" w:type="dxa"/>
            <w:vMerge/>
          </w:tcPr>
          <w:p w:rsidR="00FC5CD0" w:rsidRPr="002F4224" w:rsidRDefault="00FC5CD0" w:rsidP="00E317D5">
            <w:pPr>
              <w:spacing w:line="276" w:lineRule="auto"/>
              <w:rPr>
                <w:rFonts w:ascii="Arial Narrow" w:hAnsi="Arial Narrow"/>
                <w:b/>
                <w:bCs/>
                <w:sz w:val="18"/>
                <w:szCs w:val="18"/>
                <w:lang w:val="en-GB"/>
              </w:rPr>
            </w:pPr>
          </w:p>
        </w:tc>
        <w:tc>
          <w:tcPr>
            <w:tcW w:w="1436" w:type="dxa"/>
            <w:vMerge/>
          </w:tcPr>
          <w:p w:rsidR="00FC5CD0" w:rsidRPr="002F4224" w:rsidRDefault="00FC5CD0" w:rsidP="00E317D5">
            <w:pPr>
              <w:spacing w:line="276" w:lineRule="auto"/>
              <w:jc w:val="left"/>
              <w:rPr>
                <w:rFonts w:ascii="Arial Narrow" w:hAnsi="Arial Narrow"/>
                <w:b/>
                <w:bCs/>
                <w:sz w:val="18"/>
                <w:szCs w:val="18"/>
                <w:lang w:val="en-GB"/>
              </w:rPr>
            </w:pPr>
          </w:p>
        </w:tc>
        <w:tc>
          <w:tcPr>
            <w:tcW w:w="1744"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P25-P75</w:t>
            </w:r>
          </w:p>
        </w:tc>
        <w:tc>
          <w:tcPr>
            <w:tcW w:w="1291" w:type="dxa"/>
          </w:tcPr>
          <w:p w:rsidR="00FC5CD0" w:rsidRPr="001F5412" w:rsidRDefault="00FC5CD0" w:rsidP="00E317D5">
            <w:pPr>
              <w:spacing w:line="276" w:lineRule="auto"/>
              <w:jc w:val="center"/>
              <w:rPr>
                <w:rFonts w:ascii="Arial Narrow" w:hAnsi="Arial Narrow"/>
                <w:sz w:val="18"/>
                <w:szCs w:val="18"/>
                <w:lang w:val="en-GB"/>
              </w:rPr>
            </w:pPr>
            <w:r>
              <w:rPr>
                <w:rFonts w:ascii="Arial Narrow" w:hAnsi="Arial Narrow"/>
                <w:sz w:val="18"/>
                <w:szCs w:val="18"/>
                <w:lang w:val="en-GB"/>
              </w:rPr>
              <w:t>9-18</w:t>
            </w:r>
          </w:p>
        </w:tc>
        <w:tc>
          <w:tcPr>
            <w:tcW w:w="1135" w:type="dxa"/>
          </w:tcPr>
          <w:p w:rsidR="00FC5CD0" w:rsidRPr="001F5412" w:rsidRDefault="00FC5CD0" w:rsidP="00E317D5">
            <w:pPr>
              <w:spacing w:line="276" w:lineRule="auto"/>
              <w:jc w:val="center"/>
              <w:rPr>
                <w:rFonts w:ascii="Arial Narrow" w:hAnsi="Arial Narrow"/>
                <w:sz w:val="18"/>
                <w:szCs w:val="18"/>
                <w:lang w:val="en-GB"/>
              </w:rPr>
            </w:pPr>
            <w:r>
              <w:rPr>
                <w:rFonts w:ascii="Arial Narrow" w:hAnsi="Arial Narrow"/>
                <w:sz w:val="18"/>
                <w:szCs w:val="18"/>
                <w:lang w:val="en-GB"/>
              </w:rPr>
              <w:t>61-127</w:t>
            </w:r>
          </w:p>
        </w:tc>
        <w:tc>
          <w:tcPr>
            <w:tcW w:w="1152" w:type="dxa"/>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1</w:t>
            </w:r>
            <w:r w:rsidR="00414D27" w:rsidRPr="00167861">
              <w:rPr>
                <w:rFonts w:ascii="Arial Narrow" w:hAnsi="Arial Narrow"/>
                <w:color w:val="000000" w:themeColor="text1"/>
                <w:sz w:val="18"/>
                <w:szCs w:val="18"/>
                <w:lang w:val="en-GB"/>
              </w:rPr>
              <w:t>0</w:t>
            </w:r>
            <w:r w:rsidRPr="00167861">
              <w:rPr>
                <w:rFonts w:ascii="Arial Narrow" w:hAnsi="Arial Narrow"/>
                <w:color w:val="000000" w:themeColor="text1"/>
                <w:sz w:val="18"/>
                <w:szCs w:val="18"/>
                <w:lang w:val="en-GB"/>
              </w:rPr>
              <w:t>-18</w:t>
            </w:r>
          </w:p>
        </w:tc>
        <w:tc>
          <w:tcPr>
            <w:tcW w:w="1271" w:type="dxa"/>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7</w:t>
            </w:r>
            <w:r w:rsidR="00FD3A58" w:rsidRPr="00167861">
              <w:rPr>
                <w:rFonts w:ascii="Arial Narrow" w:hAnsi="Arial Narrow"/>
                <w:color w:val="000000" w:themeColor="text1"/>
                <w:sz w:val="18"/>
                <w:szCs w:val="18"/>
                <w:lang w:val="en-GB"/>
              </w:rPr>
              <w:t>0</w:t>
            </w:r>
            <w:r w:rsidRPr="00167861">
              <w:rPr>
                <w:rFonts w:ascii="Arial Narrow" w:hAnsi="Arial Narrow"/>
                <w:color w:val="000000" w:themeColor="text1"/>
                <w:sz w:val="18"/>
                <w:szCs w:val="18"/>
                <w:lang w:val="en-GB"/>
              </w:rPr>
              <w:t>-12</w:t>
            </w:r>
            <w:r w:rsidR="00FD3A58" w:rsidRPr="00167861">
              <w:rPr>
                <w:rFonts w:ascii="Arial Narrow" w:hAnsi="Arial Narrow"/>
                <w:color w:val="000000" w:themeColor="text1"/>
                <w:sz w:val="18"/>
                <w:szCs w:val="18"/>
                <w:lang w:val="en-GB"/>
              </w:rPr>
              <w:t>1</w:t>
            </w:r>
          </w:p>
        </w:tc>
      </w:tr>
      <w:tr w:rsidR="00FC5CD0" w:rsidTr="00E317D5">
        <w:tc>
          <w:tcPr>
            <w:tcW w:w="1103" w:type="dxa"/>
            <w:vMerge/>
          </w:tcPr>
          <w:p w:rsidR="00FC5CD0" w:rsidRPr="001F5412" w:rsidRDefault="00FC5CD0" w:rsidP="00E317D5">
            <w:pPr>
              <w:spacing w:line="276" w:lineRule="auto"/>
              <w:rPr>
                <w:rFonts w:ascii="Arial Narrow" w:hAnsi="Arial Narrow"/>
                <w:sz w:val="18"/>
                <w:szCs w:val="18"/>
                <w:lang w:val="en-GB"/>
              </w:rPr>
            </w:pPr>
          </w:p>
        </w:tc>
        <w:tc>
          <w:tcPr>
            <w:tcW w:w="658" w:type="dxa"/>
            <w:vMerge/>
          </w:tcPr>
          <w:p w:rsidR="00FC5CD0" w:rsidRPr="002F4224" w:rsidRDefault="00FC5CD0" w:rsidP="00E317D5">
            <w:pPr>
              <w:spacing w:line="276" w:lineRule="auto"/>
              <w:rPr>
                <w:rFonts w:ascii="Arial Narrow" w:hAnsi="Arial Narrow"/>
                <w:b/>
                <w:bCs/>
                <w:sz w:val="18"/>
                <w:szCs w:val="18"/>
                <w:lang w:val="en-GB"/>
              </w:rPr>
            </w:pPr>
          </w:p>
        </w:tc>
        <w:tc>
          <w:tcPr>
            <w:tcW w:w="1436" w:type="dxa"/>
            <w:vMerge/>
          </w:tcPr>
          <w:p w:rsidR="00FC5CD0" w:rsidRPr="002F4224" w:rsidRDefault="00FC5CD0" w:rsidP="00E317D5">
            <w:pPr>
              <w:spacing w:line="276" w:lineRule="auto"/>
              <w:jc w:val="left"/>
              <w:rPr>
                <w:rFonts w:ascii="Arial Narrow" w:hAnsi="Arial Narrow"/>
                <w:b/>
                <w:bCs/>
                <w:sz w:val="18"/>
                <w:szCs w:val="18"/>
                <w:lang w:val="en-GB"/>
              </w:rPr>
            </w:pPr>
          </w:p>
        </w:tc>
        <w:tc>
          <w:tcPr>
            <w:tcW w:w="1744"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P10-P90</w:t>
            </w:r>
          </w:p>
        </w:tc>
        <w:tc>
          <w:tcPr>
            <w:tcW w:w="1291" w:type="dxa"/>
          </w:tcPr>
          <w:p w:rsidR="00FC5CD0" w:rsidRPr="001F5412" w:rsidRDefault="00FC5CD0" w:rsidP="00E317D5">
            <w:pPr>
              <w:spacing w:line="276" w:lineRule="auto"/>
              <w:jc w:val="center"/>
              <w:rPr>
                <w:rFonts w:ascii="Arial Narrow" w:hAnsi="Arial Narrow"/>
                <w:sz w:val="18"/>
                <w:szCs w:val="18"/>
                <w:lang w:val="en-GB"/>
              </w:rPr>
            </w:pPr>
            <w:r>
              <w:rPr>
                <w:rFonts w:ascii="Arial Narrow" w:hAnsi="Arial Narrow"/>
                <w:sz w:val="18"/>
                <w:szCs w:val="18"/>
                <w:lang w:val="en-GB"/>
              </w:rPr>
              <w:t>9-24</w:t>
            </w:r>
          </w:p>
        </w:tc>
        <w:tc>
          <w:tcPr>
            <w:tcW w:w="1135" w:type="dxa"/>
          </w:tcPr>
          <w:p w:rsidR="00FC5CD0" w:rsidRPr="001F5412" w:rsidRDefault="00FC5CD0" w:rsidP="00E317D5">
            <w:pPr>
              <w:spacing w:line="276" w:lineRule="auto"/>
              <w:jc w:val="center"/>
              <w:rPr>
                <w:rFonts w:ascii="Arial Narrow" w:hAnsi="Arial Narrow"/>
                <w:sz w:val="18"/>
                <w:szCs w:val="18"/>
                <w:lang w:val="en-GB"/>
              </w:rPr>
            </w:pPr>
            <w:r>
              <w:rPr>
                <w:rFonts w:ascii="Arial Narrow" w:hAnsi="Arial Narrow"/>
                <w:sz w:val="18"/>
                <w:szCs w:val="18"/>
                <w:lang w:val="en-GB"/>
              </w:rPr>
              <w:t>50-175</w:t>
            </w:r>
          </w:p>
        </w:tc>
        <w:tc>
          <w:tcPr>
            <w:tcW w:w="1152" w:type="dxa"/>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7-2</w:t>
            </w:r>
            <w:r w:rsidR="00414D27" w:rsidRPr="00167861">
              <w:rPr>
                <w:rFonts w:ascii="Arial Narrow" w:hAnsi="Arial Narrow"/>
                <w:color w:val="000000" w:themeColor="text1"/>
                <w:sz w:val="18"/>
                <w:szCs w:val="18"/>
                <w:lang w:val="en-GB"/>
              </w:rPr>
              <w:t>5</w:t>
            </w:r>
          </w:p>
        </w:tc>
        <w:tc>
          <w:tcPr>
            <w:tcW w:w="1271" w:type="dxa"/>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51-1</w:t>
            </w:r>
            <w:r w:rsidR="00FD3A58" w:rsidRPr="00167861">
              <w:rPr>
                <w:rFonts w:ascii="Arial Narrow" w:hAnsi="Arial Narrow"/>
                <w:color w:val="000000" w:themeColor="text1"/>
                <w:sz w:val="18"/>
                <w:szCs w:val="18"/>
                <w:lang w:val="en-GB"/>
              </w:rPr>
              <w:t>5</w:t>
            </w:r>
            <w:r w:rsidRPr="00167861">
              <w:rPr>
                <w:rFonts w:ascii="Arial Narrow" w:hAnsi="Arial Narrow"/>
                <w:color w:val="000000" w:themeColor="text1"/>
                <w:sz w:val="18"/>
                <w:szCs w:val="18"/>
                <w:lang w:val="en-GB"/>
              </w:rPr>
              <w:t>9</w:t>
            </w:r>
          </w:p>
        </w:tc>
      </w:tr>
      <w:tr w:rsidR="00FC5CD0" w:rsidTr="00E317D5">
        <w:tc>
          <w:tcPr>
            <w:tcW w:w="1103" w:type="dxa"/>
            <w:vMerge/>
          </w:tcPr>
          <w:p w:rsidR="00FC5CD0" w:rsidRPr="001F5412" w:rsidRDefault="00FC5CD0" w:rsidP="00E317D5">
            <w:pPr>
              <w:spacing w:line="276" w:lineRule="auto"/>
              <w:rPr>
                <w:rFonts w:ascii="Arial Narrow" w:hAnsi="Arial Narrow"/>
                <w:sz w:val="18"/>
                <w:szCs w:val="18"/>
                <w:lang w:val="en-GB"/>
              </w:rPr>
            </w:pPr>
          </w:p>
        </w:tc>
        <w:tc>
          <w:tcPr>
            <w:tcW w:w="658" w:type="dxa"/>
            <w:vMerge/>
          </w:tcPr>
          <w:p w:rsidR="00FC5CD0" w:rsidRPr="002F4224" w:rsidRDefault="00FC5CD0" w:rsidP="00E317D5">
            <w:pPr>
              <w:spacing w:line="276" w:lineRule="auto"/>
              <w:rPr>
                <w:rFonts w:ascii="Arial Narrow" w:hAnsi="Arial Narrow"/>
                <w:b/>
                <w:bCs/>
                <w:sz w:val="18"/>
                <w:szCs w:val="18"/>
                <w:lang w:val="en-GB"/>
              </w:rPr>
            </w:pPr>
          </w:p>
        </w:tc>
        <w:tc>
          <w:tcPr>
            <w:tcW w:w="1436" w:type="dxa"/>
            <w:vMerge/>
          </w:tcPr>
          <w:p w:rsidR="00FC5CD0" w:rsidRPr="002F4224" w:rsidRDefault="00FC5CD0" w:rsidP="00E317D5">
            <w:pPr>
              <w:spacing w:line="276" w:lineRule="auto"/>
              <w:jc w:val="left"/>
              <w:rPr>
                <w:rFonts w:ascii="Arial Narrow" w:hAnsi="Arial Narrow"/>
                <w:b/>
                <w:bCs/>
                <w:sz w:val="18"/>
                <w:szCs w:val="18"/>
                <w:lang w:val="en-GB"/>
              </w:rPr>
            </w:pPr>
          </w:p>
        </w:tc>
        <w:tc>
          <w:tcPr>
            <w:tcW w:w="1744" w:type="dxa"/>
            <w:shd w:val="clear" w:color="auto" w:fill="E2EFD9" w:themeFill="accent6" w:themeFillTint="33"/>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P5-P95</w:t>
            </w:r>
          </w:p>
        </w:tc>
        <w:tc>
          <w:tcPr>
            <w:tcW w:w="1291" w:type="dxa"/>
            <w:shd w:val="clear" w:color="auto" w:fill="E2EFD9" w:themeFill="accent6" w:themeFillTint="33"/>
          </w:tcPr>
          <w:p w:rsidR="00FC5CD0" w:rsidRPr="001F5412" w:rsidRDefault="00FC5CD0" w:rsidP="00E317D5">
            <w:pPr>
              <w:spacing w:line="276" w:lineRule="auto"/>
              <w:jc w:val="center"/>
              <w:rPr>
                <w:rFonts w:ascii="Arial Narrow" w:hAnsi="Arial Narrow"/>
                <w:sz w:val="18"/>
                <w:szCs w:val="18"/>
                <w:lang w:val="en-GB"/>
              </w:rPr>
            </w:pPr>
            <w:r w:rsidRPr="00CD56CB">
              <w:rPr>
                <w:rFonts w:ascii="Arial Narrow" w:hAnsi="Arial Narrow"/>
                <w:b/>
                <w:bCs/>
                <w:sz w:val="18"/>
                <w:szCs w:val="18"/>
                <w:lang w:val="en-GB"/>
              </w:rPr>
              <w:t>8</w:t>
            </w:r>
            <w:r>
              <w:rPr>
                <w:rFonts w:ascii="Arial Narrow" w:hAnsi="Arial Narrow"/>
                <w:sz w:val="18"/>
                <w:szCs w:val="18"/>
                <w:lang w:val="en-GB"/>
              </w:rPr>
              <w:t>-28</w:t>
            </w:r>
          </w:p>
        </w:tc>
        <w:tc>
          <w:tcPr>
            <w:tcW w:w="1135" w:type="dxa"/>
            <w:shd w:val="clear" w:color="auto" w:fill="E2EFD9" w:themeFill="accent6" w:themeFillTint="33"/>
          </w:tcPr>
          <w:p w:rsidR="00FC5CD0" w:rsidRPr="001F5412" w:rsidRDefault="00FC5CD0" w:rsidP="00E317D5">
            <w:pPr>
              <w:spacing w:line="276" w:lineRule="auto"/>
              <w:jc w:val="center"/>
              <w:rPr>
                <w:rFonts w:ascii="Arial Narrow" w:hAnsi="Arial Narrow"/>
                <w:sz w:val="18"/>
                <w:szCs w:val="18"/>
                <w:lang w:val="en-GB"/>
              </w:rPr>
            </w:pPr>
            <w:r w:rsidRPr="00CD56CB">
              <w:rPr>
                <w:rFonts w:ascii="Arial Narrow" w:hAnsi="Arial Narrow"/>
                <w:b/>
                <w:bCs/>
                <w:sz w:val="18"/>
                <w:szCs w:val="18"/>
                <w:lang w:val="en-GB"/>
              </w:rPr>
              <w:t>45</w:t>
            </w:r>
            <w:r>
              <w:rPr>
                <w:rFonts w:ascii="Arial Narrow" w:hAnsi="Arial Narrow"/>
                <w:sz w:val="18"/>
                <w:szCs w:val="18"/>
                <w:lang w:val="en-GB"/>
              </w:rPr>
              <w:t>-177</w:t>
            </w:r>
          </w:p>
        </w:tc>
        <w:tc>
          <w:tcPr>
            <w:tcW w:w="1152" w:type="dxa"/>
            <w:shd w:val="clear" w:color="auto" w:fill="E2EFD9" w:themeFill="accent6" w:themeFillTint="33"/>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b/>
                <w:bCs/>
                <w:color w:val="000000" w:themeColor="text1"/>
                <w:sz w:val="18"/>
                <w:szCs w:val="18"/>
                <w:lang w:val="en-GB"/>
              </w:rPr>
              <w:t>7</w:t>
            </w:r>
            <w:r w:rsidRPr="00167861">
              <w:rPr>
                <w:rFonts w:ascii="Arial Narrow" w:hAnsi="Arial Narrow"/>
                <w:color w:val="000000" w:themeColor="text1"/>
                <w:sz w:val="18"/>
                <w:szCs w:val="18"/>
                <w:lang w:val="en-GB"/>
              </w:rPr>
              <w:t>-31</w:t>
            </w:r>
          </w:p>
        </w:tc>
        <w:tc>
          <w:tcPr>
            <w:tcW w:w="1271" w:type="dxa"/>
            <w:shd w:val="clear" w:color="auto" w:fill="E2EFD9" w:themeFill="accent6" w:themeFillTint="33"/>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b/>
                <w:bCs/>
                <w:color w:val="000000" w:themeColor="text1"/>
                <w:sz w:val="18"/>
                <w:szCs w:val="18"/>
                <w:lang w:val="en-GB"/>
              </w:rPr>
              <w:t>42</w:t>
            </w:r>
            <w:r w:rsidRPr="00167861">
              <w:rPr>
                <w:rFonts w:ascii="Arial Narrow" w:hAnsi="Arial Narrow"/>
                <w:color w:val="000000" w:themeColor="text1"/>
                <w:sz w:val="18"/>
                <w:szCs w:val="18"/>
                <w:lang w:val="en-GB"/>
              </w:rPr>
              <w:t>-17</w:t>
            </w:r>
            <w:r w:rsidR="00FD3A58" w:rsidRPr="00167861">
              <w:rPr>
                <w:rFonts w:ascii="Arial Narrow" w:hAnsi="Arial Narrow"/>
                <w:color w:val="000000" w:themeColor="text1"/>
                <w:sz w:val="18"/>
                <w:szCs w:val="18"/>
                <w:lang w:val="en-GB"/>
              </w:rPr>
              <w:t>4</w:t>
            </w:r>
          </w:p>
        </w:tc>
      </w:tr>
      <w:tr w:rsidR="00FC5CD0" w:rsidTr="00E317D5">
        <w:tc>
          <w:tcPr>
            <w:tcW w:w="1103" w:type="dxa"/>
            <w:vMerge w:val="restart"/>
          </w:tcPr>
          <w:p w:rsidR="00FC5CD0" w:rsidRPr="002F4224" w:rsidRDefault="00FC5CD0" w:rsidP="00E317D5">
            <w:pPr>
              <w:spacing w:line="276" w:lineRule="auto"/>
              <w:rPr>
                <w:rFonts w:ascii="Arial Narrow" w:hAnsi="Arial Narrow"/>
                <w:b/>
                <w:bCs/>
                <w:sz w:val="18"/>
                <w:szCs w:val="18"/>
                <w:lang w:val="en-GB"/>
              </w:rPr>
            </w:pPr>
            <w:r w:rsidRPr="002F4224">
              <w:rPr>
                <w:rFonts w:ascii="Arial Narrow" w:hAnsi="Arial Narrow"/>
                <w:b/>
                <w:bCs/>
                <w:sz w:val="18"/>
                <w:szCs w:val="18"/>
                <w:lang w:val="en-GB"/>
              </w:rPr>
              <w:t>ADP</w:t>
            </w:r>
          </w:p>
        </w:tc>
        <w:tc>
          <w:tcPr>
            <w:tcW w:w="658" w:type="dxa"/>
            <w:vMerge w:val="restart"/>
          </w:tcPr>
          <w:p w:rsidR="00FC5CD0" w:rsidRPr="002F4224" w:rsidRDefault="00FC5CD0" w:rsidP="00E317D5">
            <w:pPr>
              <w:spacing w:line="276" w:lineRule="auto"/>
              <w:rPr>
                <w:rFonts w:ascii="Arial Narrow" w:hAnsi="Arial Narrow"/>
                <w:b/>
                <w:bCs/>
                <w:sz w:val="18"/>
                <w:szCs w:val="18"/>
                <w:lang w:val="en-GB"/>
              </w:rPr>
            </w:pPr>
            <w:r w:rsidRPr="002F4224">
              <w:rPr>
                <w:rFonts w:ascii="Arial Narrow" w:hAnsi="Arial Narrow"/>
                <w:b/>
                <w:bCs/>
                <w:sz w:val="18"/>
                <w:szCs w:val="18"/>
                <w:lang w:val="en-GB"/>
              </w:rPr>
              <w:t>PAC-1</w:t>
            </w:r>
          </w:p>
        </w:tc>
        <w:tc>
          <w:tcPr>
            <w:tcW w:w="1436" w:type="dxa"/>
            <w:vMerge w:val="restart"/>
          </w:tcPr>
          <w:p w:rsidR="00FC5CD0" w:rsidRPr="002F4224" w:rsidRDefault="00FC5CD0" w:rsidP="00E317D5">
            <w:pPr>
              <w:spacing w:line="276" w:lineRule="auto"/>
              <w:jc w:val="left"/>
              <w:rPr>
                <w:rFonts w:ascii="Arial Narrow" w:hAnsi="Arial Narrow"/>
                <w:b/>
                <w:bCs/>
                <w:sz w:val="18"/>
                <w:szCs w:val="18"/>
                <w:lang w:val="en-GB"/>
              </w:rPr>
            </w:pPr>
            <w:r w:rsidRPr="002F4224">
              <w:rPr>
                <w:rFonts w:ascii="Arial Narrow" w:hAnsi="Arial Narrow"/>
                <w:b/>
                <w:bCs/>
                <w:sz w:val="18"/>
                <w:szCs w:val="18"/>
                <w:lang w:val="en-GB"/>
              </w:rPr>
              <w:t xml:space="preserve">Unstimulated </w:t>
            </w:r>
          </w:p>
          <w:p w:rsidR="00FC5CD0" w:rsidRPr="002F4224" w:rsidRDefault="00FC5CD0" w:rsidP="00E317D5">
            <w:pPr>
              <w:spacing w:line="276" w:lineRule="auto"/>
              <w:jc w:val="left"/>
              <w:rPr>
                <w:rFonts w:ascii="Arial Narrow" w:hAnsi="Arial Narrow"/>
                <w:b/>
                <w:bCs/>
                <w:sz w:val="18"/>
                <w:szCs w:val="18"/>
                <w:lang w:val="en-GB"/>
              </w:rPr>
            </w:pPr>
            <w:r w:rsidRPr="002F4224">
              <w:rPr>
                <w:rFonts w:ascii="Arial Narrow" w:hAnsi="Arial Narrow"/>
                <w:b/>
                <w:bCs/>
                <w:sz w:val="18"/>
                <w:szCs w:val="18"/>
                <w:lang w:val="en-GB"/>
              </w:rPr>
              <w:t>(PBS)</w:t>
            </w:r>
          </w:p>
        </w:tc>
        <w:tc>
          <w:tcPr>
            <w:tcW w:w="1744"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Median</w:t>
            </w:r>
            <w:r>
              <w:rPr>
                <w:rFonts w:ascii="Arial Narrow" w:hAnsi="Arial Narrow"/>
                <w:sz w:val="18"/>
                <w:szCs w:val="18"/>
                <w:lang w:val="en-GB"/>
              </w:rPr>
              <w:t xml:space="preserve"> (range)</w:t>
            </w:r>
          </w:p>
        </w:tc>
        <w:tc>
          <w:tcPr>
            <w:tcW w:w="1291"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6</w:t>
            </w:r>
            <w:r>
              <w:rPr>
                <w:rFonts w:ascii="Arial Narrow" w:hAnsi="Arial Narrow"/>
                <w:sz w:val="18"/>
                <w:szCs w:val="18"/>
                <w:lang w:val="en-GB"/>
              </w:rPr>
              <w:t xml:space="preserve"> (1-44)</w:t>
            </w:r>
            <w:r w:rsidR="007A18BD">
              <w:rPr>
                <w:rFonts w:ascii="Arial Narrow" w:hAnsi="Arial Narrow"/>
                <w:sz w:val="18"/>
                <w:szCs w:val="18"/>
                <w:lang w:val="en-GB"/>
              </w:rPr>
              <w:t xml:space="preserve"> ***</w:t>
            </w:r>
          </w:p>
        </w:tc>
        <w:tc>
          <w:tcPr>
            <w:tcW w:w="1135" w:type="dxa"/>
          </w:tcPr>
          <w:p w:rsidR="00FC5CD0" w:rsidRDefault="00FC5CD0" w:rsidP="00E317D5">
            <w:pPr>
              <w:spacing w:line="276" w:lineRule="auto"/>
              <w:jc w:val="center"/>
            </w:pPr>
            <w:r w:rsidRPr="0088049F">
              <w:rPr>
                <w:rFonts w:ascii="Arial Narrow" w:hAnsi="Arial Narrow"/>
                <w:sz w:val="18"/>
                <w:szCs w:val="18"/>
                <w:lang w:val="en-GB"/>
              </w:rPr>
              <w:t>NA</w:t>
            </w:r>
          </w:p>
        </w:tc>
        <w:tc>
          <w:tcPr>
            <w:tcW w:w="1152" w:type="dxa"/>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3 (1-44)</w:t>
            </w:r>
            <w:r w:rsidR="007A18BD" w:rsidRPr="00167861">
              <w:rPr>
                <w:rFonts w:ascii="Arial Narrow" w:hAnsi="Arial Narrow"/>
                <w:color w:val="000000" w:themeColor="text1"/>
                <w:sz w:val="18"/>
                <w:szCs w:val="18"/>
                <w:lang w:val="en-GB"/>
              </w:rPr>
              <w:t xml:space="preserve"> ***</w:t>
            </w:r>
          </w:p>
        </w:tc>
        <w:tc>
          <w:tcPr>
            <w:tcW w:w="1271" w:type="dxa"/>
          </w:tcPr>
          <w:p w:rsidR="00FC5CD0" w:rsidRPr="00167861" w:rsidRDefault="00FC5CD0" w:rsidP="00E317D5">
            <w:pPr>
              <w:spacing w:line="276" w:lineRule="auto"/>
              <w:jc w:val="center"/>
              <w:rPr>
                <w:color w:val="000000" w:themeColor="text1"/>
              </w:rPr>
            </w:pPr>
            <w:r w:rsidRPr="00167861">
              <w:rPr>
                <w:rFonts w:ascii="Arial Narrow" w:hAnsi="Arial Narrow"/>
                <w:color w:val="000000" w:themeColor="text1"/>
                <w:sz w:val="18"/>
                <w:szCs w:val="18"/>
                <w:lang w:val="en-GB"/>
              </w:rPr>
              <w:t>NA</w:t>
            </w:r>
          </w:p>
        </w:tc>
      </w:tr>
      <w:tr w:rsidR="00FC5CD0" w:rsidTr="00E317D5">
        <w:tc>
          <w:tcPr>
            <w:tcW w:w="1103" w:type="dxa"/>
            <w:vMerge/>
          </w:tcPr>
          <w:p w:rsidR="00FC5CD0" w:rsidRPr="001F5412" w:rsidRDefault="00FC5CD0" w:rsidP="00E317D5">
            <w:pPr>
              <w:spacing w:line="276" w:lineRule="auto"/>
              <w:rPr>
                <w:rFonts w:ascii="Arial Narrow" w:hAnsi="Arial Narrow"/>
                <w:sz w:val="18"/>
                <w:szCs w:val="18"/>
                <w:lang w:val="en-GB"/>
              </w:rPr>
            </w:pPr>
          </w:p>
        </w:tc>
        <w:tc>
          <w:tcPr>
            <w:tcW w:w="658" w:type="dxa"/>
            <w:vMerge/>
          </w:tcPr>
          <w:p w:rsidR="00FC5CD0" w:rsidRPr="002F4224" w:rsidRDefault="00FC5CD0" w:rsidP="00E317D5">
            <w:pPr>
              <w:spacing w:line="276" w:lineRule="auto"/>
              <w:rPr>
                <w:rFonts w:ascii="Arial Narrow" w:hAnsi="Arial Narrow"/>
                <w:b/>
                <w:bCs/>
                <w:sz w:val="18"/>
                <w:szCs w:val="18"/>
                <w:lang w:val="en-GB"/>
              </w:rPr>
            </w:pPr>
          </w:p>
        </w:tc>
        <w:tc>
          <w:tcPr>
            <w:tcW w:w="1436" w:type="dxa"/>
            <w:vMerge/>
          </w:tcPr>
          <w:p w:rsidR="00FC5CD0" w:rsidRPr="002F4224" w:rsidRDefault="00FC5CD0" w:rsidP="00E317D5">
            <w:pPr>
              <w:spacing w:line="276" w:lineRule="auto"/>
              <w:jc w:val="left"/>
              <w:rPr>
                <w:rFonts w:ascii="Arial Narrow" w:hAnsi="Arial Narrow"/>
                <w:b/>
                <w:bCs/>
                <w:sz w:val="18"/>
                <w:szCs w:val="18"/>
                <w:lang w:val="en-GB"/>
              </w:rPr>
            </w:pPr>
          </w:p>
        </w:tc>
        <w:tc>
          <w:tcPr>
            <w:tcW w:w="1744"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Mean ± SD</w:t>
            </w:r>
          </w:p>
        </w:tc>
        <w:tc>
          <w:tcPr>
            <w:tcW w:w="1291"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9±</w:t>
            </w:r>
            <w:r>
              <w:rPr>
                <w:rFonts w:ascii="Arial Narrow" w:hAnsi="Arial Narrow"/>
                <w:sz w:val="18"/>
                <w:szCs w:val="18"/>
                <w:lang w:val="en-GB"/>
              </w:rPr>
              <w:t>12</w:t>
            </w:r>
          </w:p>
        </w:tc>
        <w:tc>
          <w:tcPr>
            <w:tcW w:w="1135" w:type="dxa"/>
          </w:tcPr>
          <w:p w:rsidR="00FC5CD0" w:rsidRDefault="00FC5CD0" w:rsidP="00E317D5">
            <w:pPr>
              <w:spacing w:line="276" w:lineRule="auto"/>
              <w:jc w:val="center"/>
            </w:pPr>
            <w:r w:rsidRPr="0088049F">
              <w:rPr>
                <w:rFonts w:ascii="Arial Narrow" w:hAnsi="Arial Narrow"/>
                <w:sz w:val="18"/>
                <w:szCs w:val="18"/>
                <w:lang w:val="en-GB"/>
              </w:rPr>
              <w:t>NA</w:t>
            </w:r>
          </w:p>
        </w:tc>
        <w:tc>
          <w:tcPr>
            <w:tcW w:w="1152" w:type="dxa"/>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6±</w:t>
            </w:r>
            <w:r w:rsidR="00FD3A58" w:rsidRPr="00167861">
              <w:rPr>
                <w:rFonts w:ascii="Arial Narrow" w:hAnsi="Arial Narrow"/>
                <w:color w:val="000000" w:themeColor="text1"/>
                <w:sz w:val="18"/>
                <w:szCs w:val="18"/>
                <w:lang w:val="en-GB"/>
              </w:rPr>
              <w:t>9</w:t>
            </w:r>
          </w:p>
        </w:tc>
        <w:tc>
          <w:tcPr>
            <w:tcW w:w="1271" w:type="dxa"/>
          </w:tcPr>
          <w:p w:rsidR="00FC5CD0" w:rsidRPr="00167861" w:rsidRDefault="00FC5CD0" w:rsidP="00E317D5">
            <w:pPr>
              <w:spacing w:line="276" w:lineRule="auto"/>
              <w:jc w:val="center"/>
              <w:rPr>
                <w:color w:val="000000" w:themeColor="text1"/>
              </w:rPr>
            </w:pPr>
            <w:r w:rsidRPr="00167861">
              <w:rPr>
                <w:rFonts w:ascii="Arial Narrow" w:hAnsi="Arial Narrow"/>
                <w:color w:val="000000" w:themeColor="text1"/>
                <w:sz w:val="18"/>
                <w:szCs w:val="18"/>
                <w:lang w:val="en-GB"/>
              </w:rPr>
              <w:t>NA</w:t>
            </w:r>
          </w:p>
        </w:tc>
      </w:tr>
      <w:tr w:rsidR="00FC5CD0" w:rsidTr="00E317D5">
        <w:tc>
          <w:tcPr>
            <w:tcW w:w="1103" w:type="dxa"/>
            <w:vMerge/>
          </w:tcPr>
          <w:p w:rsidR="00FC5CD0" w:rsidRPr="001F5412" w:rsidRDefault="00FC5CD0" w:rsidP="00E317D5">
            <w:pPr>
              <w:spacing w:line="276" w:lineRule="auto"/>
              <w:rPr>
                <w:rFonts w:ascii="Arial Narrow" w:hAnsi="Arial Narrow"/>
                <w:sz w:val="18"/>
                <w:szCs w:val="18"/>
                <w:lang w:val="en-GB"/>
              </w:rPr>
            </w:pPr>
          </w:p>
        </w:tc>
        <w:tc>
          <w:tcPr>
            <w:tcW w:w="658" w:type="dxa"/>
            <w:vMerge/>
          </w:tcPr>
          <w:p w:rsidR="00FC5CD0" w:rsidRPr="002F4224" w:rsidRDefault="00FC5CD0" w:rsidP="00E317D5">
            <w:pPr>
              <w:spacing w:line="276" w:lineRule="auto"/>
              <w:rPr>
                <w:rFonts w:ascii="Arial Narrow" w:hAnsi="Arial Narrow"/>
                <w:b/>
                <w:bCs/>
                <w:sz w:val="18"/>
                <w:szCs w:val="18"/>
                <w:lang w:val="en-GB"/>
              </w:rPr>
            </w:pPr>
          </w:p>
        </w:tc>
        <w:tc>
          <w:tcPr>
            <w:tcW w:w="1436" w:type="dxa"/>
            <w:vMerge/>
          </w:tcPr>
          <w:p w:rsidR="00FC5CD0" w:rsidRPr="002F4224" w:rsidRDefault="00FC5CD0" w:rsidP="00E317D5">
            <w:pPr>
              <w:spacing w:line="276" w:lineRule="auto"/>
              <w:jc w:val="left"/>
              <w:rPr>
                <w:rFonts w:ascii="Arial Narrow" w:hAnsi="Arial Narrow"/>
                <w:b/>
                <w:bCs/>
                <w:sz w:val="18"/>
                <w:szCs w:val="18"/>
                <w:lang w:val="en-GB"/>
              </w:rPr>
            </w:pPr>
          </w:p>
        </w:tc>
        <w:tc>
          <w:tcPr>
            <w:tcW w:w="1744"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P25-P75</w:t>
            </w:r>
          </w:p>
        </w:tc>
        <w:tc>
          <w:tcPr>
            <w:tcW w:w="1291" w:type="dxa"/>
          </w:tcPr>
          <w:p w:rsidR="00FC5CD0" w:rsidRPr="001F5412" w:rsidRDefault="00FC5CD0" w:rsidP="00E317D5">
            <w:pPr>
              <w:spacing w:line="276" w:lineRule="auto"/>
              <w:jc w:val="center"/>
              <w:rPr>
                <w:rFonts w:ascii="Arial Narrow" w:hAnsi="Arial Narrow"/>
                <w:sz w:val="18"/>
                <w:szCs w:val="18"/>
                <w:lang w:val="en-GB"/>
              </w:rPr>
            </w:pPr>
            <w:r>
              <w:rPr>
                <w:rFonts w:ascii="Arial Narrow" w:hAnsi="Arial Narrow"/>
                <w:sz w:val="18"/>
                <w:szCs w:val="18"/>
                <w:lang w:val="en-GB"/>
              </w:rPr>
              <w:t>2-9</w:t>
            </w:r>
          </w:p>
        </w:tc>
        <w:tc>
          <w:tcPr>
            <w:tcW w:w="1135" w:type="dxa"/>
          </w:tcPr>
          <w:p w:rsidR="00FC5CD0" w:rsidRDefault="00FC5CD0" w:rsidP="00E317D5">
            <w:pPr>
              <w:spacing w:line="276" w:lineRule="auto"/>
              <w:jc w:val="center"/>
            </w:pPr>
            <w:r w:rsidRPr="0088049F">
              <w:rPr>
                <w:rFonts w:ascii="Arial Narrow" w:hAnsi="Arial Narrow"/>
                <w:sz w:val="18"/>
                <w:szCs w:val="18"/>
                <w:lang w:val="en-GB"/>
              </w:rPr>
              <w:t>NA</w:t>
            </w:r>
          </w:p>
        </w:tc>
        <w:tc>
          <w:tcPr>
            <w:tcW w:w="1152" w:type="dxa"/>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2-</w:t>
            </w:r>
            <w:r w:rsidR="00FD3A58" w:rsidRPr="00167861">
              <w:rPr>
                <w:rFonts w:ascii="Arial Narrow" w:hAnsi="Arial Narrow"/>
                <w:color w:val="000000" w:themeColor="text1"/>
                <w:sz w:val="18"/>
                <w:szCs w:val="18"/>
                <w:lang w:val="en-GB"/>
              </w:rPr>
              <w:t>6</w:t>
            </w:r>
          </w:p>
        </w:tc>
        <w:tc>
          <w:tcPr>
            <w:tcW w:w="1271" w:type="dxa"/>
          </w:tcPr>
          <w:p w:rsidR="00FC5CD0" w:rsidRPr="00167861" w:rsidRDefault="00FC5CD0" w:rsidP="00E317D5">
            <w:pPr>
              <w:spacing w:line="276" w:lineRule="auto"/>
              <w:jc w:val="center"/>
              <w:rPr>
                <w:color w:val="000000" w:themeColor="text1"/>
              </w:rPr>
            </w:pPr>
            <w:r w:rsidRPr="00167861">
              <w:rPr>
                <w:rFonts w:ascii="Arial Narrow" w:hAnsi="Arial Narrow"/>
                <w:color w:val="000000" w:themeColor="text1"/>
                <w:sz w:val="18"/>
                <w:szCs w:val="18"/>
                <w:lang w:val="en-GB"/>
              </w:rPr>
              <w:t>NA</w:t>
            </w:r>
          </w:p>
        </w:tc>
      </w:tr>
      <w:tr w:rsidR="00FC5CD0" w:rsidTr="00E317D5">
        <w:tc>
          <w:tcPr>
            <w:tcW w:w="1103" w:type="dxa"/>
            <w:vMerge/>
          </w:tcPr>
          <w:p w:rsidR="00FC5CD0" w:rsidRPr="001F5412" w:rsidRDefault="00FC5CD0" w:rsidP="00E317D5">
            <w:pPr>
              <w:spacing w:line="276" w:lineRule="auto"/>
              <w:rPr>
                <w:rFonts w:ascii="Arial Narrow" w:hAnsi="Arial Narrow"/>
                <w:sz w:val="18"/>
                <w:szCs w:val="18"/>
                <w:lang w:val="en-GB"/>
              </w:rPr>
            </w:pPr>
          </w:p>
        </w:tc>
        <w:tc>
          <w:tcPr>
            <w:tcW w:w="658" w:type="dxa"/>
            <w:vMerge/>
          </w:tcPr>
          <w:p w:rsidR="00FC5CD0" w:rsidRPr="002F4224" w:rsidRDefault="00FC5CD0" w:rsidP="00E317D5">
            <w:pPr>
              <w:spacing w:line="276" w:lineRule="auto"/>
              <w:rPr>
                <w:rFonts w:ascii="Arial Narrow" w:hAnsi="Arial Narrow"/>
                <w:b/>
                <w:bCs/>
                <w:sz w:val="18"/>
                <w:szCs w:val="18"/>
                <w:lang w:val="en-GB"/>
              </w:rPr>
            </w:pPr>
          </w:p>
        </w:tc>
        <w:tc>
          <w:tcPr>
            <w:tcW w:w="1436" w:type="dxa"/>
            <w:vMerge/>
          </w:tcPr>
          <w:p w:rsidR="00FC5CD0" w:rsidRPr="002F4224" w:rsidRDefault="00FC5CD0" w:rsidP="00E317D5">
            <w:pPr>
              <w:spacing w:line="276" w:lineRule="auto"/>
              <w:jc w:val="left"/>
              <w:rPr>
                <w:rFonts w:ascii="Arial Narrow" w:hAnsi="Arial Narrow"/>
                <w:b/>
                <w:bCs/>
                <w:sz w:val="18"/>
                <w:szCs w:val="18"/>
                <w:lang w:val="en-GB"/>
              </w:rPr>
            </w:pPr>
          </w:p>
        </w:tc>
        <w:tc>
          <w:tcPr>
            <w:tcW w:w="1744"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P10-P90</w:t>
            </w:r>
          </w:p>
        </w:tc>
        <w:tc>
          <w:tcPr>
            <w:tcW w:w="1291" w:type="dxa"/>
          </w:tcPr>
          <w:p w:rsidR="00FC5CD0" w:rsidRPr="001F5412" w:rsidRDefault="00FC5CD0" w:rsidP="00E317D5">
            <w:pPr>
              <w:spacing w:line="276" w:lineRule="auto"/>
              <w:jc w:val="center"/>
              <w:rPr>
                <w:rFonts w:ascii="Arial Narrow" w:hAnsi="Arial Narrow"/>
                <w:sz w:val="18"/>
                <w:szCs w:val="18"/>
                <w:lang w:val="en-GB"/>
              </w:rPr>
            </w:pPr>
            <w:r>
              <w:rPr>
                <w:rFonts w:ascii="Arial Narrow" w:hAnsi="Arial Narrow"/>
                <w:sz w:val="18"/>
                <w:szCs w:val="18"/>
                <w:lang w:val="en-GB"/>
              </w:rPr>
              <w:t>1-16</w:t>
            </w:r>
          </w:p>
        </w:tc>
        <w:tc>
          <w:tcPr>
            <w:tcW w:w="1135" w:type="dxa"/>
          </w:tcPr>
          <w:p w:rsidR="00FC5CD0" w:rsidRDefault="00FC5CD0" w:rsidP="00E317D5">
            <w:pPr>
              <w:spacing w:line="276" w:lineRule="auto"/>
              <w:jc w:val="center"/>
            </w:pPr>
            <w:r w:rsidRPr="0088049F">
              <w:rPr>
                <w:rFonts w:ascii="Arial Narrow" w:hAnsi="Arial Narrow"/>
                <w:sz w:val="18"/>
                <w:szCs w:val="18"/>
                <w:lang w:val="en-GB"/>
              </w:rPr>
              <w:t>NA</w:t>
            </w:r>
          </w:p>
        </w:tc>
        <w:tc>
          <w:tcPr>
            <w:tcW w:w="1152" w:type="dxa"/>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1-1</w:t>
            </w:r>
            <w:r w:rsidR="00FD3A58" w:rsidRPr="00167861">
              <w:rPr>
                <w:rFonts w:ascii="Arial Narrow" w:hAnsi="Arial Narrow"/>
                <w:color w:val="000000" w:themeColor="text1"/>
                <w:sz w:val="18"/>
                <w:szCs w:val="18"/>
                <w:lang w:val="en-GB"/>
              </w:rPr>
              <w:t>0</w:t>
            </w:r>
          </w:p>
        </w:tc>
        <w:tc>
          <w:tcPr>
            <w:tcW w:w="1271" w:type="dxa"/>
          </w:tcPr>
          <w:p w:rsidR="00FC5CD0" w:rsidRPr="00167861" w:rsidRDefault="00FC5CD0" w:rsidP="00E317D5">
            <w:pPr>
              <w:spacing w:line="276" w:lineRule="auto"/>
              <w:jc w:val="center"/>
              <w:rPr>
                <w:color w:val="000000" w:themeColor="text1"/>
              </w:rPr>
            </w:pPr>
            <w:r w:rsidRPr="00167861">
              <w:rPr>
                <w:rFonts w:ascii="Arial Narrow" w:hAnsi="Arial Narrow"/>
                <w:color w:val="000000" w:themeColor="text1"/>
                <w:sz w:val="18"/>
                <w:szCs w:val="18"/>
                <w:lang w:val="en-GB"/>
              </w:rPr>
              <w:t>NA</w:t>
            </w:r>
          </w:p>
        </w:tc>
      </w:tr>
      <w:tr w:rsidR="00FC5CD0" w:rsidTr="00E317D5">
        <w:tc>
          <w:tcPr>
            <w:tcW w:w="1103" w:type="dxa"/>
            <w:vMerge/>
          </w:tcPr>
          <w:p w:rsidR="00FC5CD0" w:rsidRPr="001F5412" w:rsidRDefault="00FC5CD0" w:rsidP="00E317D5">
            <w:pPr>
              <w:spacing w:line="276" w:lineRule="auto"/>
              <w:rPr>
                <w:rFonts w:ascii="Arial Narrow" w:hAnsi="Arial Narrow"/>
                <w:sz w:val="18"/>
                <w:szCs w:val="18"/>
                <w:lang w:val="en-GB"/>
              </w:rPr>
            </w:pPr>
          </w:p>
        </w:tc>
        <w:tc>
          <w:tcPr>
            <w:tcW w:w="658" w:type="dxa"/>
            <w:vMerge/>
          </w:tcPr>
          <w:p w:rsidR="00FC5CD0" w:rsidRPr="002F4224" w:rsidRDefault="00FC5CD0" w:rsidP="00E317D5">
            <w:pPr>
              <w:spacing w:line="276" w:lineRule="auto"/>
              <w:rPr>
                <w:rFonts w:ascii="Arial Narrow" w:hAnsi="Arial Narrow"/>
                <w:b/>
                <w:bCs/>
                <w:sz w:val="18"/>
                <w:szCs w:val="18"/>
                <w:lang w:val="en-GB"/>
              </w:rPr>
            </w:pPr>
          </w:p>
        </w:tc>
        <w:tc>
          <w:tcPr>
            <w:tcW w:w="1436" w:type="dxa"/>
            <w:vMerge/>
          </w:tcPr>
          <w:p w:rsidR="00FC5CD0" w:rsidRPr="002F4224" w:rsidRDefault="00FC5CD0" w:rsidP="00E317D5">
            <w:pPr>
              <w:spacing w:line="276" w:lineRule="auto"/>
              <w:jc w:val="left"/>
              <w:rPr>
                <w:rFonts w:ascii="Arial Narrow" w:hAnsi="Arial Narrow"/>
                <w:b/>
                <w:bCs/>
                <w:sz w:val="18"/>
                <w:szCs w:val="18"/>
                <w:lang w:val="en-GB"/>
              </w:rPr>
            </w:pPr>
          </w:p>
        </w:tc>
        <w:tc>
          <w:tcPr>
            <w:tcW w:w="1744" w:type="dxa"/>
            <w:shd w:val="clear" w:color="auto" w:fill="D9D9D9" w:themeFill="background1" w:themeFillShade="D9"/>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P5-P95</w:t>
            </w:r>
          </w:p>
        </w:tc>
        <w:tc>
          <w:tcPr>
            <w:tcW w:w="1291" w:type="dxa"/>
            <w:shd w:val="clear" w:color="auto" w:fill="D9D9D9" w:themeFill="background1" w:themeFillShade="D9"/>
          </w:tcPr>
          <w:p w:rsidR="00FC5CD0" w:rsidRPr="001F5412" w:rsidRDefault="00FC5CD0" w:rsidP="00E317D5">
            <w:pPr>
              <w:spacing w:line="276" w:lineRule="auto"/>
              <w:jc w:val="center"/>
              <w:rPr>
                <w:rFonts w:ascii="Arial Narrow" w:hAnsi="Arial Narrow"/>
                <w:sz w:val="18"/>
                <w:szCs w:val="18"/>
                <w:lang w:val="en-GB"/>
              </w:rPr>
            </w:pPr>
            <w:r>
              <w:rPr>
                <w:rFonts w:ascii="Arial Narrow" w:hAnsi="Arial Narrow"/>
                <w:sz w:val="18"/>
                <w:szCs w:val="18"/>
                <w:lang w:val="en-GB"/>
              </w:rPr>
              <w:t>1-</w:t>
            </w:r>
            <w:r w:rsidRPr="00CD56CB">
              <w:rPr>
                <w:rFonts w:ascii="Arial Narrow" w:hAnsi="Arial Narrow"/>
                <w:b/>
                <w:bCs/>
                <w:sz w:val="18"/>
                <w:szCs w:val="18"/>
                <w:lang w:val="en-GB"/>
              </w:rPr>
              <w:t>29</w:t>
            </w:r>
          </w:p>
        </w:tc>
        <w:tc>
          <w:tcPr>
            <w:tcW w:w="1135" w:type="dxa"/>
            <w:shd w:val="clear" w:color="auto" w:fill="D9D9D9" w:themeFill="background1" w:themeFillShade="D9"/>
          </w:tcPr>
          <w:p w:rsidR="00FC5CD0" w:rsidRDefault="00FC5CD0" w:rsidP="00E317D5">
            <w:pPr>
              <w:spacing w:line="276" w:lineRule="auto"/>
              <w:jc w:val="center"/>
            </w:pPr>
            <w:r w:rsidRPr="0088049F">
              <w:rPr>
                <w:rFonts w:ascii="Arial Narrow" w:hAnsi="Arial Narrow"/>
                <w:sz w:val="18"/>
                <w:szCs w:val="18"/>
                <w:lang w:val="en-GB"/>
              </w:rPr>
              <w:t>NA</w:t>
            </w:r>
          </w:p>
        </w:tc>
        <w:tc>
          <w:tcPr>
            <w:tcW w:w="1152" w:type="dxa"/>
            <w:shd w:val="clear" w:color="auto" w:fill="D9D9D9" w:themeFill="background1" w:themeFillShade="D9"/>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1-</w:t>
            </w:r>
            <w:r w:rsidRPr="00167861">
              <w:rPr>
                <w:rFonts w:ascii="Arial Narrow" w:hAnsi="Arial Narrow"/>
                <w:b/>
                <w:bCs/>
                <w:color w:val="000000" w:themeColor="text1"/>
                <w:sz w:val="18"/>
                <w:szCs w:val="18"/>
                <w:lang w:val="en-GB"/>
              </w:rPr>
              <w:t>1</w:t>
            </w:r>
            <w:r w:rsidR="00FD3A58" w:rsidRPr="00167861">
              <w:rPr>
                <w:rFonts w:ascii="Arial Narrow" w:hAnsi="Arial Narrow"/>
                <w:b/>
                <w:bCs/>
                <w:color w:val="000000" w:themeColor="text1"/>
                <w:sz w:val="18"/>
                <w:szCs w:val="18"/>
                <w:lang w:val="en-GB"/>
              </w:rPr>
              <w:t>6</w:t>
            </w:r>
          </w:p>
        </w:tc>
        <w:tc>
          <w:tcPr>
            <w:tcW w:w="1271" w:type="dxa"/>
            <w:shd w:val="clear" w:color="auto" w:fill="D9D9D9" w:themeFill="background1" w:themeFillShade="D9"/>
          </w:tcPr>
          <w:p w:rsidR="00FC5CD0" w:rsidRPr="00167861" w:rsidRDefault="00FC5CD0" w:rsidP="00E317D5">
            <w:pPr>
              <w:spacing w:line="276" w:lineRule="auto"/>
              <w:jc w:val="center"/>
              <w:rPr>
                <w:color w:val="000000" w:themeColor="text1"/>
              </w:rPr>
            </w:pPr>
            <w:r w:rsidRPr="00167861">
              <w:rPr>
                <w:rFonts w:ascii="Arial Narrow" w:hAnsi="Arial Narrow"/>
                <w:color w:val="000000" w:themeColor="text1"/>
                <w:sz w:val="18"/>
                <w:szCs w:val="18"/>
                <w:lang w:val="en-GB"/>
              </w:rPr>
              <w:t>NA</w:t>
            </w:r>
          </w:p>
        </w:tc>
      </w:tr>
      <w:tr w:rsidR="00FC5CD0" w:rsidTr="00E317D5">
        <w:tc>
          <w:tcPr>
            <w:tcW w:w="1103" w:type="dxa"/>
            <w:vMerge/>
          </w:tcPr>
          <w:p w:rsidR="00FC5CD0" w:rsidRPr="001F5412" w:rsidRDefault="00FC5CD0" w:rsidP="00E317D5">
            <w:pPr>
              <w:spacing w:line="276" w:lineRule="auto"/>
              <w:rPr>
                <w:rFonts w:ascii="Arial Narrow" w:hAnsi="Arial Narrow"/>
                <w:sz w:val="18"/>
                <w:szCs w:val="18"/>
                <w:lang w:val="en-GB"/>
              </w:rPr>
            </w:pPr>
          </w:p>
        </w:tc>
        <w:tc>
          <w:tcPr>
            <w:tcW w:w="658" w:type="dxa"/>
            <w:vMerge/>
          </w:tcPr>
          <w:p w:rsidR="00FC5CD0" w:rsidRPr="002F4224" w:rsidRDefault="00FC5CD0" w:rsidP="00E317D5">
            <w:pPr>
              <w:spacing w:line="276" w:lineRule="auto"/>
              <w:rPr>
                <w:rFonts w:ascii="Arial Narrow" w:hAnsi="Arial Narrow"/>
                <w:b/>
                <w:bCs/>
                <w:sz w:val="18"/>
                <w:szCs w:val="18"/>
                <w:lang w:val="en-GB"/>
              </w:rPr>
            </w:pPr>
          </w:p>
        </w:tc>
        <w:tc>
          <w:tcPr>
            <w:tcW w:w="1436" w:type="dxa"/>
            <w:vMerge w:val="restart"/>
          </w:tcPr>
          <w:p w:rsidR="00FC5CD0" w:rsidRPr="002F4224" w:rsidRDefault="00FC5CD0" w:rsidP="00E317D5">
            <w:pPr>
              <w:spacing w:line="276" w:lineRule="auto"/>
              <w:jc w:val="left"/>
              <w:rPr>
                <w:rFonts w:ascii="Arial Narrow" w:hAnsi="Arial Narrow"/>
                <w:b/>
                <w:bCs/>
                <w:sz w:val="18"/>
                <w:szCs w:val="18"/>
                <w:lang w:val="en-GB"/>
              </w:rPr>
            </w:pPr>
            <w:r w:rsidRPr="002F4224">
              <w:rPr>
                <w:rFonts w:ascii="Arial Narrow" w:hAnsi="Arial Narrow"/>
                <w:b/>
                <w:bCs/>
                <w:sz w:val="18"/>
                <w:szCs w:val="18"/>
                <w:lang w:val="en-GB"/>
              </w:rPr>
              <w:t xml:space="preserve">Stimulated </w:t>
            </w:r>
          </w:p>
          <w:p w:rsidR="00FC5CD0" w:rsidRPr="002F4224" w:rsidRDefault="00FC5CD0" w:rsidP="00E317D5">
            <w:pPr>
              <w:spacing w:line="276" w:lineRule="auto"/>
              <w:jc w:val="left"/>
              <w:rPr>
                <w:rFonts w:ascii="Arial Narrow" w:hAnsi="Arial Narrow"/>
                <w:b/>
                <w:bCs/>
                <w:sz w:val="18"/>
                <w:szCs w:val="18"/>
                <w:lang w:val="en-GB"/>
              </w:rPr>
            </w:pPr>
            <w:r w:rsidRPr="002F4224">
              <w:rPr>
                <w:rFonts w:ascii="Arial Narrow" w:hAnsi="Arial Narrow"/>
                <w:b/>
                <w:bCs/>
                <w:sz w:val="18"/>
                <w:szCs w:val="18"/>
                <w:lang w:val="en-GB"/>
              </w:rPr>
              <w:t>ADP (10 µM)</w:t>
            </w:r>
          </w:p>
        </w:tc>
        <w:tc>
          <w:tcPr>
            <w:tcW w:w="1744"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Median</w:t>
            </w:r>
            <w:r>
              <w:rPr>
                <w:rFonts w:ascii="Arial Narrow" w:hAnsi="Arial Narrow"/>
                <w:sz w:val="18"/>
                <w:szCs w:val="18"/>
                <w:lang w:val="en-GB"/>
              </w:rPr>
              <w:t xml:space="preserve"> (range)</w:t>
            </w:r>
          </w:p>
        </w:tc>
        <w:tc>
          <w:tcPr>
            <w:tcW w:w="1291"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133 (63-205)</w:t>
            </w:r>
          </w:p>
        </w:tc>
        <w:tc>
          <w:tcPr>
            <w:tcW w:w="1135"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100 (77-156)</w:t>
            </w:r>
          </w:p>
        </w:tc>
        <w:tc>
          <w:tcPr>
            <w:tcW w:w="1152" w:type="dxa"/>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10</w:t>
            </w:r>
            <w:r w:rsidR="00FD3A58" w:rsidRPr="00167861">
              <w:rPr>
                <w:rFonts w:ascii="Arial Narrow" w:hAnsi="Arial Narrow"/>
                <w:color w:val="000000" w:themeColor="text1"/>
                <w:sz w:val="18"/>
                <w:szCs w:val="18"/>
                <w:lang w:val="en-GB"/>
              </w:rPr>
              <w:t>9</w:t>
            </w:r>
            <w:r w:rsidRPr="00167861">
              <w:rPr>
                <w:rFonts w:ascii="Arial Narrow" w:hAnsi="Arial Narrow"/>
                <w:color w:val="000000" w:themeColor="text1"/>
                <w:sz w:val="18"/>
                <w:szCs w:val="18"/>
                <w:lang w:val="en-GB"/>
              </w:rPr>
              <w:t xml:space="preserve"> (63-205)</w:t>
            </w:r>
          </w:p>
        </w:tc>
        <w:tc>
          <w:tcPr>
            <w:tcW w:w="1271" w:type="dxa"/>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100 (6</w:t>
            </w:r>
            <w:r w:rsidR="00FD3A58" w:rsidRPr="00167861">
              <w:rPr>
                <w:rFonts w:ascii="Arial Narrow" w:hAnsi="Arial Narrow"/>
                <w:color w:val="000000" w:themeColor="text1"/>
                <w:sz w:val="18"/>
                <w:szCs w:val="18"/>
                <w:lang w:val="en-GB"/>
              </w:rPr>
              <w:t>8</w:t>
            </w:r>
            <w:r w:rsidRPr="00167861">
              <w:rPr>
                <w:rFonts w:ascii="Arial Narrow" w:hAnsi="Arial Narrow"/>
                <w:color w:val="000000" w:themeColor="text1"/>
                <w:sz w:val="18"/>
                <w:szCs w:val="18"/>
                <w:lang w:val="en-GB"/>
              </w:rPr>
              <w:t>-15</w:t>
            </w:r>
            <w:r w:rsidR="00FD3A58" w:rsidRPr="00167861">
              <w:rPr>
                <w:rFonts w:ascii="Arial Narrow" w:hAnsi="Arial Narrow"/>
                <w:color w:val="000000" w:themeColor="text1"/>
                <w:sz w:val="18"/>
                <w:szCs w:val="18"/>
                <w:lang w:val="en-GB"/>
              </w:rPr>
              <w:t>6</w:t>
            </w:r>
            <w:r w:rsidRPr="00167861">
              <w:rPr>
                <w:rFonts w:ascii="Arial Narrow" w:hAnsi="Arial Narrow"/>
                <w:color w:val="000000" w:themeColor="text1"/>
                <w:sz w:val="18"/>
                <w:szCs w:val="18"/>
                <w:lang w:val="en-GB"/>
              </w:rPr>
              <w:t>)</w:t>
            </w:r>
          </w:p>
        </w:tc>
      </w:tr>
      <w:tr w:rsidR="00FC5CD0" w:rsidTr="00E317D5">
        <w:tc>
          <w:tcPr>
            <w:tcW w:w="1103" w:type="dxa"/>
            <w:vMerge/>
          </w:tcPr>
          <w:p w:rsidR="00FC5CD0" w:rsidRPr="001F5412" w:rsidRDefault="00FC5CD0" w:rsidP="00E317D5">
            <w:pPr>
              <w:spacing w:line="276" w:lineRule="auto"/>
              <w:rPr>
                <w:rFonts w:ascii="Arial Narrow" w:hAnsi="Arial Narrow"/>
                <w:sz w:val="18"/>
                <w:szCs w:val="18"/>
                <w:lang w:val="en-GB"/>
              </w:rPr>
            </w:pPr>
          </w:p>
        </w:tc>
        <w:tc>
          <w:tcPr>
            <w:tcW w:w="658" w:type="dxa"/>
            <w:vMerge/>
          </w:tcPr>
          <w:p w:rsidR="00FC5CD0" w:rsidRPr="002F4224" w:rsidRDefault="00FC5CD0" w:rsidP="00E317D5">
            <w:pPr>
              <w:spacing w:line="276" w:lineRule="auto"/>
              <w:rPr>
                <w:rFonts w:ascii="Arial Narrow" w:hAnsi="Arial Narrow"/>
                <w:b/>
                <w:bCs/>
                <w:sz w:val="18"/>
                <w:szCs w:val="18"/>
                <w:lang w:val="en-GB"/>
              </w:rPr>
            </w:pPr>
          </w:p>
        </w:tc>
        <w:tc>
          <w:tcPr>
            <w:tcW w:w="1436" w:type="dxa"/>
            <w:vMerge/>
          </w:tcPr>
          <w:p w:rsidR="00FC5CD0" w:rsidRPr="002F4224" w:rsidRDefault="00FC5CD0" w:rsidP="00E317D5">
            <w:pPr>
              <w:spacing w:line="276" w:lineRule="auto"/>
              <w:jc w:val="left"/>
              <w:rPr>
                <w:rFonts w:ascii="Arial Narrow" w:hAnsi="Arial Narrow"/>
                <w:b/>
                <w:bCs/>
                <w:sz w:val="18"/>
                <w:szCs w:val="18"/>
                <w:lang w:val="en-GB"/>
              </w:rPr>
            </w:pPr>
          </w:p>
        </w:tc>
        <w:tc>
          <w:tcPr>
            <w:tcW w:w="1744"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Mean ± SD</w:t>
            </w:r>
          </w:p>
        </w:tc>
        <w:tc>
          <w:tcPr>
            <w:tcW w:w="1291"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130±</w:t>
            </w:r>
            <w:r>
              <w:rPr>
                <w:rFonts w:ascii="Arial Narrow" w:hAnsi="Arial Narrow"/>
                <w:sz w:val="18"/>
                <w:szCs w:val="18"/>
                <w:lang w:val="en-GB"/>
              </w:rPr>
              <w:t>40</w:t>
            </w:r>
          </w:p>
        </w:tc>
        <w:tc>
          <w:tcPr>
            <w:tcW w:w="1135"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106±</w:t>
            </w:r>
            <w:r>
              <w:rPr>
                <w:rFonts w:ascii="Arial Narrow" w:hAnsi="Arial Narrow"/>
                <w:sz w:val="18"/>
                <w:szCs w:val="18"/>
                <w:lang w:val="en-GB"/>
              </w:rPr>
              <w:t>20</w:t>
            </w:r>
          </w:p>
        </w:tc>
        <w:tc>
          <w:tcPr>
            <w:tcW w:w="1152" w:type="dxa"/>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12</w:t>
            </w:r>
            <w:r w:rsidR="00FD3A58" w:rsidRPr="00167861">
              <w:rPr>
                <w:rFonts w:ascii="Arial Narrow" w:hAnsi="Arial Narrow"/>
                <w:color w:val="000000" w:themeColor="text1"/>
                <w:sz w:val="18"/>
                <w:szCs w:val="18"/>
                <w:lang w:val="en-GB"/>
              </w:rPr>
              <w:t>0</w:t>
            </w:r>
            <w:r w:rsidRPr="00167861">
              <w:rPr>
                <w:rFonts w:ascii="Arial Narrow" w:hAnsi="Arial Narrow"/>
                <w:color w:val="000000" w:themeColor="text1"/>
                <w:sz w:val="18"/>
                <w:szCs w:val="18"/>
                <w:lang w:val="en-GB"/>
              </w:rPr>
              <w:t>±40</w:t>
            </w:r>
          </w:p>
        </w:tc>
        <w:tc>
          <w:tcPr>
            <w:tcW w:w="1271" w:type="dxa"/>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10</w:t>
            </w:r>
            <w:r w:rsidR="00FD3A58" w:rsidRPr="00167861">
              <w:rPr>
                <w:rFonts w:ascii="Arial Narrow" w:hAnsi="Arial Narrow"/>
                <w:color w:val="000000" w:themeColor="text1"/>
                <w:sz w:val="18"/>
                <w:szCs w:val="18"/>
                <w:lang w:val="en-GB"/>
              </w:rPr>
              <w:t>1</w:t>
            </w:r>
            <w:r w:rsidRPr="00167861">
              <w:rPr>
                <w:rFonts w:ascii="Arial Narrow" w:hAnsi="Arial Narrow"/>
                <w:color w:val="000000" w:themeColor="text1"/>
                <w:sz w:val="18"/>
                <w:szCs w:val="18"/>
                <w:lang w:val="en-GB"/>
              </w:rPr>
              <w:t>±22</w:t>
            </w:r>
          </w:p>
        </w:tc>
      </w:tr>
      <w:tr w:rsidR="00FC5CD0" w:rsidTr="00E317D5">
        <w:tc>
          <w:tcPr>
            <w:tcW w:w="1103" w:type="dxa"/>
            <w:vMerge/>
          </w:tcPr>
          <w:p w:rsidR="00FC5CD0" w:rsidRPr="001F5412" w:rsidRDefault="00FC5CD0" w:rsidP="00E317D5">
            <w:pPr>
              <w:spacing w:line="276" w:lineRule="auto"/>
              <w:rPr>
                <w:rFonts w:ascii="Arial Narrow" w:hAnsi="Arial Narrow"/>
                <w:sz w:val="18"/>
                <w:szCs w:val="18"/>
                <w:lang w:val="en-GB"/>
              </w:rPr>
            </w:pPr>
          </w:p>
        </w:tc>
        <w:tc>
          <w:tcPr>
            <w:tcW w:w="658" w:type="dxa"/>
            <w:vMerge/>
          </w:tcPr>
          <w:p w:rsidR="00FC5CD0" w:rsidRPr="002F4224" w:rsidRDefault="00FC5CD0" w:rsidP="00E317D5">
            <w:pPr>
              <w:spacing w:line="276" w:lineRule="auto"/>
              <w:rPr>
                <w:rFonts w:ascii="Arial Narrow" w:hAnsi="Arial Narrow"/>
                <w:b/>
                <w:bCs/>
                <w:sz w:val="18"/>
                <w:szCs w:val="18"/>
                <w:lang w:val="en-GB"/>
              </w:rPr>
            </w:pPr>
          </w:p>
        </w:tc>
        <w:tc>
          <w:tcPr>
            <w:tcW w:w="1436" w:type="dxa"/>
            <w:vMerge/>
          </w:tcPr>
          <w:p w:rsidR="00FC5CD0" w:rsidRPr="002F4224" w:rsidRDefault="00FC5CD0" w:rsidP="00E317D5">
            <w:pPr>
              <w:spacing w:line="276" w:lineRule="auto"/>
              <w:jc w:val="left"/>
              <w:rPr>
                <w:rFonts w:ascii="Arial Narrow" w:hAnsi="Arial Narrow"/>
                <w:b/>
                <w:bCs/>
                <w:sz w:val="18"/>
                <w:szCs w:val="18"/>
                <w:lang w:val="en-GB"/>
              </w:rPr>
            </w:pPr>
          </w:p>
        </w:tc>
        <w:tc>
          <w:tcPr>
            <w:tcW w:w="1744"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P25-P75</w:t>
            </w:r>
          </w:p>
        </w:tc>
        <w:tc>
          <w:tcPr>
            <w:tcW w:w="1291" w:type="dxa"/>
          </w:tcPr>
          <w:p w:rsidR="00FC5CD0" w:rsidRPr="001F5412" w:rsidRDefault="00FC5CD0" w:rsidP="00E317D5">
            <w:pPr>
              <w:spacing w:line="276" w:lineRule="auto"/>
              <w:jc w:val="center"/>
              <w:rPr>
                <w:rFonts w:ascii="Arial Narrow" w:hAnsi="Arial Narrow"/>
                <w:sz w:val="18"/>
                <w:szCs w:val="18"/>
                <w:lang w:val="en-GB"/>
              </w:rPr>
            </w:pPr>
            <w:r>
              <w:rPr>
                <w:rFonts w:ascii="Arial Narrow" w:hAnsi="Arial Narrow"/>
                <w:sz w:val="18"/>
                <w:szCs w:val="18"/>
                <w:lang w:val="en-GB"/>
              </w:rPr>
              <w:t>99-155</w:t>
            </w:r>
          </w:p>
        </w:tc>
        <w:tc>
          <w:tcPr>
            <w:tcW w:w="1135" w:type="dxa"/>
          </w:tcPr>
          <w:p w:rsidR="00FC5CD0" w:rsidRPr="001F5412" w:rsidRDefault="00FC5CD0" w:rsidP="00E317D5">
            <w:pPr>
              <w:spacing w:line="276" w:lineRule="auto"/>
              <w:jc w:val="center"/>
              <w:rPr>
                <w:rFonts w:ascii="Arial Narrow" w:hAnsi="Arial Narrow"/>
                <w:sz w:val="18"/>
                <w:szCs w:val="18"/>
                <w:lang w:val="en-GB"/>
              </w:rPr>
            </w:pPr>
            <w:r>
              <w:rPr>
                <w:rFonts w:ascii="Arial Narrow" w:hAnsi="Arial Narrow"/>
                <w:sz w:val="18"/>
                <w:szCs w:val="18"/>
                <w:lang w:val="en-GB"/>
              </w:rPr>
              <w:t>95-112</w:t>
            </w:r>
          </w:p>
        </w:tc>
        <w:tc>
          <w:tcPr>
            <w:tcW w:w="1152" w:type="dxa"/>
          </w:tcPr>
          <w:p w:rsidR="00FC5CD0" w:rsidRPr="00167861" w:rsidRDefault="00FD3A58"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90</w:t>
            </w:r>
            <w:r w:rsidR="00FC5CD0" w:rsidRPr="00167861">
              <w:rPr>
                <w:rFonts w:ascii="Arial Narrow" w:hAnsi="Arial Narrow"/>
                <w:color w:val="000000" w:themeColor="text1"/>
                <w:sz w:val="18"/>
                <w:szCs w:val="18"/>
                <w:lang w:val="en-GB"/>
              </w:rPr>
              <w:t>-140</w:t>
            </w:r>
          </w:p>
        </w:tc>
        <w:tc>
          <w:tcPr>
            <w:tcW w:w="1271" w:type="dxa"/>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89-11</w:t>
            </w:r>
            <w:r w:rsidR="00FD3A58" w:rsidRPr="00167861">
              <w:rPr>
                <w:rFonts w:ascii="Arial Narrow" w:hAnsi="Arial Narrow"/>
                <w:color w:val="000000" w:themeColor="text1"/>
                <w:sz w:val="18"/>
                <w:szCs w:val="18"/>
                <w:lang w:val="en-GB"/>
              </w:rPr>
              <w:t>2</w:t>
            </w:r>
          </w:p>
        </w:tc>
      </w:tr>
      <w:tr w:rsidR="00FC5CD0" w:rsidTr="00E317D5">
        <w:tc>
          <w:tcPr>
            <w:tcW w:w="1103" w:type="dxa"/>
            <w:vMerge/>
          </w:tcPr>
          <w:p w:rsidR="00FC5CD0" w:rsidRPr="001F5412" w:rsidRDefault="00FC5CD0" w:rsidP="00E317D5">
            <w:pPr>
              <w:spacing w:line="276" w:lineRule="auto"/>
              <w:rPr>
                <w:rFonts w:ascii="Arial Narrow" w:hAnsi="Arial Narrow"/>
                <w:sz w:val="18"/>
                <w:szCs w:val="18"/>
                <w:lang w:val="en-GB"/>
              </w:rPr>
            </w:pPr>
          </w:p>
        </w:tc>
        <w:tc>
          <w:tcPr>
            <w:tcW w:w="658" w:type="dxa"/>
            <w:vMerge/>
          </w:tcPr>
          <w:p w:rsidR="00FC5CD0" w:rsidRPr="002F4224" w:rsidRDefault="00FC5CD0" w:rsidP="00E317D5">
            <w:pPr>
              <w:spacing w:line="276" w:lineRule="auto"/>
              <w:rPr>
                <w:rFonts w:ascii="Arial Narrow" w:hAnsi="Arial Narrow"/>
                <w:b/>
                <w:bCs/>
                <w:sz w:val="18"/>
                <w:szCs w:val="18"/>
                <w:lang w:val="en-GB"/>
              </w:rPr>
            </w:pPr>
          </w:p>
        </w:tc>
        <w:tc>
          <w:tcPr>
            <w:tcW w:w="1436" w:type="dxa"/>
            <w:vMerge/>
          </w:tcPr>
          <w:p w:rsidR="00FC5CD0" w:rsidRPr="002F4224" w:rsidRDefault="00FC5CD0" w:rsidP="00E317D5">
            <w:pPr>
              <w:spacing w:line="276" w:lineRule="auto"/>
              <w:jc w:val="left"/>
              <w:rPr>
                <w:rFonts w:ascii="Arial Narrow" w:hAnsi="Arial Narrow"/>
                <w:b/>
                <w:bCs/>
                <w:sz w:val="18"/>
                <w:szCs w:val="18"/>
                <w:lang w:val="en-GB"/>
              </w:rPr>
            </w:pPr>
          </w:p>
        </w:tc>
        <w:tc>
          <w:tcPr>
            <w:tcW w:w="1744"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P10-P90</w:t>
            </w:r>
          </w:p>
        </w:tc>
        <w:tc>
          <w:tcPr>
            <w:tcW w:w="1291" w:type="dxa"/>
          </w:tcPr>
          <w:p w:rsidR="00FC5CD0" w:rsidRPr="001F5412" w:rsidRDefault="00FC5CD0" w:rsidP="00E317D5">
            <w:pPr>
              <w:spacing w:line="276" w:lineRule="auto"/>
              <w:jc w:val="center"/>
              <w:rPr>
                <w:rFonts w:ascii="Arial Narrow" w:hAnsi="Arial Narrow"/>
                <w:sz w:val="18"/>
                <w:szCs w:val="18"/>
                <w:lang w:val="en-GB"/>
              </w:rPr>
            </w:pPr>
            <w:r>
              <w:rPr>
                <w:rFonts w:ascii="Arial Narrow" w:hAnsi="Arial Narrow"/>
                <w:sz w:val="18"/>
                <w:szCs w:val="18"/>
                <w:lang w:val="en-GB"/>
              </w:rPr>
              <w:t>85-171</w:t>
            </w:r>
          </w:p>
        </w:tc>
        <w:tc>
          <w:tcPr>
            <w:tcW w:w="1135" w:type="dxa"/>
          </w:tcPr>
          <w:p w:rsidR="00FC5CD0" w:rsidRPr="001F5412" w:rsidRDefault="00FC5CD0" w:rsidP="00E317D5">
            <w:pPr>
              <w:spacing w:line="276" w:lineRule="auto"/>
              <w:jc w:val="center"/>
              <w:rPr>
                <w:rFonts w:ascii="Arial Narrow" w:hAnsi="Arial Narrow"/>
                <w:sz w:val="18"/>
                <w:szCs w:val="18"/>
                <w:lang w:val="en-GB"/>
              </w:rPr>
            </w:pPr>
            <w:r>
              <w:rPr>
                <w:rFonts w:ascii="Arial Narrow" w:hAnsi="Arial Narrow"/>
                <w:sz w:val="18"/>
                <w:szCs w:val="18"/>
                <w:lang w:val="en-GB"/>
              </w:rPr>
              <w:t>90-124</w:t>
            </w:r>
          </w:p>
        </w:tc>
        <w:tc>
          <w:tcPr>
            <w:tcW w:w="1152" w:type="dxa"/>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78-17</w:t>
            </w:r>
            <w:r w:rsidR="00FD3A58" w:rsidRPr="00167861">
              <w:rPr>
                <w:rFonts w:ascii="Arial Narrow" w:hAnsi="Arial Narrow"/>
                <w:color w:val="000000" w:themeColor="text1"/>
                <w:sz w:val="18"/>
                <w:szCs w:val="18"/>
                <w:lang w:val="en-GB"/>
              </w:rPr>
              <w:t>5</w:t>
            </w:r>
          </w:p>
        </w:tc>
        <w:tc>
          <w:tcPr>
            <w:tcW w:w="1271" w:type="dxa"/>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7</w:t>
            </w:r>
            <w:r w:rsidR="00FD3A58" w:rsidRPr="00167861">
              <w:rPr>
                <w:rFonts w:ascii="Arial Narrow" w:hAnsi="Arial Narrow"/>
                <w:color w:val="000000" w:themeColor="text1"/>
                <w:sz w:val="18"/>
                <w:szCs w:val="18"/>
                <w:lang w:val="en-GB"/>
              </w:rPr>
              <w:t>5</w:t>
            </w:r>
            <w:r w:rsidRPr="00167861">
              <w:rPr>
                <w:rFonts w:ascii="Arial Narrow" w:hAnsi="Arial Narrow"/>
                <w:color w:val="000000" w:themeColor="text1"/>
                <w:sz w:val="18"/>
                <w:szCs w:val="18"/>
                <w:lang w:val="en-GB"/>
              </w:rPr>
              <w:t>-1</w:t>
            </w:r>
            <w:r w:rsidR="00FD3A58" w:rsidRPr="00167861">
              <w:rPr>
                <w:rFonts w:ascii="Arial Narrow" w:hAnsi="Arial Narrow"/>
                <w:color w:val="000000" w:themeColor="text1"/>
                <w:sz w:val="18"/>
                <w:szCs w:val="18"/>
                <w:lang w:val="en-GB"/>
              </w:rPr>
              <w:t>27</w:t>
            </w:r>
          </w:p>
        </w:tc>
      </w:tr>
      <w:tr w:rsidR="00FC5CD0" w:rsidTr="00E317D5">
        <w:tc>
          <w:tcPr>
            <w:tcW w:w="1103" w:type="dxa"/>
            <w:vMerge/>
          </w:tcPr>
          <w:p w:rsidR="00FC5CD0" w:rsidRPr="001F5412" w:rsidRDefault="00FC5CD0" w:rsidP="00E317D5">
            <w:pPr>
              <w:spacing w:line="276" w:lineRule="auto"/>
              <w:rPr>
                <w:rFonts w:ascii="Arial Narrow" w:hAnsi="Arial Narrow"/>
                <w:sz w:val="18"/>
                <w:szCs w:val="18"/>
                <w:lang w:val="en-GB"/>
              </w:rPr>
            </w:pPr>
          </w:p>
        </w:tc>
        <w:tc>
          <w:tcPr>
            <w:tcW w:w="658" w:type="dxa"/>
            <w:vMerge/>
          </w:tcPr>
          <w:p w:rsidR="00FC5CD0" w:rsidRPr="002F4224" w:rsidRDefault="00FC5CD0" w:rsidP="00E317D5">
            <w:pPr>
              <w:spacing w:line="276" w:lineRule="auto"/>
              <w:rPr>
                <w:rFonts w:ascii="Arial Narrow" w:hAnsi="Arial Narrow"/>
                <w:b/>
                <w:bCs/>
                <w:sz w:val="18"/>
                <w:szCs w:val="18"/>
                <w:lang w:val="en-GB"/>
              </w:rPr>
            </w:pPr>
          </w:p>
        </w:tc>
        <w:tc>
          <w:tcPr>
            <w:tcW w:w="1436" w:type="dxa"/>
            <w:vMerge/>
          </w:tcPr>
          <w:p w:rsidR="00FC5CD0" w:rsidRPr="002F4224" w:rsidRDefault="00FC5CD0" w:rsidP="00E317D5">
            <w:pPr>
              <w:spacing w:line="276" w:lineRule="auto"/>
              <w:jc w:val="left"/>
              <w:rPr>
                <w:rFonts w:ascii="Arial Narrow" w:hAnsi="Arial Narrow"/>
                <w:b/>
                <w:bCs/>
                <w:sz w:val="18"/>
                <w:szCs w:val="18"/>
                <w:lang w:val="en-GB"/>
              </w:rPr>
            </w:pPr>
          </w:p>
        </w:tc>
        <w:tc>
          <w:tcPr>
            <w:tcW w:w="1744" w:type="dxa"/>
            <w:shd w:val="clear" w:color="auto" w:fill="E2EFD9" w:themeFill="accent6" w:themeFillTint="33"/>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P5-P95</w:t>
            </w:r>
          </w:p>
        </w:tc>
        <w:tc>
          <w:tcPr>
            <w:tcW w:w="1291" w:type="dxa"/>
            <w:shd w:val="clear" w:color="auto" w:fill="E2EFD9" w:themeFill="accent6" w:themeFillTint="33"/>
          </w:tcPr>
          <w:p w:rsidR="00FC5CD0" w:rsidRPr="001F5412" w:rsidRDefault="00FC5CD0" w:rsidP="00E317D5">
            <w:pPr>
              <w:spacing w:line="276" w:lineRule="auto"/>
              <w:jc w:val="center"/>
              <w:rPr>
                <w:rFonts w:ascii="Arial Narrow" w:hAnsi="Arial Narrow"/>
                <w:sz w:val="18"/>
                <w:szCs w:val="18"/>
                <w:lang w:val="en-GB"/>
              </w:rPr>
            </w:pPr>
            <w:r w:rsidRPr="00CD56CB">
              <w:rPr>
                <w:rFonts w:ascii="Arial Narrow" w:hAnsi="Arial Narrow"/>
                <w:b/>
                <w:bCs/>
                <w:sz w:val="18"/>
                <w:szCs w:val="18"/>
                <w:lang w:val="en-GB"/>
              </w:rPr>
              <w:t>75-</w:t>
            </w:r>
            <w:r>
              <w:rPr>
                <w:rFonts w:ascii="Arial Narrow" w:hAnsi="Arial Narrow"/>
                <w:sz w:val="18"/>
                <w:szCs w:val="18"/>
                <w:lang w:val="en-GB"/>
              </w:rPr>
              <w:t>187</w:t>
            </w:r>
          </w:p>
        </w:tc>
        <w:tc>
          <w:tcPr>
            <w:tcW w:w="1135" w:type="dxa"/>
            <w:shd w:val="clear" w:color="auto" w:fill="E2EFD9" w:themeFill="accent6" w:themeFillTint="33"/>
          </w:tcPr>
          <w:p w:rsidR="00FC5CD0" w:rsidRPr="001F5412" w:rsidRDefault="00FC5CD0" w:rsidP="00E317D5">
            <w:pPr>
              <w:spacing w:line="276" w:lineRule="auto"/>
              <w:jc w:val="center"/>
              <w:rPr>
                <w:rFonts w:ascii="Arial Narrow" w:hAnsi="Arial Narrow"/>
                <w:sz w:val="18"/>
                <w:szCs w:val="18"/>
                <w:lang w:val="en-GB"/>
              </w:rPr>
            </w:pPr>
            <w:r w:rsidRPr="00CD56CB">
              <w:rPr>
                <w:rFonts w:ascii="Arial Narrow" w:hAnsi="Arial Narrow"/>
                <w:b/>
                <w:bCs/>
                <w:sz w:val="18"/>
                <w:szCs w:val="18"/>
                <w:lang w:val="en-GB"/>
              </w:rPr>
              <w:t>84</w:t>
            </w:r>
            <w:r>
              <w:rPr>
                <w:rFonts w:ascii="Arial Narrow" w:hAnsi="Arial Narrow"/>
                <w:sz w:val="18"/>
                <w:szCs w:val="18"/>
                <w:lang w:val="en-GB"/>
              </w:rPr>
              <w:t>-139</w:t>
            </w:r>
          </w:p>
        </w:tc>
        <w:tc>
          <w:tcPr>
            <w:tcW w:w="1152" w:type="dxa"/>
            <w:shd w:val="clear" w:color="auto" w:fill="E2EFD9" w:themeFill="accent6" w:themeFillTint="33"/>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b/>
                <w:bCs/>
                <w:color w:val="000000" w:themeColor="text1"/>
                <w:sz w:val="18"/>
                <w:szCs w:val="18"/>
                <w:lang w:val="en-GB"/>
              </w:rPr>
              <w:t>7</w:t>
            </w:r>
            <w:r w:rsidR="00FD3A58" w:rsidRPr="00167861">
              <w:rPr>
                <w:rFonts w:ascii="Arial Narrow" w:hAnsi="Arial Narrow"/>
                <w:b/>
                <w:bCs/>
                <w:color w:val="000000" w:themeColor="text1"/>
                <w:sz w:val="18"/>
                <w:szCs w:val="18"/>
                <w:lang w:val="en-GB"/>
              </w:rPr>
              <w:t>2</w:t>
            </w:r>
            <w:r w:rsidRPr="00167861">
              <w:rPr>
                <w:rFonts w:ascii="Arial Narrow" w:hAnsi="Arial Narrow"/>
                <w:color w:val="000000" w:themeColor="text1"/>
                <w:sz w:val="18"/>
                <w:szCs w:val="18"/>
                <w:lang w:val="en-GB"/>
              </w:rPr>
              <w:t>-19</w:t>
            </w:r>
            <w:r w:rsidR="00FD3A58" w:rsidRPr="00167861">
              <w:rPr>
                <w:rFonts w:ascii="Arial Narrow" w:hAnsi="Arial Narrow"/>
                <w:color w:val="000000" w:themeColor="text1"/>
                <w:sz w:val="18"/>
                <w:szCs w:val="18"/>
                <w:lang w:val="en-GB"/>
              </w:rPr>
              <w:t>8</w:t>
            </w:r>
          </w:p>
        </w:tc>
        <w:tc>
          <w:tcPr>
            <w:tcW w:w="1271" w:type="dxa"/>
            <w:shd w:val="clear" w:color="auto" w:fill="E2EFD9" w:themeFill="accent6" w:themeFillTint="33"/>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b/>
                <w:bCs/>
                <w:color w:val="000000" w:themeColor="text1"/>
                <w:sz w:val="18"/>
                <w:szCs w:val="18"/>
                <w:lang w:val="en-GB"/>
              </w:rPr>
              <w:t>7</w:t>
            </w:r>
            <w:r w:rsidR="00FD3A58" w:rsidRPr="00167861">
              <w:rPr>
                <w:rFonts w:ascii="Arial Narrow" w:hAnsi="Arial Narrow"/>
                <w:b/>
                <w:bCs/>
                <w:color w:val="000000" w:themeColor="text1"/>
                <w:sz w:val="18"/>
                <w:szCs w:val="18"/>
                <w:lang w:val="en-GB"/>
              </w:rPr>
              <w:t>2</w:t>
            </w:r>
            <w:r w:rsidRPr="00167861">
              <w:rPr>
                <w:rFonts w:ascii="Arial Narrow" w:hAnsi="Arial Narrow"/>
                <w:color w:val="000000" w:themeColor="text1"/>
                <w:sz w:val="18"/>
                <w:szCs w:val="18"/>
                <w:lang w:val="en-GB"/>
              </w:rPr>
              <w:t>-14</w:t>
            </w:r>
            <w:r w:rsidR="00FD3A58" w:rsidRPr="00167861">
              <w:rPr>
                <w:rFonts w:ascii="Arial Narrow" w:hAnsi="Arial Narrow"/>
                <w:color w:val="000000" w:themeColor="text1"/>
                <w:sz w:val="18"/>
                <w:szCs w:val="18"/>
                <w:lang w:val="en-GB"/>
              </w:rPr>
              <w:t>4</w:t>
            </w:r>
          </w:p>
        </w:tc>
      </w:tr>
      <w:tr w:rsidR="00FC5CD0" w:rsidTr="00E317D5">
        <w:tc>
          <w:tcPr>
            <w:tcW w:w="1103" w:type="dxa"/>
            <w:vMerge/>
          </w:tcPr>
          <w:p w:rsidR="00FC5CD0" w:rsidRPr="001F5412" w:rsidRDefault="00FC5CD0" w:rsidP="00E317D5">
            <w:pPr>
              <w:spacing w:line="276" w:lineRule="auto"/>
              <w:rPr>
                <w:rFonts w:ascii="Arial Narrow" w:hAnsi="Arial Narrow"/>
                <w:sz w:val="18"/>
                <w:szCs w:val="18"/>
                <w:lang w:val="en-GB"/>
              </w:rPr>
            </w:pPr>
          </w:p>
        </w:tc>
        <w:tc>
          <w:tcPr>
            <w:tcW w:w="658" w:type="dxa"/>
            <w:vMerge w:val="restart"/>
          </w:tcPr>
          <w:p w:rsidR="00FC5CD0" w:rsidRPr="002F4224" w:rsidRDefault="00FC5CD0" w:rsidP="00E317D5">
            <w:pPr>
              <w:spacing w:line="276" w:lineRule="auto"/>
              <w:rPr>
                <w:rFonts w:ascii="Arial Narrow" w:hAnsi="Arial Narrow"/>
                <w:b/>
                <w:bCs/>
                <w:sz w:val="18"/>
                <w:szCs w:val="18"/>
                <w:lang w:val="en-GB"/>
              </w:rPr>
            </w:pPr>
            <w:r w:rsidRPr="002F4224">
              <w:rPr>
                <w:rFonts w:ascii="Arial Narrow" w:hAnsi="Arial Narrow"/>
                <w:b/>
                <w:bCs/>
                <w:sz w:val="18"/>
                <w:szCs w:val="18"/>
                <w:lang w:val="en-GB"/>
              </w:rPr>
              <w:t>bFG</w:t>
            </w:r>
          </w:p>
        </w:tc>
        <w:tc>
          <w:tcPr>
            <w:tcW w:w="1436" w:type="dxa"/>
            <w:vMerge w:val="restart"/>
          </w:tcPr>
          <w:p w:rsidR="00FC5CD0" w:rsidRPr="002F4224" w:rsidRDefault="00FC5CD0" w:rsidP="00E317D5">
            <w:pPr>
              <w:spacing w:line="276" w:lineRule="auto"/>
              <w:jc w:val="left"/>
              <w:rPr>
                <w:rFonts w:ascii="Arial Narrow" w:hAnsi="Arial Narrow"/>
                <w:b/>
                <w:bCs/>
                <w:sz w:val="18"/>
                <w:szCs w:val="18"/>
                <w:lang w:val="en-GB"/>
              </w:rPr>
            </w:pPr>
            <w:r w:rsidRPr="002F4224">
              <w:rPr>
                <w:rFonts w:ascii="Arial Narrow" w:hAnsi="Arial Narrow"/>
                <w:b/>
                <w:bCs/>
                <w:sz w:val="18"/>
                <w:szCs w:val="18"/>
                <w:lang w:val="en-GB"/>
              </w:rPr>
              <w:t>Unstimulated</w:t>
            </w:r>
          </w:p>
          <w:p w:rsidR="00FC5CD0" w:rsidRPr="002F4224" w:rsidRDefault="00FC5CD0" w:rsidP="00E317D5">
            <w:pPr>
              <w:spacing w:line="276" w:lineRule="auto"/>
              <w:jc w:val="left"/>
              <w:rPr>
                <w:rFonts w:ascii="Arial Narrow" w:hAnsi="Arial Narrow"/>
                <w:b/>
                <w:bCs/>
                <w:sz w:val="18"/>
                <w:szCs w:val="18"/>
                <w:lang w:val="en-GB"/>
              </w:rPr>
            </w:pPr>
            <w:r w:rsidRPr="002F4224">
              <w:rPr>
                <w:rFonts w:ascii="Arial Narrow" w:hAnsi="Arial Narrow"/>
                <w:b/>
                <w:bCs/>
                <w:sz w:val="18"/>
                <w:szCs w:val="18"/>
                <w:lang w:val="en-GB"/>
              </w:rPr>
              <w:t>(PBS)</w:t>
            </w:r>
          </w:p>
        </w:tc>
        <w:tc>
          <w:tcPr>
            <w:tcW w:w="1744"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Median</w:t>
            </w:r>
            <w:r>
              <w:rPr>
                <w:rFonts w:ascii="Arial Narrow" w:hAnsi="Arial Narrow"/>
                <w:sz w:val="18"/>
                <w:szCs w:val="18"/>
                <w:lang w:val="en-GB"/>
              </w:rPr>
              <w:t xml:space="preserve"> (range)</w:t>
            </w:r>
          </w:p>
        </w:tc>
        <w:tc>
          <w:tcPr>
            <w:tcW w:w="1291"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0 (0-1)</w:t>
            </w:r>
            <w:r w:rsidR="007A18BD">
              <w:rPr>
                <w:rFonts w:ascii="Arial Narrow" w:hAnsi="Arial Narrow"/>
                <w:sz w:val="18"/>
                <w:szCs w:val="18"/>
                <w:lang w:val="en-GB"/>
              </w:rPr>
              <w:t xml:space="preserve"> ****</w:t>
            </w:r>
          </w:p>
        </w:tc>
        <w:tc>
          <w:tcPr>
            <w:tcW w:w="1135" w:type="dxa"/>
          </w:tcPr>
          <w:p w:rsidR="00FC5CD0" w:rsidRDefault="00FC5CD0" w:rsidP="00E317D5">
            <w:pPr>
              <w:spacing w:line="276" w:lineRule="auto"/>
              <w:jc w:val="center"/>
            </w:pPr>
            <w:r w:rsidRPr="0088049F">
              <w:rPr>
                <w:rFonts w:ascii="Arial Narrow" w:hAnsi="Arial Narrow"/>
                <w:sz w:val="18"/>
                <w:szCs w:val="18"/>
                <w:lang w:val="en-GB"/>
              </w:rPr>
              <w:t>NA</w:t>
            </w:r>
          </w:p>
        </w:tc>
        <w:tc>
          <w:tcPr>
            <w:tcW w:w="1152" w:type="dxa"/>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0 (0-1)</w:t>
            </w:r>
            <w:r w:rsidR="007A18BD" w:rsidRPr="00167861">
              <w:rPr>
                <w:rFonts w:ascii="Arial Narrow" w:hAnsi="Arial Narrow"/>
                <w:color w:val="000000" w:themeColor="text1"/>
                <w:sz w:val="18"/>
                <w:szCs w:val="18"/>
                <w:lang w:val="en-GB"/>
              </w:rPr>
              <w:t xml:space="preserve"> ****</w:t>
            </w:r>
          </w:p>
        </w:tc>
        <w:tc>
          <w:tcPr>
            <w:tcW w:w="1271" w:type="dxa"/>
          </w:tcPr>
          <w:p w:rsidR="00FC5CD0" w:rsidRPr="00167861" w:rsidRDefault="00FC5CD0" w:rsidP="00E317D5">
            <w:pPr>
              <w:spacing w:line="276" w:lineRule="auto"/>
              <w:jc w:val="center"/>
              <w:rPr>
                <w:color w:val="000000" w:themeColor="text1"/>
              </w:rPr>
            </w:pPr>
            <w:r w:rsidRPr="00167861">
              <w:rPr>
                <w:rFonts w:ascii="Arial Narrow" w:hAnsi="Arial Narrow"/>
                <w:color w:val="000000" w:themeColor="text1"/>
                <w:sz w:val="18"/>
                <w:szCs w:val="18"/>
                <w:lang w:val="en-GB"/>
              </w:rPr>
              <w:t>NA</w:t>
            </w:r>
          </w:p>
        </w:tc>
      </w:tr>
      <w:tr w:rsidR="00FC5CD0" w:rsidTr="00E317D5">
        <w:tc>
          <w:tcPr>
            <w:tcW w:w="1103" w:type="dxa"/>
            <w:vMerge/>
          </w:tcPr>
          <w:p w:rsidR="00FC5CD0" w:rsidRPr="001F5412" w:rsidRDefault="00FC5CD0" w:rsidP="00E317D5">
            <w:pPr>
              <w:spacing w:line="276" w:lineRule="auto"/>
              <w:rPr>
                <w:rFonts w:ascii="Arial Narrow" w:hAnsi="Arial Narrow"/>
                <w:sz w:val="18"/>
                <w:szCs w:val="18"/>
                <w:lang w:val="en-GB"/>
              </w:rPr>
            </w:pPr>
          </w:p>
        </w:tc>
        <w:tc>
          <w:tcPr>
            <w:tcW w:w="658" w:type="dxa"/>
            <w:vMerge/>
          </w:tcPr>
          <w:p w:rsidR="00FC5CD0" w:rsidRPr="002F4224" w:rsidRDefault="00FC5CD0" w:rsidP="00E317D5">
            <w:pPr>
              <w:spacing w:line="276" w:lineRule="auto"/>
              <w:rPr>
                <w:rFonts w:ascii="Arial Narrow" w:hAnsi="Arial Narrow"/>
                <w:b/>
                <w:bCs/>
                <w:sz w:val="18"/>
                <w:szCs w:val="18"/>
                <w:lang w:val="en-GB"/>
              </w:rPr>
            </w:pPr>
          </w:p>
        </w:tc>
        <w:tc>
          <w:tcPr>
            <w:tcW w:w="1436" w:type="dxa"/>
            <w:vMerge/>
          </w:tcPr>
          <w:p w:rsidR="00FC5CD0" w:rsidRPr="002F4224" w:rsidRDefault="00FC5CD0" w:rsidP="00E317D5">
            <w:pPr>
              <w:spacing w:line="276" w:lineRule="auto"/>
              <w:jc w:val="left"/>
              <w:rPr>
                <w:rFonts w:ascii="Arial Narrow" w:hAnsi="Arial Narrow"/>
                <w:b/>
                <w:bCs/>
                <w:sz w:val="18"/>
                <w:szCs w:val="18"/>
                <w:lang w:val="en-GB"/>
              </w:rPr>
            </w:pPr>
          </w:p>
        </w:tc>
        <w:tc>
          <w:tcPr>
            <w:tcW w:w="1744"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Mean ± SD</w:t>
            </w:r>
          </w:p>
        </w:tc>
        <w:tc>
          <w:tcPr>
            <w:tcW w:w="1291"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0±0</w:t>
            </w:r>
          </w:p>
        </w:tc>
        <w:tc>
          <w:tcPr>
            <w:tcW w:w="1135" w:type="dxa"/>
          </w:tcPr>
          <w:p w:rsidR="00FC5CD0" w:rsidRDefault="00FC5CD0" w:rsidP="00E317D5">
            <w:pPr>
              <w:spacing w:line="276" w:lineRule="auto"/>
              <w:jc w:val="center"/>
            </w:pPr>
            <w:r w:rsidRPr="0088049F">
              <w:rPr>
                <w:rFonts w:ascii="Arial Narrow" w:hAnsi="Arial Narrow"/>
                <w:sz w:val="18"/>
                <w:szCs w:val="18"/>
                <w:lang w:val="en-GB"/>
              </w:rPr>
              <w:t>NA</w:t>
            </w:r>
          </w:p>
        </w:tc>
        <w:tc>
          <w:tcPr>
            <w:tcW w:w="1152" w:type="dxa"/>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0±0</w:t>
            </w:r>
          </w:p>
        </w:tc>
        <w:tc>
          <w:tcPr>
            <w:tcW w:w="1271" w:type="dxa"/>
          </w:tcPr>
          <w:p w:rsidR="00FC5CD0" w:rsidRPr="00167861" w:rsidRDefault="00FC5CD0" w:rsidP="00E317D5">
            <w:pPr>
              <w:spacing w:line="276" w:lineRule="auto"/>
              <w:jc w:val="center"/>
              <w:rPr>
                <w:color w:val="000000" w:themeColor="text1"/>
              </w:rPr>
            </w:pPr>
            <w:r w:rsidRPr="00167861">
              <w:rPr>
                <w:rFonts w:ascii="Arial Narrow" w:hAnsi="Arial Narrow"/>
                <w:color w:val="000000" w:themeColor="text1"/>
                <w:sz w:val="18"/>
                <w:szCs w:val="18"/>
                <w:lang w:val="en-GB"/>
              </w:rPr>
              <w:t>NA</w:t>
            </w:r>
          </w:p>
        </w:tc>
      </w:tr>
      <w:tr w:rsidR="00FC5CD0" w:rsidTr="00E317D5">
        <w:tc>
          <w:tcPr>
            <w:tcW w:w="1103" w:type="dxa"/>
            <w:vMerge/>
          </w:tcPr>
          <w:p w:rsidR="00FC5CD0" w:rsidRPr="001F5412" w:rsidRDefault="00FC5CD0" w:rsidP="00E317D5">
            <w:pPr>
              <w:spacing w:line="276" w:lineRule="auto"/>
              <w:rPr>
                <w:rFonts w:ascii="Arial Narrow" w:hAnsi="Arial Narrow"/>
                <w:sz w:val="18"/>
                <w:szCs w:val="18"/>
                <w:lang w:val="en-GB"/>
              </w:rPr>
            </w:pPr>
          </w:p>
        </w:tc>
        <w:tc>
          <w:tcPr>
            <w:tcW w:w="658" w:type="dxa"/>
            <w:vMerge/>
          </w:tcPr>
          <w:p w:rsidR="00FC5CD0" w:rsidRPr="002F4224" w:rsidRDefault="00FC5CD0" w:rsidP="00E317D5">
            <w:pPr>
              <w:spacing w:line="276" w:lineRule="auto"/>
              <w:rPr>
                <w:rFonts w:ascii="Arial Narrow" w:hAnsi="Arial Narrow"/>
                <w:b/>
                <w:bCs/>
                <w:sz w:val="18"/>
                <w:szCs w:val="18"/>
                <w:lang w:val="en-GB"/>
              </w:rPr>
            </w:pPr>
          </w:p>
        </w:tc>
        <w:tc>
          <w:tcPr>
            <w:tcW w:w="1436" w:type="dxa"/>
            <w:vMerge/>
          </w:tcPr>
          <w:p w:rsidR="00FC5CD0" w:rsidRPr="002F4224" w:rsidRDefault="00FC5CD0" w:rsidP="00E317D5">
            <w:pPr>
              <w:spacing w:line="276" w:lineRule="auto"/>
              <w:jc w:val="left"/>
              <w:rPr>
                <w:rFonts w:ascii="Arial Narrow" w:hAnsi="Arial Narrow"/>
                <w:b/>
                <w:bCs/>
                <w:sz w:val="18"/>
                <w:szCs w:val="18"/>
                <w:lang w:val="en-GB"/>
              </w:rPr>
            </w:pPr>
          </w:p>
        </w:tc>
        <w:tc>
          <w:tcPr>
            <w:tcW w:w="1744"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P25-P75</w:t>
            </w:r>
          </w:p>
        </w:tc>
        <w:tc>
          <w:tcPr>
            <w:tcW w:w="1291" w:type="dxa"/>
          </w:tcPr>
          <w:p w:rsidR="00FC5CD0" w:rsidRPr="001F5412" w:rsidRDefault="00FC5CD0" w:rsidP="00E317D5">
            <w:pPr>
              <w:spacing w:line="276" w:lineRule="auto"/>
              <w:jc w:val="center"/>
              <w:rPr>
                <w:rFonts w:ascii="Arial Narrow" w:hAnsi="Arial Narrow"/>
                <w:sz w:val="18"/>
                <w:szCs w:val="18"/>
                <w:lang w:val="en-GB"/>
              </w:rPr>
            </w:pPr>
            <w:r>
              <w:rPr>
                <w:rFonts w:ascii="Arial Narrow" w:hAnsi="Arial Narrow"/>
                <w:sz w:val="18"/>
                <w:szCs w:val="18"/>
                <w:lang w:val="en-GB"/>
              </w:rPr>
              <w:t>0-0</w:t>
            </w:r>
          </w:p>
        </w:tc>
        <w:tc>
          <w:tcPr>
            <w:tcW w:w="1135" w:type="dxa"/>
          </w:tcPr>
          <w:p w:rsidR="00FC5CD0" w:rsidRDefault="00FC5CD0" w:rsidP="00E317D5">
            <w:pPr>
              <w:spacing w:line="276" w:lineRule="auto"/>
              <w:jc w:val="center"/>
            </w:pPr>
            <w:r w:rsidRPr="0088049F">
              <w:rPr>
                <w:rFonts w:ascii="Arial Narrow" w:hAnsi="Arial Narrow"/>
                <w:sz w:val="18"/>
                <w:szCs w:val="18"/>
                <w:lang w:val="en-GB"/>
              </w:rPr>
              <w:t>NA</w:t>
            </w:r>
          </w:p>
        </w:tc>
        <w:tc>
          <w:tcPr>
            <w:tcW w:w="1152" w:type="dxa"/>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0-0</w:t>
            </w:r>
          </w:p>
        </w:tc>
        <w:tc>
          <w:tcPr>
            <w:tcW w:w="1271" w:type="dxa"/>
          </w:tcPr>
          <w:p w:rsidR="00FC5CD0" w:rsidRPr="00167861" w:rsidRDefault="00FC5CD0" w:rsidP="00E317D5">
            <w:pPr>
              <w:spacing w:line="276" w:lineRule="auto"/>
              <w:jc w:val="center"/>
              <w:rPr>
                <w:color w:val="000000" w:themeColor="text1"/>
              </w:rPr>
            </w:pPr>
            <w:r w:rsidRPr="00167861">
              <w:rPr>
                <w:rFonts w:ascii="Arial Narrow" w:hAnsi="Arial Narrow"/>
                <w:color w:val="000000" w:themeColor="text1"/>
                <w:sz w:val="18"/>
                <w:szCs w:val="18"/>
                <w:lang w:val="en-GB"/>
              </w:rPr>
              <w:t>NA</w:t>
            </w:r>
          </w:p>
        </w:tc>
      </w:tr>
      <w:tr w:rsidR="00FC5CD0" w:rsidTr="00E317D5">
        <w:tc>
          <w:tcPr>
            <w:tcW w:w="1103" w:type="dxa"/>
            <w:vMerge/>
          </w:tcPr>
          <w:p w:rsidR="00FC5CD0" w:rsidRPr="001F5412" w:rsidRDefault="00FC5CD0" w:rsidP="00E317D5">
            <w:pPr>
              <w:spacing w:line="276" w:lineRule="auto"/>
              <w:rPr>
                <w:rFonts w:ascii="Arial Narrow" w:hAnsi="Arial Narrow"/>
                <w:sz w:val="18"/>
                <w:szCs w:val="18"/>
                <w:lang w:val="en-GB"/>
              </w:rPr>
            </w:pPr>
          </w:p>
        </w:tc>
        <w:tc>
          <w:tcPr>
            <w:tcW w:w="658" w:type="dxa"/>
            <w:vMerge/>
          </w:tcPr>
          <w:p w:rsidR="00FC5CD0" w:rsidRPr="002F4224" w:rsidRDefault="00FC5CD0" w:rsidP="00E317D5">
            <w:pPr>
              <w:spacing w:line="276" w:lineRule="auto"/>
              <w:rPr>
                <w:rFonts w:ascii="Arial Narrow" w:hAnsi="Arial Narrow"/>
                <w:b/>
                <w:bCs/>
                <w:sz w:val="18"/>
                <w:szCs w:val="18"/>
                <w:lang w:val="en-GB"/>
              </w:rPr>
            </w:pPr>
          </w:p>
        </w:tc>
        <w:tc>
          <w:tcPr>
            <w:tcW w:w="1436" w:type="dxa"/>
            <w:vMerge/>
          </w:tcPr>
          <w:p w:rsidR="00FC5CD0" w:rsidRPr="002F4224" w:rsidRDefault="00FC5CD0" w:rsidP="00E317D5">
            <w:pPr>
              <w:spacing w:line="276" w:lineRule="auto"/>
              <w:jc w:val="left"/>
              <w:rPr>
                <w:rFonts w:ascii="Arial Narrow" w:hAnsi="Arial Narrow"/>
                <w:b/>
                <w:bCs/>
                <w:sz w:val="18"/>
                <w:szCs w:val="18"/>
                <w:lang w:val="en-GB"/>
              </w:rPr>
            </w:pPr>
          </w:p>
        </w:tc>
        <w:tc>
          <w:tcPr>
            <w:tcW w:w="1744"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P10-P90</w:t>
            </w:r>
          </w:p>
        </w:tc>
        <w:tc>
          <w:tcPr>
            <w:tcW w:w="1291" w:type="dxa"/>
          </w:tcPr>
          <w:p w:rsidR="00FC5CD0" w:rsidRPr="001F5412" w:rsidRDefault="00FC5CD0" w:rsidP="00E317D5">
            <w:pPr>
              <w:spacing w:line="276" w:lineRule="auto"/>
              <w:jc w:val="center"/>
              <w:rPr>
                <w:rFonts w:ascii="Arial Narrow" w:hAnsi="Arial Narrow"/>
                <w:sz w:val="18"/>
                <w:szCs w:val="18"/>
                <w:lang w:val="en-GB"/>
              </w:rPr>
            </w:pPr>
            <w:r>
              <w:rPr>
                <w:rFonts w:ascii="Arial Narrow" w:hAnsi="Arial Narrow"/>
                <w:sz w:val="18"/>
                <w:szCs w:val="18"/>
                <w:lang w:val="en-GB"/>
              </w:rPr>
              <w:t>0-1</w:t>
            </w:r>
          </w:p>
        </w:tc>
        <w:tc>
          <w:tcPr>
            <w:tcW w:w="1135" w:type="dxa"/>
          </w:tcPr>
          <w:p w:rsidR="00FC5CD0" w:rsidRDefault="00FC5CD0" w:rsidP="00E317D5">
            <w:pPr>
              <w:spacing w:line="276" w:lineRule="auto"/>
              <w:jc w:val="center"/>
            </w:pPr>
            <w:r w:rsidRPr="0088049F">
              <w:rPr>
                <w:rFonts w:ascii="Arial Narrow" w:hAnsi="Arial Narrow"/>
                <w:sz w:val="18"/>
                <w:szCs w:val="18"/>
                <w:lang w:val="en-GB"/>
              </w:rPr>
              <w:t>NA</w:t>
            </w:r>
          </w:p>
        </w:tc>
        <w:tc>
          <w:tcPr>
            <w:tcW w:w="1152" w:type="dxa"/>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0-1</w:t>
            </w:r>
          </w:p>
        </w:tc>
        <w:tc>
          <w:tcPr>
            <w:tcW w:w="1271" w:type="dxa"/>
          </w:tcPr>
          <w:p w:rsidR="00FC5CD0" w:rsidRPr="00167861" w:rsidRDefault="00FC5CD0" w:rsidP="00E317D5">
            <w:pPr>
              <w:spacing w:line="276" w:lineRule="auto"/>
              <w:jc w:val="center"/>
              <w:rPr>
                <w:color w:val="000000" w:themeColor="text1"/>
              </w:rPr>
            </w:pPr>
            <w:r w:rsidRPr="00167861">
              <w:rPr>
                <w:rFonts w:ascii="Arial Narrow" w:hAnsi="Arial Narrow"/>
                <w:color w:val="000000" w:themeColor="text1"/>
                <w:sz w:val="18"/>
                <w:szCs w:val="18"/>
                <w:lang w:val="en-GB"/>
              </w:rPr>
              <w:t>NA</w:t>
            </w:r>
          </w:p>
        </w:tc>
      </w:tr>
      <w:tr w:rsidR="00FC5CD0" w:rsidTr="00E317D5">
        <w:tc>
          <w:tcPr>
            <w:tcW w:w="1103" w:type="dxa"/>
            <w:vMerge/>
          </w:tcPr>
          <w:p w:rsidR="00FC5CD0" w:rsidRPr="001F5412" w:rsidRDefault="00FC5CD0" w:rsidP="00E317D5">
            <w:pPr>
              <w:spacing w:line="276" w:lineRule="auto"/>
              <w:rPr>
                <w:rFonts w:ascii="Arial Narrow" w:hAnsi="Arial Narrow"/>
                <w:sz w:val="18"/>
                <w:szCs w:val="18"/>
                <w:lang w:val="en-GB"/>
              </w:rPr>
            </w:pPr>
          </w:p>
        </w:tc>
        <w:tc>
          <w:tcPr>
            <w:tcW w:w="658" w:type="dxa"/>
            <w:vMerge/>
          </w:tcPr>
          <w:p w:rsidR="00FC5CD0" w:rsidRPr="002F4224" w:rsidRDefault="00FC5CD0" w:rsidP="00E317D5">
            <w:pPr>
              <w:spacing w:line="276" w:lineRule="auto"/>
              <w:rPr>
                <w:rFonts w:ascii="Arial Narrow" w:hAnsi="Arial Narrow"/>
                <w:b/>
                <w:bCs/>
                <w:sz w:val="18"/>
                <w:szCs w:val="18"/>
                <w:lang w:val="en-GB"/>
              </w:rPr>
            </w:pPr>
          </w:p>
        </w:tc>
        <w:tc>
          <w:tcPr>
            <w:tcW w:w="1436" w:type="dxa"/>
            <w:vMerge/>
          </w:tcPr>
          <w:p w:rsidR="00FC5CD0" w:rsidRPr="002F4224" w:rsidRDefault="00FC5CD0" w:rsidP="00E317D5">
            <w:pPr>
              <w:spacing w:line="276" w:lineRule="auto"/>
              <w:jc w:val="left"/>
              <w:rPr>
                <w:rFonts w:ascii="Arial Narrow" w:hAnsi="Arial Narrow"/>
                <w:b/>
                <w:bCs/>
                <w:sz w:val="18"/>
                <w:szCs w:val="18"/>
                <w:lang w:val="en-GB"/>
              </w:rPr>
            </w:pPr>
          </w:p>
        </w:tc>
        <w:tc>
          <w:tcPr>
            <w:tcW w:w="1744" w:type="dxa"/>
            <w:shd w:val="clear" w:color="auto" w:fill="D9D9D9" w:themeFill="background1" w:themeFillShade="D9"/>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P5-P95</w:t>
            </w:r>
          </w:p>
        </w:tc>
        <w:tc>
          <w:tcPr>
            <w:tcW w:w="1291" w:type="dxa"/>
            <w:shd w:val="clear" w:color="auto" w:fill="D9D9D9" w:themeFill="background1" w:themeFillShade="D9"/>
          </w:tcPr>
          <w:p w:rsidR="00FC5CD0" w:rsidRPr="001F5412" w:rsidRDefault="00FC5CD0" w:rsidP="00E317D5">
            <w:pPr>
              <w:spacing w:line="276" w:lineRule="auto"/>
              <w:jc w:val="center"/>
              <w:rPr>
                <w:rFonts w:ascii="Arial Narrow" w:hAnsi="Arial Narrow"/>
                <w:sz w:val="18"/>
                <w:szCs w:val="18"/>
                <w:lang w:val="en-GB"/>
              </w:rPr>
            </w:pPr>
            <w:r>
              <w:rPr>
                <w:rFonts w:ascii="Arial Narrow" w:hAnsi="Arial Narrow"/>
                <w:sz w:val="18"/>
                <w:szCs w:val="18"/>
                <w:lang w:val="en-GB"/>
              </w:rPr>
              <w:t>0-</w:t>
            </w:r>
            <w:r w:rsidRPr="00CD56CB">
              <w:rPr>
                <w:rFonts w:ascii="Arial Narrow" w:hAnsi="Arial Narrow"/>
                <w:b/>
                <w:bCs/>
                <w:sz w:val="18"/>
                <w:szCs w:val="18"/>
                <w:lang w:val="en-GB"/>
              </w:rPr>
              <w:t>1</w:t>
            </w:r>
          </w:p>
        </w:tc>
        <w:tc>
          <w:tcPr>
            <w:tcW w:w="1135" w:type="dxa"/>
            <w:shd w:val="clear" w:color="auto" w:fill="D9D9D9" w:themeFill="background1" w:themeFillShade="D9"/>
          </w:tcPr>
          <w:p w:rsidR="00FC5CD0" w:rsidRDefault="00FC5CD0" w:rsidP="00E317D5">
            <w:pPr>
              <w:spacing w:line="276" w:lineRule="auto"/>
              <w:jc w:val="center"/>
            </w:pPr>
            <w:r w:rsidRPr="0088049F">
              <w:rPr>
                <w:rFonts w:ascii="Arial Narrow" w:hAnsi="Arial Narrow"/>
                <w:sz w:val="18"/>
                <w:szCs w:val="18"/>
                <w:lang w:val="en-GB"/>
              </w:rPr>
              <w:t>NA</w:t>
            </w:r>
          </w:p>
        </w:tc>
        <w:tc>
          <w:tcPr>
            <w:tcW w:w="1152" w:type="dxa"/>
            <w:shd w:val="clear" w:color="auto" w:fill="D9D9D9" w:themeFill="background1" w:themeFillShade="D9"/>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0-</w:t>
            </w:r>
            <w:r w:rsidRPr="00167861">
              <w:rPr>
                <w:rFonts w:ascii="Arial Narrow" w:hAnsi="Arial Narrow"/>
                <w:b/>
                <w:bCs/>
                <w:color w:val="000000" w:themeColor="text1"/>
                <w:sz w:val="18"/>
                <w:szCs w:val="18"/>
                <w:lang w:val="en-GB"/>
              </w:rPr>
              <w:t>1</w:t>
            </w:r>
          </w:p>
        </w:tc>
        <w:tc>
          <w:tcPr>
            <w:tcW w:w="1271" w:type="dxa"/>
            <w:shd w:val="clear" w:color="auto" w:fill="D9D9D9" w:themeFill="background1" w:themeFillShade="D9"/>
          </w:tcPr>
          <w:p w:rsidR="00FC5CD0" w:rsidRPr="00167861" w:rsidRDefault="00FC5CD0" w:rsidP="00E317D5">
            <w:pPr>
              <w:spacing w:line="276" w:lineRule="auto"/>
              <w:jc w:val="center"/>
              <w:rPr>
                <w:color w:val="000000" w:themeColor="text1"/>
              </w:rPr>
            </w:pPr>
            <w:r w:rsidRPr="00167861">
              <w:rPr>
                <w:rFonts w:ascii="Arial Narrow" w:hAnsi="Arial Narrow"/>
                <w:color w:val="000000" w:themeColor="text1"/>
                <w:sz w:val="18"/>
                <w:szCs w:val="18"/>
                <w:lang w:val="en-GB"/>
              </w:rPr>
              <w:t>NA</w:t>
            </w:r>
          </w:p>
        </w:tc>
      </w:tr>
      <w:tr w:rsidR="00FC5CD0" w:rsidTr="00E317D5">
        <w:tc>
          <w:tcPr>
            <w:tcW w:w="1103" w:type="dxa"/>
            <w:vMerge/>
          </w:tcPr>
          <w:p w:rsidR="00FC5CD0" w:rsidRPr="001F5412" w:rsidRDefault="00FC5CD0" w:rsidP="00E317D5">
            <w:pPr>
              <w:spacing w:line="276" w:lineRule="auto"/>
              <w:rPr>
                <w:rFonts w:ascii="Arial Narrow" w:hAnsi="Arial Narrow"/>
                <w:sz w:val="18"/>
                <w:szCs w:val="18"/>
                <w:lang w:val="en-GB"/>
              </w:rPr>
            </w:pPr>
          </w:p>
        </w:tc>
        <w:tc>
          <w:tcPr>
            <w:tcW w:w="658" w:type="dxa"/>
            <w:vMerge/>
          </w:tcPr>
          <w:p w:rsidR="00FC5CD0" w:rsidRPr="002F4224" w:rsidRDefault="00FC5CD0" w:rsidP="00E317D5">
            <w:pPr>
              <w:spacing w:line="276" w:lineRule="auto"/>
              <w:rPr>
                <w:rFonts w:ascii="Arial Narrow" w:hAnsi="Arial Narrow"/>
                <w:b/>
                <w:bCs/>
                <w:sz w:val="18"/>
                <w:szCs w:val="18"/>
                <w:lang w:val="en-GB"/>
              </w:rPr>
            </w:pPr>
          </w:p>
        </w:tc>
        <w:tc>
          <w:tcPr>
            <w:tcW w:w="1436" w:type="dxa"/>
            <w:vMerge w:val="restart"/>
          </w:tcPr>
          <w:p w:rsidR="00FC5CD0" w:rsidRPr="002F4224" w:rsidRDefault="00FC5CD0" w:rsidP="00E317D5">
            <w:pPr>
              <w:spacing w:line="276" w:lineRule="auto"/>
              <w:jc w:val="left"/>
              <w:rPr>
                <w:rFonts w:ascii="Arial Narrow" w:hAnsi="Arial Narrow"/>
                <w:b/>
                <w:bCs/>
                <w:sz w:val="18"/>
                <w:szCs w:val="18"/>
                <w:lang w:val="en-GB"/>
              </w:rPr>
            </w:pPr>
            <w:r w:rsidRPr="002F4224">
              <w:rPr>
                <w:rFonts w:ascii="Arial Narrow" w:hAnsi="Arial Narrow"/>
                <w:b/>
                <w:bCs/>
                <w:sz w:val="18"/>
                <w:szCs w:val="18"/>
                <w:lang w:val="en-GB"/>
              </w:rPr>
              <w:t>Stimulated</w:t>
            </w:r>
          </w:p>
          <w:p w:rsidR="00FC5CD0" w:rsidRPr="002F4224" w:rsidRDefault="00FC5CD0" w:rsidP="00E317D5">
            <w:pPr>
              <w:spacing w:line="276" w:lineRule="auto"/>
              <w:jc w:val="left"/>
              <w:rPr>
                <w:rFonts w:ascii="Arial Narrow" w:hAnsi="Arial Narrow"/>
                <w:b/>
                <w:bCs/>
                <w:sz w:val="18"/>
                <w:szCs w:val="18"/>
                <w:lang w:val="en-GB"/>
              </w:rPr>
            </w:pPr>
            <w:r w:rsidRPr="002F4224">
              <w:rPr>
                <w:rFonts w:ascii="Arial Narrow" w:hAnsi="Arial Narrow"/>
                <w:b/>
                <w:bCs/>
                <w:sz w:val="18"/>
                <w:szCs w:val="18"/>
                <w:lang w:val="en-GB"/>
              </w:rPr>
              <w:t>ADP (10 µM)</w:t>
            </w:r>
          </w:p>
        </w:tc>
        <w:tc>
          <w:tcPr>
            <w:tcW w:w="1744"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Median</w:t>
            </w:r>
            <w:r>
              <w:rPr>
                <w:rFonts w:ascii="Arial Narrow" w:hAnsi="Arial Narrow"/>
                <w:sz w:val="18"/>
                <w:szCs w:val="18"/>
                <w:lang w:val="en-GB"/>
              </w:rPr>
              <w:t xml:space="preserve"> (range)</w:t>
            </w:r>
          </w:p>
        </w:tc>
        <w:tc>
          <w:tcPr>
            <w:tcW w:w="1291"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17 (8-31)</w:t>
            </w:r>
          </w:p>
        </w:tc>
        <w:tc>
          <w:tcPr>
            <w:tcW w:w="1135"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100 (44-174)</w:t>
            </w:r>
          </w:p>
        </w:tc>
        <w:tc>
          <w:tcPr>
            <w:tcW w:w="1152" w:type="dxa"/>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18 (8-3</w:t>
            </w:r>
            <w:r w:rsidR="00FD3A58" w:rsidRPr="00167861">
              <w:rPr>
                <w:rFonts w:ascii="Arial Narrow" w:hAnsi="Arial Narrow"/>
                <w:color w:val="000000" w:themeColor="text1"/>
                <w:sz w:val="18"/>
                <w:szCs w:val="18"/>
                <w:lang w:val="en-GB"/>
              </w:rPr>
              <w:t>6</w:t>
            </w:r>
            <w:r w:rsidRPr="00167861">
              <w:rPr>
                <w:rFonts w:ascii="Arial Narrow" w:hAnsi="Arial Narrow"/>
                <w:color w:val="000000" w:themeColor="text1"/>
                <w:sz w:val="18"/>
                <w:szCs w:val="18"/>
                <w:lang w:val="en-GB"/>
              </w:rPr>
              <w:t>)</w:t>
            </w:r>
          </w:p>
        </w:tc>
        <w:tc>
          <w:tcPr>
            <w:tcW w:w="1271" w:type="dxa"/>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100 (4</w:t>
            </w:r>
            <w:r w:rsidR="00FD3A58" w:rsidRPr="00167861">
              <w:rPr>
                <w:rFonts w:ascii="Arial Narrow" w:hAnsi="Arial Narrow"/>
                <w:color w:val="000000" w:themeColor="text1"/>
                <w:sz w:val="18"/>
                <w:szCs w:val="18"/>
                <w:lang w:val="en-GB"/>
              </w:rPr>
              <w:t>1</w:t>
            </w:r>
            <w:r w:rsidRPr="00167861">
              <w:rPr>
                <w:rFonts w:ascii="Arial Narrow" w:hAnsi="Arial Narrow"/>
                <w:color w:val="000000" w:themeColor="text1"/>
                <w:sz w:val="18"/>
                <w:szCs w:val="18"/>
                <w:lang w:val="en-GB"/>
              </w:rPr>
              <w:t>-</w:t>
            </w:r>
            <w:r w:rsidR="00FD3A58" w:rsidRPr="00167861">
              <w:rPr>
                <w:rFonts w:ascii="Arial Narrow" w:hAnsi="Arial Narrow"/>
                <w:color w:val="000000" w:themeColor="text1"/>
                <w:sz w:val="18"/>
                <w:szCs w:val="18"/>
                <w:lang w:val="en-GB"/>
              </w:rPr>
              <w:t>167</w:t>
            </w:r>
            <w:r w:rsidRPr="00167861">
              <w:rPr>
                <w:rFonts w:ascii="Arial Narrow" w:hAnsi="Arial Narrow"/>
                <w:color w:val="000000" w:themeColor="text1"/>
                <w:sz w:val="18"/>
                <w:szCs w:val="18"/>
                <w:lang w:val="en-GB"/>
              </w:rPr>
              <w:t>)</w:t>
            </w:r>
          </w:p>
        </w:tc>
      </w:tr>
      <w:tr w:rsidR="00FC5CD0" w:rsidTr="00E317D5">
        <w:tc>
          <w:tcPr>
            <w:tcW w:w="1103" w:type="dxa"/>
            <w:vMerge/>
          </w:tcPr>
          <w:p w:rsidR="00FC5CD0" w:rsidRPr="001F5412" w:rsidRDefault="00FC5CD0" w:rsidP="00E317D5">
            <w:pPr>
              <w:spacing w:line="276" w:lineRule="auto"/>
              <w:rPr>
                <w:rFonts w:ascii="Arial Narrow" w:hAnsi="Arial Narrow"/>
                <w:sz w:val="18"/>
                <w:szCs w:val="18"/>
                <w:lang w:val="en-GB"/>
              </w:rPr>
            </w:pPr>
          </w:p>
        </w:tc>
        <w:tc>
          <w:tcPr>
            <w:tcW w:w="658" w:type="dxa"/>
            <w:vMerge/>
          </w:tcPr>
          <w:p w:rsidR="00FC5CD0" w:rsidRPr="001F5412" w:rsidRDefault="00FC5CD0" w:rsidP="00E317D5">
            <w:pPr>
              <w:spacing w:line="276" w:lineRule="auto"/>
              <w:rPr>
                <w:rFonts w:ascii="Arial Narrow" w:hAnsi="Arial Narrow"/>
                <w:sz w:val="18"/>
                <w:szCs w:val="18"/>
                <w:lang w:val="en-GB"/>
              </w:rPr>
            </w:pPr>
          </w:p>
        </w:tc>
        <w:tc>
          <w:tcPr>
            <w:tcW w:w="1436" w:type="dxa"/>
            <w:vMerge/>
          </w:tcPr>
          <w:p w:rsidR="00FC5CD0" w:rsidRPr="001F5412" w:rsidRDefault="00FC5CD0" w:rsidP="00E317D5">
            <w:pPr>
              <w:spacing w:line="276" w:lineRule="auto"/>
              <w:jc w:val="left"/>
              <w:rPr>
                <w:rFonts w:ascii="Arial Narrow" w:hAnsi="Arial Narrow"/>
                <w:sz w:val="18"/>
                <w:szCs w:val="18"/>
                <w:lang w:val="en-GB"/>
              </w:rPr>
            </w:pPr>
          </w:p>
        </w:tc>
        <w:tc>
          <w:tcPr>
            <w:tcW w:w="1744"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Mean ± SD</w:t>
            </w:r>
          </w:p>
        </w:tc>
        <w:tc>
          <w:tcPr>
            <w:tcW w:w="1291"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19±</w:t>
            </w:r>
            <w:r>
              <w:rPr>
                <w:rFonts w:ascii="Arial Narrow" w:hAnsi="Arial Narrow"/>
                <w:sz w:val="18"/>
                <w:szCs w:val="18"/>
                <w:lang w:val="en-GB"/>
              </w:rPr>
              <w:t>8</w:t>
            </w:r>
          </w:p>
        </w:tc>
        <w:tc>
          <w:tcPr>
            <w:tcW w:w="1135"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100±</w:t>
            </w:r>
            <w:r>
              <w:rPr>
                <w:rFonts w:ascii="Arial Narrow" w:hAnsi="Arial Narrow"/>
                <w:sz w:val="18"/>
                <w:szCs w:val="18"/>
                <w:lang w:val="en-GB"/>
              </w:rPr>
              <w:t>38</w:t>
            </w:r>
          </w:p>
        </w:tc>
        <w:tc>
          <w:tcPr>
            <w:tcW w:w="1152" w:type="dxa"/>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20±</w:t>
            </w:r>
            <w:r w:rsidR="00FD3A58" w:rsidRPr="00167861">
              <w:rPr>
                <w:rFonts w:ascii="Arial Narrow" w:hAnsi="Arial Narrow"/>
                <w:color w:val="000000" w:themeColor="text1"/>
                <w:sz w:val="18"/>
                <w:szCs w:val="18"/>
                <w:lang w:val="en-GB"/>
              </w:rPr>
              <w:t>7</w:t>
            </w:r>
          </w:p>
        </w:tc>
        <w:tc>
          <w:tcPr>
            <w:tcW w:w="1271" w:type="dxa"/>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10</w:t>
            </w:r>
            <w:r w:rsidR="00FD3A58" w:rsidRPr="00167861">
              <w:rPr>
                <w:rFonts w:ascii="Arial Narrow" w:hAnsi="Arial Narrow"/>
                <w:color w:val="000000" w:themeColor="text1"/>
                <w:sz w:val="18"/>
                <w:szCs w:val="18"/>
                <w:lang w:val="en-GB"/>
              </w:rPr>
              <w:t>1</w:t>
            </w:r>
            <w:r w:rsidRPr="00167861">
              <w:rPr>
                <w:rFonts w:ascii="Arial Narrow" w:hAnsi="Arial Narrow"/>
                <w:color w:val="000000" w:themeColor="text1"/>
                <w:sz w:val="18"/>
                <w:szCs w:val="18"/>
                <w:lang w:val="en-GB"/>
              </w:rPr>
              <w:t>±</w:t>
            </w:r>
            <w:r w:rsidR="00FD3A58" w:rsidRPr="00167861">
              <w:rPr>
                <w:rFonts w:ascii="Arial Narrow" w:hAnsi="Arial Narrow"/>
                <w:color w:val="000000" w:themeColor="text1"/>
                <w:sz w:val="18"/>
                <w:szCs w:val="18"/>
                <w:lang w:val="en-GB"/>
              </w:rPr>
              <w:t>33</w:t>
            </w:r>
          </w:p>
        </w:tc>
      </w:tr>
      <w:tr w:rsidR="00FC5CD0" w:rsidTr="00E317D5">
        <w:tc>
          <w:tcPr>
            <w:tcW w:w="1103" w:type="dxa"/>
            <w:vMerge/>
          </w:tcPr>
          <w:p w:rsidR="00FC5CD0" w:rsidRPr="001F5412" w:rsidRDefault="00FC5CD0" w:rsidP="00E317D5">
            <w:pPr>
              <w:spacing w:line="276" w:lineRule="auto"/>
              <w:rPr>
                <w:rFonts w:ascii="Arial Narrow" w:hAnsi="Arial Narrow"/>
                <w:sz w:val="18"/>
                <w:szCs w:val="18"/>
                <w:lang w:val="en-GB"/>
              </w:rPr>
            </w:pPr>
          </w:p>
        </w:tc>
        <w:tc>
          <w:tcPr>
            <w:tcW w:w="658" w:type="dxa"/>
            <w:vMerge/>
          </w:tcPr>
          <w:p w:rsidR="00FC5CD0" w:rsidRPr="001F5412" w:rsidRDefault="00FC5CD0" w:rsidP="00E317D5">
            <w:pPr>
              <w:spacing w:line="276" w:lineRule="auto"/>
              <w:rPr>
                <w:rFonts w:ascii="Arial Narrow" w:hAnsi="Arial Narrow"/>
                <w:sz w:val="18"/>
                <w:szCs w:val="18"/>
                <w:lang w:val="en-GB"/>
              </w:rPr>
            </w:pPr>
          </w:p>
        </w:tc>
        <w:tc>
          <w:tcPr>
            <w:tcW w:w="1436" w:type="dxa"/>
            <w:vMerge/>
          </w:tcPr>
          <w:p w:rsidR="00FC5CD0" w:rsidRPr="001F5412" w:rsidRDefault="00FC5CD0" w:rsidP="00E317D5">
            <w:pPr>
              <w:spacing w:line="276" w:lineRule="auto"/>
              <w:jc w:val="left"/>
              <w:rPr>
                <w:rFonts w:ascii="Arial Narrow" w:hAnsi="Arial Narrow"/>
                <w:sz w:val="18"/>
                <w:szCs w:val="18"/>
                <w:lang w:val="en-GB"/>
              </w:rPr>
            </w:pPr>
          </w:p>
        </w:tc>
        <w:tc>
          <w:tcPr>
            <w:tcW w:w="1744"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P25-P75</w:t>
            </w:r>
          </w:p>
        </w:tc>
        <w:tc>
          <w:tcPr>
            <w:tcW w:w="1291" w:type="dxa"/>
          </w:tcPr>
          <w:p w:rsidR="00FC5CD0" w:rsidRPr="001F5412" w:rsidRDefault="00FC5CD0" w:rsidP="00E317D5">
            <w:pPr>
              <w:spacing w:line="276" w:lineRule="auto"/>
              <w:jc w:val="center"/>
              <w:rPr>
                <w:rFonts w:ascii="Arial Narrow" w:hAnsi="Arial Narrow"/>
                <w:sz w:val="18"/>
                <w:szCs w:val="18"/>
                <w:lang w:val="en-GB"/>
              </w:rPr>
            </w:pPr>
            <w:r>
              <w:rPr>
                <w:rFonts w:ascii="Arial Narrow" w:hAnsi="Arial Narrow"/>
                <w:sz w:val="18"/>
                <w:szCs w:val="18"/>
                <w:lang w:val="en-GB"/>
              </w:rPr>
              <w:t>13-25</w:t>
            </w:r>
          </w:p>
        </w:tc>
        <w:tc>
          <w:tcPr>
            <w:tcW w:w="1135" w:type="dxa"/>
          </w:tcPr>
          <w:p w:rsidR="00FC5CD0" w:rsidRPr="001F5412" w:rsidRDefault="00FC5CD0" w:rsidP="00E317D5">
            <w:pPr>
              <w:spacing w:line="276" w:lineRule="auto"/>
              <w:jc w:val="center"/>
              <w:rPr>
                <w:rFonts w:ascii="Arial Narrow" w:hAnsi="Arial Narrow"/>
                <w:sz w:val="18"/>
                <w:szCs w:val="18"/>
                <w:lang w:val="en-GB"/>
              </w:rPr>
            </w:pPr>
            <w:r>
              <w:rPr>
                <w:rFonts w:ascii="Arial Narrow" w:hAnsi="Arial Narrow"/>
                <w:sz w:val="18"/>
                <w:szCs w:val="18"/>
                <w:lang w:val="en-GB"/>
              </w:rPr>
              <w:t>69-121</w:t>
            </w:r>
          </w:p>
        </w:tc>
        <w:tc>
          <w:tcPr>
            <w:tcW w:w="1152" w:type="dxa"/>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1</w:t>
            </w:r>
            <w:r w:rsidR="00FD3A58" w:rsidRPr="00167861">
              <w:rPr>
                <w:rFonts w:ascii="Arial Narrow" w:hAnsi="Arial Narrow"/>
                <w:color w:val="000000" w:themeColor="text1"/>
                <w:sz w:val="18"/>
                <w:szCs w:val="18"/>
                <w:lang w:val="en-GB"/>
              </w:rPr>
              <w:t>6</w:t>
            </w:r>
            <w:r w:rsidRPr="00167861">
              <w:rPr>
                <w:rFonts w:ascii="Arial Narrow" w:hAnsi="Arial Narrow"/>
                <w:color w:val="000000" w:themeColor="text1"/>
                <w:sz w:val="18"/>
                <w:szCs w:val="18"/>
                <w:lang w:val="en-GB"/>
              </w:rPr>
              <w:t>-25</w:t>
            </w:r>
          </w:p>
        </w:tc>
        <w:tc>
          <w:tcPr>
            <w:tcW w:w="1271" w:type="dxa"/>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8</w:t>
            </w:r>
            <w:r w:rsidR="00FD3A58" w:rsidRPr="00167861">
              <w:rPr>
                <w:rFonts w:ascii="Arial Narrow" w:hAnsi="Arial Narrow"/>
                <w:color w:val="000000" w:themeColor="text1"/>
                <w:sz w:val="18"/>
                <w:szCs w:val="18"/>
                <w:lang w:val="en-GB"/>
              </w:rPr>
              <w:t>7</w:t>
            </w:r>
            <w:r w:rsidRPr="00167861">
              <w:rPr>
                <w:rFonts w:ascii="Arial Narrow" w:hAnsi="Arial Narrow"/>
                <w:color w:val="000000" w:themeColor="text1"/>
                <w:sz w:val="18"/>
                <w:szCs w:val="18"/>
                <w:lang w:val="en-GB"/>
              </w:rPr>
              <w:t>-1</w:t>
            </w:r>
            <w:r w:rsidR="00FD3A58" w:rsidRPr="00167861">
              <w:rPr>
                <w:rFonts w:ascii="Arial Narrow" w:hAnsi="Arial Narrow"/>
                <w:color w:val="000000" w:themeColor="text1"/>
                <w:sz w:val="18"/>
                <w:szCs w:val="18"/>
                <w:lang w:val="en-GB"/>
              </w:rPr>
              <w:t>22</w:t>
            </w:r>
          </w:p>
        </w:tc>
      </w:tr>
      <w:tr w:rsidR="00FC5CD0" w:rsidTr="00E317D5">
        <w:tc>
          <w:tcPr>
            <w:tcW w:w="1103" w:type="dxa"/>
            <w:vMerge/>
          </w:tcPr>
          <w:p w:rsidR="00FC5CD0" w:rsidRPr="001F5412" w:rsidRDefault="00FC5CD0" w:rsidP="00E317D5">
            <w:pPr>
              <w:spacing w:line="276" w:lineRule="auto"/>
              <w:rPr>
                <w:rFonts w:ascii="Arial Narrow" w:hAnsi="Arial Narrow"/>
                <w:sz w:val="18"/>
                <w:szCs w:val="18"/>
                <w:lang w:val="en-GB"/>
              </w:rPr>
            </w:pPr>
          </w:p>
        </w:tc>
        <w:tc>
          <w:tcPr>
            <w:tcW w:w="658" w:type="dxa"/>
            <w:vMerge/>
          </w:tcPr>
          <w:p w:rsidR="00FC5CD0" w:rsidRPr="001F5412" w:rsidRDefault="00FC5CD0" w:rsidP="00E317D5">
            <w:pPr>
              <w:spacing w:line="276" w:lineRule="auto"/>
              <w:rPr>
                <w:rFonts w:ascii="Arial Narrow" w:hAnsi="Arial Narrow"/>
                <w:sz w:val="18"/>
                <w:szCs w:val="18"/>
                <w:lang w:val="en-GB"/>
              </w:rPr>
            </w:pPr>
          </w:p>
        </w:tc>
        <w:tc>
          <w:tcPr>
            <w:tcW w:w="1436" w:type="dxa"/>
            <w:vMerge/>
          </w:tcPr>
          <w:p w:rsidR="00FC5CD0" w:rsidRPr="001F5412" w:rsidRDefault="00FC5CD0" w:rsidP="00E317D5">
            <w:pPr>
              <w:spacing w:line="276" w:lineRule="auto"/>
              <w:jc w:val="left"/>
              <w:rPr>
                <w:rFonts w:ascii="Arial Narrow" w:hAnsi="Arial Narrow"/>
                <w:sz w:val="18"/>
                <w:szCs w:val="18"/>
                <w:lang w:val="en-GB"/>
              </w:rPr>
            </w:pPr>
          </w:p>
        </w:tc>
        <w:tc>
          <w:tcPr>
            <w:tcW w:w="1744" w:type="dxa"/>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P10-P90</w:t>
            </w:r>
          </w:p>
        </w:tc>
        <w:tc>
          <w:tcPr>
            <w:tcW w:w="1291" w:type="dxa"/>
          </w:tcPr>
          <w:p w:rsidR="00FC5CD0" w:rsidRPr="001F5412" w:rsidRDefault="00FC5CD0" w:rsidP="00E317D5">
            <w:pPr>
              <w:spacing w:line="276" w:lineRule="auto"/>
              <w:jc w:val="center"/>
              <w:rPr>
                <w:rFonts w:ascii="Arial Narrow" w:hAnsi="Arial Narrow"/>
                <w:sz w:val="18"/>
                <w:szCs w:val="18"/>
                <w:lang w:val="en-GB"/>
              </w:rPr>
            </w:pPr>
            <w:r>
              <w:rPr>
                <w:rFonts w:ascii="Arial Narrow" w:hAnsi="Arial Narrow"/>
                <w:sz w:val="18"/>
                <w:szCs w:val="18"/>
                <w:lang w:val="en-GB"/>
              </w:rPr>
              <w:t>11-28</w:t>
            </w:r>
          </w:p>
        </w:tc>
        <w:tc>
          <w:tcPr>
            <w:tcW w:w="1135" w:type="dxa"/>
          </w:tcPr>
          <w:p w:rsidR="00FC5CD0" w:rsidRPr="001F5412" w:rsidRDefault="00FC5CD0" w:rsidP="00E317D5">
            <w:pPr>
              <w:spacing w:line="276" w:lineRule="auto"/>
              <w:jc w:val="center"/>
              <w:rPr>
                <w:rFonts w:ascii="Arial Narrow" w:hAnsi="Arial Narrow"/>
                <w:sz w:val="18"/>
                <w:szCs w:val="18"/>
                <w:lang w:val="en-GB"/>
              </w:rPr>
            </w:pPr>
            <w:r>
              <w:rPr>
                <w:rFonts w:ascii="Arial Narrow" w:hAnsi="Arial Narrow"/>
                <w:sz w:val="18"/>
                <w:szCs w:val="18"/>
                <w:lang w:val="en-GB"/>
              </w:rPr>
              <w:t>59-140</w:t>
            </w:r>
          </w:p>
        </w:tc>
        <w:tc>
          <w:tcPr>
            <w:tcW w:w="1152" w:type="dxa"/>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12-2</w:t>
            </w:r>
            <w:r w:rsidR="00FD3A58" w:rsidRPr="00167861">
              <w:rPr>
                <w:rFonts w:ascii="Arial Narrow" w:hAnsi="Arial Narrow"/>
                <w:color w:val="000000" w:themeColor="text1"/>
                <w:sz w:val="18"/>
                <w:szCs w:val="18"/>
                <w:lang w:val="en-GB"/>
              </w:rPr>
              <w:t>8</w:t>
            </w:r>
          </w:p>
        </w:tc>
        <w:tc>
          <w:tcPr>
            <w:tcW w:w="1271" w:type="dxa"/>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color w:val="000000" w:themeColor="text1"/>
                <w:sz w:val="18"/>
                <w:szCs w:val="18"/>
                <w:lang w:val="en-GB"/>
              </w:rPr>
              <w:t>5</w:t>
            </w:r>
            <w:r w:rsidR="00FD3A58" w:rsidRPr="00167861">
              <w:rPr>
                <w:rFonts w:ascii="Arial Narrow" w:hAnsi="Arial Narrow"/>
                <w:color w:val="000000" w:themeColor="text1"/>
                <w:sz w:val="18"/>
                <w:szCs w:val="18"/>
                <w:lang w:val="en-GB"/>
              </w:rPr>
              <w:t>8</w:t>
            </w:r>
            <w:r w:rsidRPr="00167861">
              <w:rPr>
                <w:rFonts w:ascii="Arial Narrow" w:hAnsi="Arial Narrow"/>
                <w:color w:val="000000" w:themeColor="text1"/>
                <w:sz w:val="18"/>
                <w:szCs w:val="18"/>
                <w:lang w:val="en-GB"/>
              </w:rPr>
              <w:t>-13</w:t>
            </w:r>
            <w:r w:rsidR="00FD3A58" w:rsidRPr="00167861">
              <w:rPr>
                <w:rFonts w:ascii="Arial Narrow" w:hAnsi="Arial Narrow"/>
                <w:color w:val="000000" w:themeColor="text1"/>
                <w:sz w:val="18"/>
                <w:szCs w:val="18"/>
                <w:lang w:val="en-GB"/>
              </w:rPr>
              <w:t>4</w:t>
            </w:r>
          </w:p>
        </w:tc>
      </w:tr>
      <w:tr w:rsidR="00FC5CD0" w:rsidTr="00E317D5">
        <w:tc>
          <w:tcPr>
            <w:tcW w:w="1103" w:type="dxa"/>
            <w:vMerge/>
          </w:tcPr>
          <w:p w:rsidR="00FC5CD0" w:rsidRPr="001F5412" w:rsidRDefault="00FC5CD0" w:rsidP="00E317D5">
            <w:pPr>
              <w:spacing w:line="276" w:lineRule="auto"/>
              <w:rPr>
                <w:rFonts w:ascii="Arial Narrow" w:hAnsi="Arial Narrow"/>
                <w:sz w:val="18"/>
                <w:szCs w:val="18"/>
                <w:lang w:val="en-GB"/>
              </w:rPr>
            </w:pPr>
          </w:p>
        </w:tc>
        <w:tc>
          <w:tcPr>
            <w:tcW w:w="658" w:type="dxa"/>
            <w:vMerge/>
          </w:tcPr>
          <w:p w:rsidR="00FC5CD0" w:rsidRPr="001F5412" w:rsidRDefault="00FC5CD0" w:rsidP="00E317D5">
            <w:pPr>
              <w:spacing w:line="276" w:lineRule="auto"/>
              <w:rPr>
                <w:rFonts w:ascii="Arial Narrow" w:hAnsi="Arial Narrow"/>
                <w:sz w:val="18"/>
                <w:szCs w:val="18"/>
                <w:lang w:val="en-GB"/>
              </w:rPr>
            </w:pPr>
          </w:p>
        </w:tc>
        <w:tc>
          <w:tcPr>
            <w:tcW w:w="1436" w:type="dxa"/>
            <w:vMerge/>
          </w:tcPr>
          <w:p w:rsidR="00FC5CD0" w:rsidRPr="001F5412" w:rsidRDefault="00FC5CD0" w:rsidP="00E317D5">
            <w:pPr>
              <w:spacing w:line="276" w:lineRule="auto"/>
              <w:jc w:val="left"/>
              <w:rPr>
                <w:rFonts w:ascii="Arial Narrow" w:hAnsi="Arial Narrow"/>
                <w:sz w:val="18"/>
                <w:szCs w:val="18"/>
                <w:lang w:val="en-GB"/>
              </w:rPr>
            </w:pPr>
          </w:p>
        </w:tc>
        <w:tc>
          <w:tcPr>
            <w:tcW w:w="1744" w:type="dxa"/>
            <w:shd w:val="clear" w:color="auto" w:fill="E2EFD9" w:themeFill="accent6" w:themeFillTint="33"/>
          </w:tcPr>
          <w:p w:rsidR="00FC5CD0" w:rsidRPr="001F5412" w:rsidRDefault="00FC5CD0" w:rsidP="00E317D5">
            <w:pPr>
              <w:spacing w:line="276" w:lineRule="auto"/>
              <w:jc w:val="center"/>
              <w:rPr>
                <w:rFonts w:ascii="Arial Narrow" w:hAnsi="Arial Narrow"/>
                <w:sz w:val="18"/>
                <w:szCs w:val="18"/>
                <w:lang w:val="en-GB"/>
              </w:rPr>
            </w:pPr>
            <w:r w:rsidRPr="001F5412">
              <w:rPr>
                <w:rFonts w:ascii="Arial Narrow" w:hAnsi="Arial Narrow"/>
                <w:sz w:val="18"/>
                <w:szCs w:val="18"/>
                <w:lang w:val="en-GB"/>
              </w:rPr>
              <w:t>P5-P95</w:t>
            </w:r>
          </w:p>
        </w:tc>
        <w:tc>
          <w:tcPr>
            <w:tcW w:w="1291" w:type="dxa"/>
            <w:shd w:val="clear" w:color="auto" w:fill="E2EFD9" w:themeFill="accent6" w:themeFillTint="33"/>
          </w:tcPr>
          <w:p w:rsidR="00FC5CD0" w:rsidRPr="001F5412" w:rsidRDefault="00FC5CD0" w:rsidP="00E317D5">
            <w:pPr>
              <w:spacing w:line="276" w:lineRule="auto"/>
              <w:jc w:val="center"/>
              <w:rPr>
                <w:rFonts w:ascii="Arial Narrow" w:hAnsi="Arial Narrow"/>
                <w:sz w:val="18"/>
                <w:szCs w:val="18"/>
                <w:lang w:val="en-GB"/>
              </w:rPr>
            </w:pPr>
            <w:r w:rsidRPr="00CD56CB">
              <w:rPr>
                <w:rFonts w:ascii="Arial Narrow" w:hAnsi="Arial Narrow"/>
                <w:b/>
                <w:bCs/>
                <w:sz w:val="18"/>
                <w:szCs w:val="18"/>
                <w:lang w:val="en-GB"/>
              </w:rPr>
              <w:t>10</w:t>
            </w:r>
            <w:r>
              <w:rPr>
                <w:rFonts w:ascii="Arial Narrow" w:hAnsi="Arial Narrow"/>
                <w:sz w:val="18"/>
                <w:szCs w:val="18"/>
                <w:lang w:val="en-GB"/>
              </w:rPr>
              <w:t>-29</w:t>
            </w:r>
          </w:p>
        </w:tc>
        <w:tc>
          <w:tcPr>
            <w:tcW w:w="1135" w:type="dxa"/>
            <w:shd w:val="clear" w:color="auto" w:fill="E2EFD9" w:themeFill="accent6" w:themeFillTint="33"/>
          </w:tcPr>
          <w:p w:rsidR="00FC5CD0" w:rsidRPr="001F5412" w:rsidRDefault="00FC5CD0" w:rsidP="00E317D5">
            <w:pPr>
              <w:spacing w:line="276" w:lineRule="auto"/>
              <w:jc w:val="center"/>
              <w:rPr>
                <w:rFonts w:ascii="Arial Narrow" w:hAnsi="Arial Narrow"/>
                <w:sz w:val="18"/>
                <w:szCs w:val="18"/>
                <w:lang w:val="en-GB"/>
              </w:rPr>
            </w:pPr>
            <w:r w:rsidRPr="00CD56CB">
              <w:rPr>
                <w:rFonts w:ascii="Arial Narrow" w:hAnsi="Arial Narrow"/>
                <w:b/>
                <w:bCs/>
                <w:sz w:val="18"/>
                <w:szCs w:val="18"/>
                <w:lang w:val="en-GB"/>
              </w:rPr>
              <w:t>52</w:t>
            </w:r>
            <w:r>
              <w:rPr>
                <w:rFonts w:ascii="Arial Narrow" w:hAnsi="Arial Narrow"/>
                <w:sz w:val="18"/>
                <w:szCs w:val="18"/>
                <w:lang w:val="en-GB"/>
              </w:rPr>
              <w:t>-155</w:t>
            </w:r>
          </w:p>
        </w:tc>
        <w:tc>
          <w:tcPr>
            <w:tcW w:w="1152" w:type="dxa"/>
            <w:shd w:val="clear" w:color="auto" w:fill="E2EFD9" w:themeFill="accent6" w:themeFillTint="33"/>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b/>
                <w:bCs/>
                <w:color w:val="000000" w:themeColor="text1"/>
                <w:sz w:val="18"/>
                <w:szCs w:val="18"/>
                <w:lang w:val="en-GB"/>
              </w:rPr>
              <w:t>11</w:t>
            </w:r>
            <w:r w:rsidRPr="00167861">
              <w:rPr>
                <w:rFonts w:ascii="Arial Narrow" w:hAnsi="Arial Narrow"/>
                <w:color w:val="000000" w:themeColor="text1"/>
                <w:sz w:val="18"/>
                <w:szCs w:val="18"/>
                <w:lang w:val="en-GB"/>
              </w:rPr>
              <w:t>-3</w:t>
            </w:r>
            <w:r w:rsidR="00FD3A58" w:rsidRPr="00167861">
              <w:rPr>
                <w:rFonts w:ascii="Arial Narrow" w:hAnsi="Arial Narrow"/>
                <w:color w:val="000000" w:themeColor="text1"/>
                <w:sz w:val="18"/>
                <w:szCs w:val="18"/>
                <w:lang w:val="en-GB"/>
              </w:rPr>
              <w:t>0</w:t>
            </w:r>
          </w:p>
        </w:tc>
        <w:tc>
          <w:tcPr>
            <w:tcW w:w="1271" w:type="dxa"/>
            <w:shd w:val="clear" w:color="auto" w:fill="E2EFD9" w:themeFill="accent6" w:themeFillTint="33"/>
          </w:tcPr>
          <w:p w:rsidR="00FC5CD0" w:rsidRPr="00167861" w:rsidRDefault="00FC5CD0" w:rsidP="00E317D5">
            <w:pPr>
              <w:spacing w:line="276" w:lineRule="auto"/>
              <w:jc w:val="center"/>
              <w:rPr>
                <w:rFonts w:ascii="Arial Narrow" w:hAnsi="Arial Narrow"/>
                <w:color w:val="000000" w:themeColor="text1"/>
                <w:sz w:val="18"/>
                <w:szCs w:val="18"/>
                <w:lang w:val="en-GB"/>
              </w:rPr>
            </w:pPr>
            <w:r w:rsidRPr="00167861">
              <w:rPr>
                <w:rFonts w:ascii="Arial Narrow" w:hAnsi="Arial Narrow"/>
                <w:b/>
                <w:bCs/>
                <w:color w:val="000000" w:themeColor="text1"/>
                <w:sz w:val="18"/>
                <w:szCs w:val="18"/>
                <w:lang w:val="en-GB"/>
              </w:rPr>
              <w:t>4</w:t>
            </w:r>
            <w:r w:rsidR="00FD3A58" w:rsidRPr="00167861">
              <w:rPr>
                <w:rFonts w:ascii="Arial Narrow" w:hAnsi="Arial Narrow"/>
                <w:b/>
                <w:bCs/>
                <w:color w:val="000000" w:themeColor="text1"/>
                <w:sz w:val="18"/>
                <w:szCs w:val="18"/>
                <w:lang w:val="en-GB"/>
              </w:rPr>
              <w:t>6</w:t>
            </w:r>
            <w:r w:rsidRPr="00167861">
              <w:rPr>
                <w:rFonts w:ascii="Arial Narrow" w:hAnsi="Arial Narrow"/>
                <w:color w:val="000000" w:themeColor="text1"/>
                <w:sz w:val="18"/>
                <w:szCs w:val="18"/>
                <w:lang w:val="en-GB"/>
              </w:rPr>
              <w:t>-1</w:t>
            </w:r>
            <w:r w:rsidR="00FD3A58" w:rsidRPr="00167861">
              <w:rPr>
                <w:rFonts w:ascii="Arial Narrow" w:hAnsi="Arial Narrow"/>
                <w:color w:val="000000" w:themeColor="text1"/>
                <w:sz w:val="18"/>
                <w:szCs w:val="18"/>
                <w:lang w:val="en-GB"/>
              </w:rPr>
              <w:t>54</w:t>
            </w:r>
          </w:p>
        </w:tc>
      </w:tr>
    </w:tbl>
    <w:p w:rsidR="00FC5CD0" w:rsidRPr="00CD07AD" w:rsidRDefault="00FC5CD0" w:rsidP="00212EA2">
      <w:pPr>
        <w:spacing w:after="0" w:line="240" w:lineRule="auto"/>
        <w:rPr>
          <w:sz w:val="16"/>
          <w:szCs w:val="16"/>
          <w:lang w:val="en-GB"/>
        </w:rPr>
      </w:pPr>
      <w:r w:rsidRPr="00CD07AD">
        <w:rPr>
          <w:sz w:val="16"/>
          <w:szCs w:val="16"/>
          <w:lang w:val="en-GB"/>
        </w:rPr>
        <w:t>Abbreviations: ADP, adenosine diphosphate; bFG, bound fibrinogen; NA, not applicable; PAI, platelet activation index; TRAP-6, protease activated receptor (PAR)-1 agonist thrombin receptor activator peptide; %NV, % of the normal values.</w:t>
      </w:r>
    </w:p>
    <w:p w:rsidR="00212EA2" w:rsidRPr="00CD07AD" w:rsidRDefault="00212EA2" w:rsidP="00212EA2">
      <w:pPr>
        <w:spacing w:after="0" w:line="240" w:lineRule="auto"/>
        <w:rPr>
          <w:sz w:val="16"/>
          <w:szCs w:val="16"/>
          <w:lang w:val="en-GB"/>
        </w:rPr>
      </w:pPr>
      <w:r w:rsidRPr="00CD07AD">
        <w:rPr>
          <w:sz w:val="16"/>
          <w:szCs w:val="16"/>
          <w:lang w:val="en-GB"/>
        </w:rPr>
        <w:t>The control population consisted of 26 healthy adult individuals (blood donors), 13 males and 13 females, with a median age of 51 years, ranging from 22 to 66 years</w:t>
      </w:r>
    </w:p>
    <w:p w:rsidR="007A18BD" w:rsidRPr="00CD07AD" w:rsidRDefault="007A18BD" w:rsidP="007A18BD">
      <w:pPr>
        <w:spacing w:after="0" w:line="240" w:lineRule="auto"/>
        <w:rPr>
          <w:sz w:val="16"/>
          <w:szCs w:val="16"/>
          <w:lang w:val="en-GB"/>
        </w:rPr>
      </w:pPr>
      <w:r w:rsidRPr="00CD07AD">
        <w:rPr>
          <w:sz w:val="16"/>
          <w:szCs w:val="16"/>
          <w:lang w:val="en-GB"/>
        </w:rPr>
        <w:t xml:space="preserve">* </w:t>
      </w:r>
      <w:r w:rsidR="00167861" w:rsidRPr="00CD07AD">
        <w:rPr>
          <w:sz w:val="16"/>
          <w:szCs w:val="16"/>
          <w:lang w:val="en-GB"/>
        </w:rPr>
        <w:t>In TRAP-experiments, 2</w:t>
      </w:r>
      <w:r w:rsidRPr="00CD07AD">
        <w:rPr>
          <w:sz w:val="16"/>
          <w:szCs w:val="16"/>
          <w:lang w:val="en-GB"/>
        </w:rPr>
        <w:t xml:space="preserve"> of the 26 healthy controls (8%) had evidence of PLT activation in unstimulated (basal) conditions when evaluated by anti-PAC-1 binding, having basal PAIs of 26 and 37, comparatively of median PAI values of 2, ranging from 1 to 9, observed in the remaining 24 healthy controls.</w:t>
      </w:r>
    </w:p>
    <w:p w:rsidR="007A18BD" w:rsidRPr="00CD07AD" w:rsidRDefault="007A18BD" w:rsidP="007A18BD">
      <w:pPr>
        <w:spacing w:after="0" w:line="240" w:lineRule="auto"/>
        <w:rPr>
          <w:sz w:val="16"/>
          <w:szCs w:val="16"/>
          <w:lang w:val="en-GB"/>
        </w:rPr>
      </w:pPr>
      <w:r w:rsidRPr="00CD07AD">
        <w:rPr>
          <w:sz w:val="16"/>
          <w:szCs w:val="16"/>
          <w:lang w:val="en-GB"/>
        </w:rPr>
        <w:t xml:space="preserve">** </w:t>
      </w:r>
      <w:r w:rsidR="00167861" w:rsidRPr="00CD07AD">
        <w:rPr>
          <w:sz w:val="16"/>
          <w:szCs w:val="16"/>
          <w:lang w:val="en-GB"/>
        </w:rPr>
        <w:t>In TRAP-experiments, n</w:t>
      </w:r>
      <w:r w:rsidRPr="00CD07AD">
        <w:rPr>
          <w:sz w:val="16"/>
          <w:szCs w:val="16"/>
          <w:lang w:val="en-GB"/>
        </w:rPr>
        <w:t>one of the 26 healthy controls had evidence of PLT activation in unstimulated (basal) conditions when evaluated by anti-bFG binding.</w:t>
      </w:r>
    </w:p>
    <w:p w:rsidR="007A18BD" w:rsidRPr="00CD07AD" w:rsidRDefault="007A18BD" w:rsidP="007A18BD">
      <w:pPr>
        <w:spacing w:after="0" w:line="240" w:lineRule="auto"/>
        <w:rPr>
          <w:sz w:val="16"/>
          <w:szCs w:val="16"/>
          <w:lang w:val="en-GB"/>
        </w:rPr>
      </w:pPr>
      <w:r w:rsidRPr="00CD07AD">
        <w:rPr>
          <w:sz w:val="16"/>
          <w:szCs w:val="16"/>
          <w:lang w:val="en-GB"/>
        </w:rPr>
        <w:t xml:space="preserve">*** </w:t>
      </w:r>
      <w:r w:rsidR="00167861" w:rsidRPr="00CD07AD">
        <w:rPr>
          <w:sz w:val="16"/>
          <w:szCs w:val="16"/>
          <w:lang w:val="en-GB"/>
        </w:rPr>
        <w:t>In ADP-experiments, t</w:t>
      </w:r>
      <w:r w:rsidRPr="00CD07AD">
        <w:rPr>
          <w:sz w:val="16"/>
          <w:szCs w:val="16"/>
          <w:lang w:val="en-GB"/>
        </w:rPr>
        <w:t xml:space="preserve">he same </w:t>
      </w:r>
      <w:r w:rsidR="00167861" w:rsidRPr="00CD07AD">
        <w:rPr>
          <w:sz w:val="16"/>
          <w:szCs w:val="16"/>
          <w:lang w:val="en-GB"/>
        </w:rPr>
        <w:t>2</w:t>
      </w:r>
      <w:r w:rsidRPr="00CD07AD">
        <w:rPr>
          <w:sz w:val="16"/>
          <w:szCs w:val="16"/>
          <w:lang w:val="en-GB"/>
        </w:rPr>
        <w:t xml:space="preserve"> healthy controls (8%) had evidence of PLT activation in unstimulated (basal) conditions when evaluated by PAC-1 binding, having basal PAIs of 17 and 44, respectively, comparatively of median PAI values of 2, ranging from 1 to 12 in ADP experiments, observed in the remaining 24 healthy controls.</w:t>
      </w:r>
    </w:p>
    <w:p w:rsidR="008A54E8" w:rsidRPr="00CD07AD" w:rsidRDefault="00167861" w:rsidP="00134D3B">
      <w:pPr>
        <w:spacing w:after="0" w:line="240" w:lineRule="auto"/>
        <w:rPr>
          <w:sz w:val="16"/>
          <w:szCs w:val="16"/>
          <w:lang w:val="en-US"/>
        </w:rPr>
      </w:pPr>
      <w:r w:rsidRPr="00CD07AD">
        <w:rPr>
          <w:sz w:val="16"/>
          <w:szCs w:val="16"/>
          <w:lang w:val="en-GB"/>
        </w:rPr>
        <w:t>**** In ADP-experiments, none of the 26 healthy controls had evidence of PLT activation in unstimulated (basal) conditions when evaluated by anti-bFG binding.</w:t>
      </w:r>
    </w:p>
    <w:p w:rsidR="001E7429" w:rsidRDefault="00FC5CD0" w:rsidP="00247B90">
      <w:pPr>
        <w:pStyle w:val="Ttulo4"/>
        <w:rPr>
          <w:lang w:val="en-GB"/>
        </w:rPr>
      </w:pPr>
      <w:r>
        <w:rPr>
          <w:lang w:val="en-GB"/>
        </w:rPr>
        <w:lastRenderedPageBreak/>
        <w:t>Protocol validation</w:t>
      </w:r>
    </w:p>
    <w:p w:rsidR="00635A0B" w:rsidRPr="00635A0B" w:rsidRDefault="00635A0B" w:rsidP="00635A0B">
      <w:pPr>
        <w:rPr>
          <w:lang w:val="en-US"/>
        </w:rPr>
      </w:pPr>
      <w:r>
        <w:rPr>
          <w:lang w:val="en-US"/>
        </w:rPr>
        <w:t>As stated above, t</w:t>
      </w:r>
      <w:r w:rsidRPr="00635A0B">
        <w:rPr>
          <w:lang w:val="en-US"/>
        </w:rPr>
        <w:t>he FCM protocol described herein w</w:t>
      </w:r>
      <w:r>
        <w:rPr>
          <w:lang w:val="en-US"/>
        </w:rPr>
        <w:t xml:space="preserve">as developed locally, </w:t>
      </w:r>
      <w:r w:rsidRPr="00D30220">
        <w:rPr>
          <w:lang w:val="en-US"/>
        </w:rPr>
        <w:t xml:space="preserve">based on a commercially kit that is no longer in the market (PLATELET Fibrinogen, </w:t>
      </w:r>
      <w:proofErr w:type="spellStart"/>
      <w:r w:rsidRPr="00D30220">
        <w:rPr>
          <w:lang w:val="en-US"/>
        </w:rPr>
        <w:t>Biocytex</w:t>
      </w:r>
      <w:proofErr w:type="spellEnd"/>
      <w:r w:rsidRPr="00D30220">
        <w:rPr>
          <w:lang w:val="en-US"/>
        </w:rPr>
        <w:t>, Marseille, France</w:t>
      </w:r>
      <w:r>
        <w:rPr>
          <w:lang w:val="en-US"/>
        </w:rPr>
        <w:t>; catalogue number 7012</w:t>
      </w:r>
      <w:r w:rsidRPr="00D30220">
        <w:rPr>
          <w:lang w:val="en-US"/>
        </w:rPr>
        <w:t>).</w:t>
      </w:r>
    </w:p>
    <w:p w:rsidR="00450478" w:rsidRDefault="00450478" w:rsidP="00247B90">
      <w:pPr>
        <w:pStyle w:val="Ttulo5"/>
        <w:rPr>
          <w:lang w:val="en-GB"/>
        </w:rPr>
      </w:pPr>
      <w:r>
        <w:rPr>
          <w:lang w:val="en-GB"/>
        </w:rPr>
        <w:t>Pre-</w:t>
      </w:r>
      <w:r w:rsidR="00C741F7">
        <w:rPr>
          <w:lang w:val="en-GB"/>
        </w:rPr>
        <w:t xml:space="preserve">validation </w:t>
      </w:r>
      <w:r>
        <w:rPr>
          <w:lang w:val="en-GB"/>
        </w:rPr>
        <w:t>tests</w:t>
      </w:r>
    </w:p>
    <w:p w:rsidR="008C58A1" w:rsidRDefault="006A7720" w:rsidP="00C52C3C">
      <w:pPr>
        <w:rPr>
          <w:lang w:val="en-GB"/>
        </w:rPr>
      </w:pPr>
      <w:r>
        <w:rPr>
          <w:lang w:val="en-GB"/>
        </w:rPr>
        <w:t>Before validating our FCM protocol for PLT activation studies we have made some pre-tests</w:t>
      </w:r>
      <w:r w:rsidR="008C58A1">
        <w:rPr>
          <w:lang w:val="en-GB"/>
        </w:rPr>
        <w:t xml:space="preserve"> i</w:t>
      </w:r>
      <w:r w:rsidR="00C33F0B">
        <w:rPr>
          <w:lang w:val="en-GB"/>
        </w:rPr>
        <w:t>n order to establish the experimental conditions</w:t>
      </w:r>
      <w:r w:rsidR="008C58A1">
        <w:rPr>
          <w:lang w:val="en-GB"/>
        </w:rPr>
        <w:t xml:space="preserve"> to be used</w:t>
      </w:r>
      <w:r w:rsidR="00E2774E">
        <w:rPr>
          <w:lang w:val="en-GB"/>
        </w:rPr>
        <w:t>, dedicating especial attention to the mAbs</w:t>
      </w:r>
      <w:r w:rsidR="00F94BFC">
        <w:rPr>
          <w:lang w:val="en-GB"/>
        </w:rPr>
        <w:t xml:space="preserve"> used</w:t>
      </w:r>
      <w:r w:rsidR="00E2774E">
        <w:rPr>
          <w:lang w:val="en-GB"/>
        </w:rPr>
        <w:t xml:space="preserve"> to detect PLT activation </w:t>
      </w:r>
      <w:r w:rsidR="00E2774E" w:rsidRPr="006F718E">
        <w:rPr>
          <w:lang w:val="en-GB"/>
        </w:rPr>
        <w:t xml:space="preserve">and to </w:t>
      </w:r>
      <w:r w:rsidR="006F718E" w:rsidRPr="006F718E">
        <w:rPr>
          <w:lang w:val="en-GB"/>
        </w:rPr>
        <w:t>the time between completion of sample processing and flow cytometer reading.</w:t>
      </w:r>
    </w:p>
    <w:p w:rsidR="008C58A1" w:rsidRDefault="00E2774E" w:rsidP="00C52C3C">
      <w:pPr>
        <w:rPr>
          <w:rFonts w:cs="Arial"/>
          <w:lang w:val="en-US"/>
        </w:rPr>
      </w:pPr>
      <w:r>
        <w:rPr>
          <w:lang w:val="en-GB"/>
        </w:rPr>
        <w:t xml:space="preserve">Concerning the </w:t>
      </w:r>
      <w:r w:rsidR="00C33F0B">
        <w:rPr>
          <w:lang w:val="en-GB"/>
        </w:rPr>
        <w:t xml:space="preserve">staining </w:t>
      </w:r>
      <w:r>
        <w:rPr>
          <w:lang w:val="en-GB"/>
        </w:rPr>
        <w:t xml:space="preserve">conditions, </w:t>
      </w:r>
      <w:r w:rsidR="009E7CD3">
        <w:rPr>
          <w:lang w:val="en-GB"/>
        </w:rPr>
        <w:t xml:space="preserve">we </w:t>
      </w:r>
      <w:r w:rsidR="00C33F0B">
        <w:rPr>
          <w:lang w:val="en-GB"/>
        </w:rPr>
        <w:t xml:space="preserve">first </w:t>
      </w:r>
      <w:r w:rsidR="009E7CD3">
        <w:rPr>
          <w:lang w:val="en-GB"/>
        </w:rPr>
        <w:t xml:space="preserve">used the volumes of </w:t>
      </w:r>
      <w:r w:rsidR="00C33F0B">
        <w:rPr>
          <w:lang w:val="en-GB"/>
        </w:rPr>
        <w:t xml:space="preserve">anti-PAC1 </w:t>
      </w:r>
      <w:r w:rsidR="009E7CD3">
        <w:rPr>
          <w:lang w:val="en-GB"/>
        </w:rPr>
        <w:t xml:space="preserve">FITC </w:t>
      </w:r>
      <w:r w:rsidR="00C33F0B">
        <w:rPr>
          <w:lang w:val="en-GB"/>
        </w:rPr>
        <w:t xml:space="preserve">and anti-bFG </w:t>
      </w:r>
      <w:r w:rsidR="009E7CD3">
        <w:rPr>
          <w:lang w:val="en-GB"/>
        </w:rPr>
        <w:t xml:space="preserve">FITC </w:t>
      </w:r>
      <w:r w:rsidR="00C33F0B">
        <w:rPr>
          <w:lang w:val="en-GB"/>
        </w:rPr>
        <w:t>mAb</w:t>
      </w:r>
      <w:r w:rsidR="009E7CD3">
        <w:rPr>
          <w:lang w:val="en-GB"/>
        </w:rPr>
        <w:t xml:space="preserve">s </w:t>
      </w:r>
      <w:r w:rsidR="008C58A1">
        <w:rPr>
          <w:lang w:val="en-GB"/>
        </w:rPr>
        <w:t>recommende</w:t>
      </w:r>
      <w:r>
        <w:rPr>
          <w:lang w:val="en-GB"/>
        </w:rPr>
        <w:t>d</w:t>
      </w:r>
      <w:r w:rsidR="008C58A1">
        <w:rPr>
          <w:lang w:val="en-GB"/>
        </w:rPr>
        <w:t xml:space="preserve"> by the manufacture </w:t>
      </w:r>
      <w:r w:rsidR="00D62760">
        <w:rPr>
          <w:lang w:val="en-GB"/>
        </w:rPr>
        <w:t>(</w:t>
      </w:r>
      <w:r w:rsidR="009D42E4" w:rsidRPr="008C58A1">
        <w:rPr>
          <w:lang w:val="en-GB"/>
        </w:rPr>
        <w:t xml:space="preserve">20 </w:t>
      </w:r>
      <w:r w:rsidR="009D42E4">
        <w:rPr>
          <w:rFonts w:cs="Arial"/>
          <w:lang w:val="en-US"/>
        </w:rPr>
        <w:t>µL of mAb for ~1x10</w:t>
      </w:r>
      <w:r w:rsidR="009D42E4" w:rsidRPr="008C58A1">
        <w:rPr>
          <w:rFonts w:cs="Arial"/>
          <w:vertAlign w:val="superscript"/>
          <w:lang w:val="en-US"/>
        </w:rPr>
        <w:t>6</w:t>
      </w:r>
      <w:r w:rsidR="009D42E4">
        <w:rPr>
          <w:rFonts w:cs="Arial"/>
          <w:lang w:val="en-US"/>
        </w:rPr>
        <w:t>/cells</w:t>
      </w:r>
      <w:r w:rsidR="00D62760">
        <w:rPr>
          <w:lang w:val="en-US"/>
        </w:rPr>
        <w:t>). W</w:t>
      </w:r>
      <w:r>
        <w:rPr>
          <w:lang w:val="en-US"/>
        </w:rPr>
        <w:t>e observed a high background staining</w:t>
      </w:r>
      <w:r w:rsidR="008D42EC">
        <w:rPr>
          <w:lang w:val="en-US"/>
        </w:rPr>
        <w:t xml:space="preserve"> w</w:t>
      </w:r>
      <w:r w:rsidR="00D62760">
        <w:rPr>
          <w:lang w:val="en-US"/>
        </w:rPr>
        <w:t>ith</w:t>
      </w:r>
      <w:r w:rsidR="008D42EC">
        <w:rPr>
          <w:rFonts w:cs="Arial"/>
          <w:lang w:val="en-US"/>
        </w:rPr>
        <w:t xml:space="preserve"> anti-bFG</w:t>
      </w:r>
      <w:r w:rsidR="00967A61">
        <w:rPr>
          <w:rFonts w:cs="Arial"/>
          <w:lang w:val="en-US"/>
        </w:rPr>
        <w:t xml:space="preserve"> (data not shown)</w:t>
      </w:r>
      <w:r w:rsidR="00D62760">
        <w:rPr>
          <w:lang w:val="en-US"/>
        </w:rPr>
        <w:t>,</w:t>
      </w:r>
      <w:r>
        <w:rPr>
          <w:lang w:val="en-US"/>
        </w:rPr>
        <w:t xml:space="preserve"> so we subsequently performed </w:t>
      </w:r>
      <w:r w:rsidR="00D62760">
        <w:rPr>
          <w:lang w:val="en-US"/>
        </w:rPr>
        <w:t xml:space="preserve">anti-bFG </w:t>
      </w:r>
      <w:r>
        <w:rPr>
          <w:lang w:val="en-US"/>
        </w:rPr>
        <w:t>titration studies (</w:t>
      </w:r>
      <w:r w:rsidRPr="008C58A1">
        <w:rPr>
          <w:lang w:val="en-GB"/>
        </w:rPr>
        <w:t xml:space="preserve">20 </w:t>
      </w:r>
      <w:r>
        <w:rPr>
          <w:rFonts w:cs="Arial"/>
          <w:lang w:val="en-US"/>
        </w:rPr>
        <w:t xml:space="preserve">µL, </w:t>
      </w:r>
      <w:r>
        <w:rPr>
          <w:lang w:val="en-GB"/>
        </w:rPr>
        <w:t>1</w:t>
      </w:r>
      <w:r w:rsidRPr="008C58A1">
        <w:rPr>
          <w:lang w:val="en-GB"/>
        </w:rPr>
        <w:t xml:space="preserve">0 </w:t>
      </w:r>
      <w:r>
        <w:rPr>
          <w:rFonts w:cs="Arial"/>
          <w:lang w:val="en-US"/>
        </w:rPr>
        <w:t xml:space="preserve">µL and </w:t>
      </w:r>
      <w:r>
        <w:rPr>
          <w:lang w:val="en-US"/>
        </w:rPr>
        <w:t>5</w:t>
      </w:r>
      <w:r w:rsidRPr="008C58A1">
        <w:rPr>
          <w:lang w:val="en-GB"/>
        </w:rPr>
        <w:t xml:space="preserve"> </w:t>
      </w:r>
      <w:r>
        <w:rPr>
          <w:rFonts w:cs="Arial"/>
          <w:lang w:val="en-US"/>
        </w:rPr>
        <w:t>µL)</w:t>
      </w:r>
      <w:r w:rsidR="008125E3">
        <w:rPr>
          <w:rFonts w:cs="Arial"/>
          <w:lang w:val="en-US"/>
        </w:rPr>
        <w:t xml:space="preserve"> using TRAP-6 as agonist</w:t>
      </w:r>
      <w:r w:rsidR="00D62760">
        <w:rPr>
          <w:rFonts w:cs="Arial"/>
          <w:lang w:val="en-US"/>
        </w:rPr>
        <w:t>.</w:t>
      </w:r>
      <w:r>
        <w:rPr>
          <w:rFonts w:cs="Arial"/>
          <w:lang w:val="en-US"/>
        </w:rPr>
        <w:t xml:space="preserve"> </w:t>
      </w:r>
      <w:r w:rsidR="00D62760">
        <w:rPr>
          <w:rFonts w:cs="Arial"/>
          <w:lang w:val="en-US"/>
        </w:rPr>
        <w:t>W</w:t>
      </w:r>
      <w:r w:rsidR="00BF6EF8">
        <w:rPr>
          <w:rFonts w:cs="Arial"/>
          <w:lang w:val="en-US"/>
        </w:rPr>
        <w:t xml:space="preserve">e </w:t>
      </w:r>
      <w:r>
        <w:rPr>
          <w:rFonts w:cs="Arial"/>
          <w:lang w:val="en-US"/>
        </w:rPr>
        <w:t xml:space="preserve">selected </w:t>
      </w:r>
      <w:r>
        <w:rPr>
          <w:lang w:val="en-GB"/>
        </w:rPr>
        <w:t>1</w:t>
      </w:r>
      <w:r w:rsidRPr="008C58A1">
        <w:rPr>
          <w:lang w:val="en-GB"/>
        </w:rPr>
        <w:t xml:space="preserve">0 </w:t>
      </w:r>
      <w:r>
        <w:rPr>
          <w:rFonts w:cs="Arial"/>
          <w:lang w:val="en-US"/>
        </w:rPr>
        <w:t>µL as the volume o</w:t>
      </w:r>
      <w:r w:rsidR="009E7CD3">
        <w:rPr>
          <w:rFonts w:cs="Arial"/>
          <w:lang w:val="en-US"/>
        </w:rPr>
        <w:t>f anti-bFG FITC</w:t>
      </w:r>
      <w:r>
        <w:rPr>
          <w:rFonts w:cs="Arial"/>
          <w:lang w:val="en-US"/>
        </w:rPr>
        <w:t xml:space="preserve"> </w:t>
      </w:r>
      <w:r w:rsidR="00BF6EF8">
        <w:rPr>
          <w:rFonts w:cs="Arial"/>
          <w:lang w:val="en-US"/>
        </w:rPr>
        <w:t>that</w:t>
      </w:r>
      <w:r w:rsidR="00BF6EF8" w:rsidRPr="00BF6EF8">
        <w:rPr>
          <w:rFonts w:cs="Arial"/>
          <w:lang w:val="en-US"/>
        </w:rPr>
        <w:t xml:space="preserve"> </w:t>
      </w:r>
      <w:r w:rsidR="00BF6EF8">
        <w:rPr>
          <w:rFonts w:cs="Arial"/>
          <w:lang w:val="en-US"/>
        </w:rPr>
        <w:t>decreased</w:t>
      </w:r>
      <w:r w:rsidR="00BF6EF8" w:rsidRPr="00BF6EF8">
        <w:rPr>
          <w:rFonts w:cs="Arial"/>
          <w:lang w:val="en-US"/>
        </w:rPr>
        <w:t xml:space="preserve"> non-specific </w:t>
      </w:r>
      <w:r w:rsidR="00742DC5">
        <w:rPr>
          <w:rFonts w:cs="Arial"/>
          <w:lang w:val="en-US"/>
        </w:rPr>
        <w:t xml:space="preserve">PLT </w:t>
      </w:r>
      <w:r w:rsidR="00BF6EF8" w:rsidRPr="00BF6EF8">
        <w:rPr>
          <w:rFonts w:cs="Arial"/>
          <w:lang w:val="en-US"/>
        </w:rPr>
        <w:t xml:space="preserve">binding </w:t>
      </w:r>
      <w:r w:rsidR="00BF6EF8">
        <w:rPr>
          <w:rFonts w:cs="Arial"/>
          <w:lang w:val="en-US"/>
        </w:rPr>
        <w:t>(background staining, inhibitory conditions</w:t>
      </w:r>
      <w:r w:rsidR="00D62760">
        <w:rPr>
          <w:rFonts w:cs="Arial"/>
          <w:lang w:val="en-US"/>
        </w:rPr>
        <w:t xml:space="preserve">, T7, and basal </w:t>
      </w:r>
      <w:r w:rsidR="008125E3">
        <w:rPr>
          <w:rFonts w:cs="Arial"/>
          <w:lang w:val="en-US"/>
        </w:rPr>
        <w:t xml:space="preserve">staining, non-stimulatory </w:t>
      </w:r>
      <w:r w:rsidR="00D62760">
        <w:rPr>
          <w:rFonts w:cs="Arial"/>
          <w:lang w:val="en-US"/>
        </w:rPr>
        <w:t xml:space="preserve">conditions, </w:t>
      </w:r>
      <w:r w:rsidR="008125E3">
        <w:rPr>
          <w:rFonts w:cs="Arial"/>
          <w:lang w:val="en-US"/>
        </w:rPr>
        <w:t>T8</w:t>
      </w:r>
      <w:r w:rsidR="00BF6EF8">
        <w:rPr>
          <w:rFonts w:cs="Arial"/>
          <w:lang w:val="en-US"/>
        </w:rPr>
        <w:t xml:space="preserve">) </w:t>
      </w:r>
      <w:r>
        <w:rPr>
          <w:rFonts w:cs="Arial"/>
          <w:lang w:val="en-US"/>
        </w:rPr>
        <w:t>without compromising the</w:t>
      </w:r>
      <w:r w:rsidR="00BF6EF8">
        <w:rPr>
          <w:rFonts w:cs="Arial"/>
          <w:lang w:val="en-US"/>
        </w:rPr>
        <w:t xml:space="preserve"> </w:t>
      </w:r>
      <w:r>
        <w:rPr>
          <w:rFonts w:cs="Arial"/>
          <w:lang w:val="en-US"/>
        </w:rPr>
        <w:t xml:space="preserve">fluorescence intensity obtained </w:t>
      </w:r>
      <w:r w:rsidR="00BF6EF8">
        <w:rPr>
          <w:rFonts w:cs="Arial"/>
          <w:lang w:val="en-US"/>
        </w:rPr>
        <w:t>in stimulatory conditions</w:t>
      </w:r>
      <w:r w:rsidR="00D62760">
        <w:rPr>
          <w:rFonts w:cs="Arial"/>
          <w:lang w:val="en-US"/>
        </w:rPr>
        <w:t xml:space="preserve"> (</w:t>
      </w:r>
      <w:r w:rsidR="00BF6EF8">
        <w:rPr>
          <w:rFonts w:cs="Arial"/>
          <w:lang w:val="en-US"/>
        </w:rPr>
        <w:t>TRAP-6</w:t>
      </w:r>
      <w:r w:rsidR="008125E3">
        <w:rPr>
          <w:rFonts w:cs="Arial"/>
          <w:lang w:val="en-US"/>
        </w:rPr>
        <w:t>, T9</w:t>
      </w:r>
      <w:r w:rsidR="00BF6EF8">
        <w:rPr>
          <w:rFonts w:cs="Arial"/>
          <w:lang w:val="en-US"/>
        </w:rPr>
        <w:t>)</w:t>
      </w:r>
      <w:r w:rsidR="00967A61">
        <w:rPr>
          <w:rFonts w:cs="Arial"/>
          <w:lang w:val="en-US"/>
        </w:rPr>
        <w:t xml:space="preserve"> (</w:t>
      </w:r>
      <w:r w:rsidR="00967A61" w:rsidRPr="00134D3B">
        <w:rPr>
          <w:rFonts w:cs="Arial"/>
          <w:b/>
          <w:bCs/>
          <w:highlight w:val="lightGray"/>
          <w:lang w:val="en-US"/>
        </w:rPr>
        <w:t xml:space="preserve">Figure </w:t>
      </w:r>
      <w:r w:rsidR="00501A9C" w:rsidRPr="00134D3B">
        <w:rPr>
          <w:rFonts w:cs="Arial"/>
          <w:b/>
          <w:bCs/>
          <w:highlight w:val="lightGray"/>
          <w:lang w:val="en-US"/>
        </w:rPr>
        <w:t>3</w:t>
      </w:r>
      <w:r w:rsidR="00967A61">
        <w:rPr>
          <w:rFonts w:cs="Arial"/>
          <w:lang w:val="en-US"/>
        </w:rPr>
        <w:t>)</w:t>
      </w:r>
      <w:r w:rsidR="00BF6EF8">
        <w:rPr>
          <w:rFonts w:cs="Arial"/>
          <w:lang w:val="en-US"/>
        </w:rPr>
        <w:t>.</w:t>
      </w:r>
    </w:p>
    <w:p w:rsidR="009E7CD3" w:rsidRDefault="009E7CD3" w:rsidP="009E7CD3">
      <w:pPr>
        <w:jc w:val="center"/>
        <w:rPr>
          <w:rFonts w:cs="Arial"/>
          <w:lang w:val="en-US"/>
        </w:rPr>
      </w:pPr>
      <w:r>
        <w:rPr>
          <w:noProof/>
        </w:rPr>
        <w:drawing>
          <wp:inline distT="0" distB="0" distL="0" distR="0" wp14:anchorId="3AE4DF07" wp14:editId="321F0C6B">
            <wp:extent cx="2644481" cy="1523751"/>
            <wp:effectExtent l="0" t="0" r="3810" b="63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668119" cy="1537371"/>
                    </a:xfrm>
                    <a:prstGeom prst="rect">
                      <a:avLst/>
                    </a:prstGeom>
                  </pic:spPr>
                </pic:pic>
              </a:graphicData>
            </a:graphic>
          </wp:inline>
        </w:drawing>
      </w:r>
    </w:p>
    <w:p w:rsidR="00501A9C" w:rsidRPr="009D42E4" w:rsidRDefault="00501A9C" w:rsidP="00501A9C">
      <w:pPr>
        <w:pStyle w:val="Legenda"/>
        <w:rPr>
          <w:lang w:val="en-US"/>
        </w:rPr>
      </w:pPr>
      <w:bookmarkStart w:id="6" w:name="_Hlk28759829"/>
      <w:r w:rsidRPr="00134D3B">
        <w:rPr>
          <w:b/>
          <w:bCs/>
          <w:lang w:val="en-US"/>
        </w:rPr>
        <w:t xml:space="preserve">Figure </w:t>
      </w:r>
      <w:r w:rsidRPr="00134D3B">
        <w:rPr>
          <w:b/>
          <w:bCs/>
        </w:rPr>
        <w:fldChar w:fldCharType="begin"/>
      </w:r>
      <w:r w:rsidRPr="00134D3B">
        <w:rPr>
          <w:b/>
          <w:bCs/>
          <w:lang w:val="en-US"/>
        </w:rPr>
        <w:instrText xml:space="preserve"> SEQ Figure \* ARABIC </w:instrText>
      </w:r>
      <w:r w:rsidRPr="00134D3B">
        <w:rPr>
          <w:b/>
          <w:bCs/>
        </w:rPr>
        <w:fldChar w:fldCharType="separate"/>
      </w:r>
      <w:r w:rsidRPr="00134D3B">
        <w:rPr>
          <w:b/>
          <w:bCs/>
          <w:noProof/>
          <w:lang w:val="en-US"/>
        </w:rPr>
        <w:t>3</w:t>
      </w:r>
      <w:r w:rsidRPr="00134D3B">
        <w:rPr>
          <w:b/>
          <w:bCs/>
        </w:rPr>
        <w:fldChar w:fldCharType="end"/>
      </w:r>
      <w:r w:rsidRPr="00134D3B">
        <w:rPr>
          <w:b/>
          <w:bCs/>
          <w:lang w:val="en-US"/>
        </w:rPr>
        <w:t>.</w:t>
      </w:r>
      <w:r w:rsidRPr="00501A9C">
        <w:rPr>
          <w:lang w:val="en-US"/>
        </w:rPr>
        <w:t xml:space="preserve"> </w:t>
      </w:r>
      <w:r>
        <w:rPr>
          <w:lang w:val="en-US"/>
        </w:rPr>
        <w:t xml:space="preserve">Median fluorescence intensity at FL1 of blood PLTs from a healthy control stained with 20 </w:t>
      </w:r>
      <w:r>
        <w:rPr>
          <w:rFonts w:cs="Arial"/>
          <w:lang w:val="en-US"/>
        </w:rPr>
        <w:t>µ</w:t>
      </w:r>
      <w:r>
        <w:rPr>
          <w:lang w:val="en-US"/>
        </w:rPr>
        <w:t xml:space="preserve">L, 10 </w:t>
      </w:r>
      <w:r>
        <w:rPr>
          <w:rFonts w:cs="Arial"/>
          <w:lang w:val="en-US"/>
        </w:rPr>
        <w:t>µ</w:t>
      </w:r>
      <w:r>
        <w:rPr>
          <w:lang w:val="en-US"/>
        </w:rPr>
        <w:t xml:space="preserve">L and 5 </w:t>
      </w:r>
      <w:r>
        <w:rPr>
          <w:rFonts w:cs="Arial"/>
          <w:lang w:val="en-US"/>
        </w:rPr>
        <w:t>µ</w:t>
      </w:r>
      <w:r>
        <w:rPr>
          <w:lang w:val="en-US"/>
        </w:rPr>
        <w:t xml:space="preserve">L of anti-bFG FITC, at inhibitory (T7, EDTA), basal (non-stimulated; T8, PBS) and stimulatory conditions (T9, TRAP-6 10 </w:t>
      </w:r>
      <w:r>
        <w:rPr>
          <w:rFonts w:cs="Arial"/>
          <w:lang w:val="en-US"/>
        </w:rPr>
        <w:t>µ</w:t>
      </w:r>
      <w:r>
        <w:rPr>
          <w:lang w:val="en-US"/>
        </w:rPr>
        <w:t>M).</w:t>
      </w:r>
    </w:p>
    <w:bookmarkEnd w:id="6"/>
    <w:p w:rsidR="00C52C3C" w:rsidRDefault="008125E3" w:rsidP="00C52C3C">
      <w:pPr>
        <w:rPr>
          <w:lang w:val="en-GB"/>
        </w:rPr>
      </w:pPr>
      <w:r>
        <w:rPr>
          <w:lang w:val="en-GB"/>
        </w:rPr>
        <w:t>Next, we tested t</w:t>
      </w:r>
      <w:r w:rsidR="00FB2465" w:rsidRPr="00FB2465">
        <w:rPr>
          <w:lang w:val="en-GB"/>
        </w:rPr>
        <w:t>he stability of the</w:t>
      </w:r>
      <w:r w:rsidR="006F718E">
        <w:rPr>
          <w:lang w:val="en-GB"/>
        </w:rPr>
        <w:t xml:space="preserve"> </w:t>
      </w:r>
      <w:r w:rsidR="00FB2465" w:rsidRPr="00FB2465">
        <w:rPr>
          <w:lang w:val="en-GB"/>
        </w:rPr>
        <w:t xml:space="preserve">fluorescence intensity over time </w:t>
      </w:r>
      <w:r w:rsidR="000223CD">
        <w:rPr>
          <w:lang w:val="en-GB"/>
        </w:rPr>
        <w:t>in</w:t>
      </w:r>
      <w:r w:rsidR="006F718E">
        <w:rPr>
          <w:lang w:val="en-GB"/>
        </w:rPr>
        <w:t xml:space="preserve"> </w:t>
      </w:r>
      <w:r>
        <w:rPr>
          <w:lang w:val="en-GB"/>
        </w:rPr>
        <w:t xml:space="preserve">2 </w:t>
      </w:r>
      <w:r w:rsidR="006F718E">
        <w:rPr>
          <w:lang w:val="en-GB"/>
        </w:rPr>
        <w:t xml:space="preserve">blood samples </w:t>
      </w:r>
      <w:r>
        <w:rPr>
          <w:lang w:val="en-GB"/>
        </w:rPr>
        <w:t xml:space="preserve">from </w:t>
      </w:r>
      <w:r w:rsidR="006F718E">
        <w:rPr>
          <w:lang w:val="en-GB"/>
        </w:rPr>
        <w:t>healthy controls</w:t>
      </w:r>
      <w:r w:rsidR="000223CD">
        <w:rPr>
          <w:lang w:val="en-GB"/>
        </w:rPr>
        <w:t>, by</w:t>
      </w:r>
      <w:r w:rsidR="00FB2465" w:rsidRPr="00FB2465">
        <w:rPr>
          <w:lang w:val="en-GB"/>
        </w:rPr>
        <w:t xml:space="preserve"> reading</w:t>
      </w:r>
      <w:r w:rsidR="00FB2465">
        <w:rPr>
          <w:lang w:val="en-GB"/>
        </w:rPr>
        <w:t xml:space="preserve"> the</w:t>
      </w:r>
      <w:r w:rsidR="006F718E">
        <w:rPr>
          <w:lang w:val="en-GB"/>
        </w:rPr>
        <w:t>m</w:t>
      </w:r>
      <w:r w:rsidR="00FB2465">
        <w:rPr>
          <w:lang w:val="en-GB"/>
        </w:rPr>
        <w:t xml:space="preserve"> in the flow cytometer immediately </w:t>
      </w:r>
      <w:r w:rsidR="00FB2465" w:rsidRPr="00FB2465">
        <w:rPr>
          <w:lang w:val="en-GB"/>
        </w:rPr>
        <w:t>after processing (</w:t>
      </w:r>
      <w:r w:rsidR="00FB2465">
        <w:rPr>
          <w:lang w:val="en-GB"/>
        </w:rPr>
        <w:t>T0</w:t>
      </w:r>
      <w:r w:rsidR="00FB2465" w:rsidRPr="00FB2465">
        <w:rPr>
          <w:lang w:val="en-GB"/>
        </w:rPr>
        <w:t>), 1 hour later (</w:t>
      </w:r>
      <w:r w:rsidR="00FB2465">
        <w:rPr>
          <w:lang w:val="en-GB"/>
        </w:rPr>
        <w:t>T1</w:t>
      </w:r>
      <w:r w:rsidR="00FB2465" w:rsidRPr="00FB2465">
        <w:rPr>
          <w:lang w:val="en-GB"/>
        </w:rPr>
        <w:t>) and 3 hours later (</w:t>
      </w:r>
      <w:r w:rsidR="00FB2465">
        <w:rPr>
          <w:lang w:val="en-GB"/>
        </w:rPr>
        <w:t>T3</w:t>
      </w:r>
      <w:r w:rsidR="00FB2465" w:rsidRPr="00FB2465">
        <w:rPr>
          <w:lang w:val="en-GB"/>
        </w:rPr>
        <w:t xml:space="preserve">). </w:t>
      </w:r>
      <w:r w:rsidR="00967A61">
        <w:rPr>
          <w:lang w:val="en-GB"/>
        </w:rPr>
        <w:t>We observed that the median fluorescence intensity</w:t>
      </w:r>
      <w:r w:rsidR="00CD41E1">
        <w:rPr>
          <w:lang w:val="en-GB"/>
        </w:rPr>
        <w:t xml:space="preserve"> (MFI)</w:t>
      </w:r>
      <w:r w:rsidR="00967A61">
        <w:rPr>
          <w:lang w:val="en-GB"/>
        </w:rPr>
        <w:t xml:space="preserve"> </w:t>
      </w:r>
      <w:r w:rsidR="000223CD">
        <w:rPr>
          <w:lang w:val="en-GB"/>
        </w:rPr>
        <w:t xml:space="preserve">rapidly </w:t>
      </w:r>
      <w:r w:rsidR="00967A61">
        <w:rPr>
          <w:lang w:val="en-GB"/>
        </w:rPr>
        <w:t>decreased over time, especially for PAC-1 FITC</w:t>
      </w:r>
      <w:r w:rsidR="000223CD">
        <w:rPr>
          <w:lang w:val="en-GB"/>
        </w:rPr>
        <w:t>, indicating reversibility of the activation-induced PLT changes</w:t>
      </w:r>
      <w:r w:rsidR="00967A61">
        <w:rPr>
          <w:lang w:val="en-GB"/>
        </w:rPr>
        <w:t xml:space="preserve"> (</w:t>
      </w:r>
      <w:r w:rsidR="00967A61" w:rsidRPr="00134D3B">
        <w:rPr>
          <w:b/>
          <w:bCs/>
          <w:highlight w:val="lightGray"/>
          <w:lang w:val="en-GB"/>
        </w:rPr>
        <w:t xml:space="preserve">Figure </w:t>
      </w:r>
      <w:r w:rsidR="00686B5D" w:rsidRPr="00134D3B">
        <w:rPr>
          <w:b/>
          <w:bCs/>
          <w:highlight w:val="lightGray"/>
          <w:lang w:val="en-GB"/>
        </w:rPr>
        <w:t>4</w:t>
      </w:r>
      <w:r w:rsidR="000223CD">
        <w:rPr>
          <w:lang w:val="en-GB"/>
        </w:rPr>
        <w:t>).</w:t>
      </w:r>
    </w:p>
    <w:p w:rsidR="009E7CD3" w:rsidRDefault="009E7CD3" w:rsidP="007B0EF5">
      <w:pPr>
        <w:jc w:val="center"/>
        <w:rPr>
          <w:lang w:val="en-GB"/>
        </w:rPr>
      </w:pPr>
      <w:r>
        <w:rPr>
          <w:noProof/>
        </w:rPr>
        <w:drawing>
          <wp:inline distT="0" distB="0" distL="0" distR="0" wp14:anchorId="7CB54A09" wp14:editId="5FDA9763">
            <wp:extent cx="4051300" cy="1823086"/>
            <wp:effectExtent l="0" t="0" r="6350" b="571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077193" cy="1834738"/>
                    </a:xfrm>
                    <a:prstGeom prst="rect">
                      <a:avLst/>
                    </a:prstGeom>
                  </pic:spPr>
                </pic:pic>
              </a:graphicData>
            </a:graphic>
          </wp:inline>
        </w:drawing>
      </w:r>
    </w:p>
    <w:p w:rsidR="000223CD" w:rsidRDefault="000223CD" w:rsidP="000223CD">
      <w:pPr>
        <w:pStyle w:val="Legenda"/>
        <w:rPr>
          <w:lang w:val="en-US"/>
        </w:rPr>
      </w:pPr>
      <w:r w:rsidRPr="00134D3B">
        <w:rPr>
          <w:b/>
          <w:bCs/>
          <w:lang w:val="en-US"/>
        </w:rPr>
        <w:t xml:space="preserve">Figure </w:t>
      </w:r>
      <w:r w:rsidRPr="00134D3B">
        <w:rPr>
          <w:b/>
          <w:bCs/>
        </w:rPr>
        <w:fldChar w:fldCharType="begin"/>
      </w:r>
      <w:r w:rsidRPr="00134D3B">
        <w:rPr>
          <w:b/>
          <w:bCs/>
          <w:lang w:val="en-US"/>
        </w:rPr>
        <w:instrText xml:space="preserve"> SEQ Figure \* ARABIC </w:instrText>
      </w:r>
      <w:r w:rsidRPr="00134D3B">
        <w:rPr>
          <w:b/>
          <w:bCs/>
        </w:rPr>
        <w:fldChar w:fldCharType="separate"/>
      </w:r>
      <w:r w:rsidRPr="00134D3B">
        <w:rPr>
          <w:b/>
          <w:bCs/>
          <w:noProof/>
          <w:lang w:val="en-US"/>
        </w:rPr>
        <w:t>4</w:t>
      </w:r>
      <w:r w:rsidRPr="00134D3B">
        <w:rPr>
          <w:b/>
          <w:bCs/>
        </w:rPr>
        <w:fldChar w:fldCharType="end"/>
      </w:r>
      <w:r w:rsidRPr="00134D3B">
        <w:rPr>
          <w:b/>
          <w:bCs/>
          <w:lang w:val="en-US"/>
        </w:rPr>
        <w:t>.</w:t>
      </w:r>
      <w:r w:rsidRPr="00501A9C">
        <w:rPr>
          <w:lang w:val="en-US"/>
        </w:rPr>
        <w:t xml:space="preserve"> </w:t>
      </w:r>
      <w:r>
        <w:rPr>
          <w:lang w:val="en-US"/>
        </w:rPr>
        <w:t>Median fluorescence intensity at FL1 of blood PLTs from 2 healthy controls stained stimulated with TRAP-6 and stained with anti-PAC1</w:t>
      </w:r>
      <w:r w:rsidR="00686B5D">
        <w:rPr>
          <w:lang w:val="en-US"/>
        </w:rPr>
        <w:t xml:space="preserve"> FITC</w:t>
      </w:r>
      <w:r>
        <w:rPr>
          <w:lang w:val="en-US"/>
        </w:rPr>
        <w:t xml:space="preserve"> or with anti-bFG</w:t>
      </w:r>
      <w:r w:rsidR="00686B5D">
        <w:rPr>
          <w:lang w:val="en-US"/>
        </w:rPr>
        <w:t xml:space="preserve"> FITC</w:t>
      </w:r>
      <w:r>
        <w:rPr>
          <w:lang w:val="en-US"/>
        </w:rPr>
        <w:t>, when reading in the flow cytometer immediately (T0), 1 hour after (T1) and 3 hours after (T3) finishing sample processin</w:t>
      </w:r>
      <w:r w:rsidR="00CD41E1">
        <w:rPr>
          <w:lang w:val="en-US"/>
        </w:rPr>
        <w:t>g,</w:t>
      </w:r>
    </w:p>
    <w:p w:rsidR="009E7CD3" w:rsidRDefault="000223CD" w:rsidP="000223CD">
      <w:pPr>
        <w:rPr>
          <w:color w:val="000000"/>
          <w:shd w:val="clear" w:color="auto" w:fill="FFFFFF"/>
          <w:lang w:val="en-US"/>
        </w:rPr>
      </w:pPr>
      <w:r>
        <w:rPr>
          <w:lang w:val="en-US"/>
        </w:rPr>
        <w:lastRenderedPageBreak/>
        <w:t>Taking in consideration what was said above, we decided to fix the PLT with</w:t>
      </w:r>
      <w:r w:rsidR="00CD41E1">
        <w:rPr>
          <w:lang w:val="en-US"/>
        </w:rPr>
        <w:t xml:space="preserve"> </w:t>
      </w:r>
      <w:bookmarkStart w:id="7" w:name="_Hlk28762672"/>
      <w:r w:rsidR="00CD41E1">
        <w:rPr>
          <w:lang w:val="en-US"/>
        </w:rPr>
        <w:t>0.5%</w:t>
      </w:r>
      <w:r>
        <w:rPr>
          <w:lang w:val="en-US"/>
        </w:rPr>
        <w:t xml:space="preserve"> </w:t>
      </w:r>
      <w:r w:rsidRPr="000223CD">
        <w:rPr>
          <w:color w:val="000000"/>
          <w:shd w:val="clear" w:color="auto" w:fill="FFFFFF"/>
          <w:lang w:val="en-US"/>
        </w:rPr>
        <w:t>formaldehyde</w:t>
      </w:r>
      <w:r w:rsidR="00CD41E1">
        <w:rPr>
          <w:color w:val="000000"/>
          <w:shd w:val="clear" w:color="auto" w:fill="FFFFFF"/>
          <w:lang w:val="en-US"/>
        </w:rPr>
        <w:t xml:space="preserve"> </w:t>
      </w:r>
      <w:bookmarkEnd w:id="7"/>
      <w:r w:rsidR="00CD41E1">
        <w:rPr>
          <w:color w:val="000000"/>
          <w:shd w:val="clear" w:color="auto" w:fill="FFFFFF"/>
          <w:lang w:val="en-US"/>
        </w:rPr>
        <w:t xml:space="preserve">immediately after finishing sample processing. </w:t>
      </w:r>
    </w:p>
    <w:p w:rsidR="000223CD" w:rsidRDefault="00CD41E1" w:rsidP="000223CD">
      <w:pPr>
        <w:rPr>
          <w:color w:val="000000"/>
          <w:shd w:val="clear" w:color="auto" w:fill="FFFFFF"/>
          <w:lang w:val="en-US"/>
        </w:rPr>
      </w:pPr>
      <w:r>
        <w:rPr>
          <w:color w:val="000000"/>
          <w:shd w:val="clear" w:color="auto" w:fill="FFFFFF"/>
          <w:lang w:val="en-US"/>
        </w:rPr>
        <w:t>We observed that PLT fixation markedly increase the MFI</w:t>
      </w:r>
      <w:r w:rsidR="00686B5D">
        <w:rPr>
          <w:color w:val="000000"/>
          <w:shd w:val="clear" w:color="auto" w:fill="FFFFFF"/>
          <w:lang w:val="en-US"/>
        </w:rPr>
        <w:t xml:space="preserve"> of staining with anti-PAC-1 FITC and anti-bFG FITC, both in TRAP-6-stimulated and in ADP-stimulated PLTs, without relevant changes in background staining (</w:t>
      </w:r>
      <w:r w:rsidR="00686B5D" w:rsidRPr="00134D3B">
        <w:rPr>
          <w:b/>
          <w:bCs/>
          <w:color w:val="000000"/>
          <w:highlight w:val="lightGray"/>
          <w:shd w:val="clear" w:color="auto" w:fill="FFFFFF"/>
          <w:lang w:val="en-US"/>
        </w:rPr>
        <w:t>Figure 5</w:t>
      </w:r>
      <w:r w:rsidR="00686B5D">
        <w:rPr>
          <w:color w:val="000000"/>
          <w:shd w:val="clear" w:color="auto" w:fill="FFFFFF"/>
          <w:lang w:val="en-US"/>
        </w:rPr>
        <w:t>)</w:t>
      </w:r>
      <w:r w:rsidR="009E7CD3">
        <w:rPr>
          <w:color w:val="000000"/>
          <w:shd w:val="clear" w:color="auto" w:fill="FFFFFF"/>
          <w:lang w:val="en-US"/>
        </w:rPr>
        <w:t>, and that the MFI of the stained PLTs remained stable for at least 24 hours (</w:t>
      </w:r>
      <w:r w:rsidR="009E7CD3" w:rsidRPr="00134D3B">
        <w:rPr>
          <w:b/>
          <w:bCs/>
          <w:color w:val="000000"/>
          <w:highlight w:val="lightGray"/>
          <w:shd w:val="clear" w:color="auto" w:fill="FFFFFF"/>
          <w:lang w:val="en-US"/>
        </w:rPr>
        <w:t>Figure 6</w:t>
      </w:r>
      <w:r w:rsidR="009E7CD3">
        <w:rPr>
          <w:color w:val="000000"/>
          <w:shd w:val="clear" w:color="auto" w:fill="FFFFFF"/>
          <w:lang w:val="en-US"/>
        </w:rPr>
        <w:t>).</w:t>
      </w:r>
    </w:p>
    <w:p w:rsidR="009E7CD3" w:rsidRDefault="009E7CD3" w:rsidP="00A50434">
      <w:pPr>
        <w:spacing w:after="0"/>
        <w:jc w:val="center"/>
        <w:rPr>
          <w:color w:val="000000"/>
          <w:shd w:val="clear" w:color="auto" w:fill="FFFFFF"/>
          <w:lang w:val="en-US"/>
        </w:rPr>
      </w:pPr>
      <w:r>
        <w:rPr>
          <w:noProof/>
        </w:rPr>
        <w:drawing>
          <wp:inline distT="0" distB="0" distL="0" distR="0" wp14:anchorId="6090A357" wp14:editId="1A27E7BC">
            <wp:extent cx="3241991" cy="2860887"/>
            <wp:effectExtent l="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265068" cy="2881251"/>
                    </a:xfrm>
                    <a:prstGeom prst="rect">
                      <a:avLst/>
                    </a:prstGeom>
                  </pic:spPr>
                </pic:pic>
              </a:graphicData>
            </a:graphic>
          </wp:inline>
        </w:drawing>
      </w:r>
    </w:p>
    <w:p w:rsidR="00686B5D" w:rsidRDefault="00686B5D" w:rsidP="00686B5D">
      <w:pPr>
        <w:pStyle w:val="Legenda"/>
        <w:rPr>
          <w:lang w:val="en-US"/>
        </w:rPr>
      </w:pPr>
      <w:r w:rsidRPr="00134D3B">
        <w:rPr>
          <w:b/>
          <w:bCs/>
          <w:lang w:val="en-US"/>
        </w:rPr>
        <w:t xml:space="preserve">Figure </w:t>
      </w:r>
      <w:r w:rsidRPr="00134D3B">
        <w:rPr>
          <w:b/>
          <w:bCs/>
        </w:rPr>
        <w:fldChar w:fldCharType="begin"/>
      </w:r>
      <w:r w:rsidRPr="00134D3B">
        <w:rPr>
          <w:b/>
          <w:bCs/>
          <w:lang w:val="en-US"/>
        </w:rPr>
        <w:instrText xml:space="preserve"> SEQ Figure \* ARABIC </w:instrText>
      </w:r>
      <w:r w:rsidRPr="00134D3B">
        <w:rPr>
          <w:b/>
          <w:bCs/>
        </w:rPr>
        <w:fldChar w:fldCharType="separate"/>
      </w:r>
      <w:r w:rsidRPr="00134D3B">
        <w:rPr>
          <w:b/>
          <w:bCs/>
          <w:noProof/>
          <w:lang w:val="en-US"/>
        </w:rPr>
        <w:t>5</w:t>
      </w:r>
      <w:r w:rsidRPr="00134D3B">
        <w:rPr>
          <w:b/>
          <w:bCs/>
        </w:rPr>
        <w:fldChar w:fldCharType="end"/>
      </w:r>
      <w:r w:rsidRPr="00134D3B">
        <w:rPr>
          <w:b/>
          <w:bCs/>
          <w:lang w:val="en-US"/>
        </w:rPr>
        <w:t>.</w:t>
      </w:r>
      <w:r w:rsidRPr="00501A9C">
        <w:rPr>
          <w:lang w:val="en-US"/>
        </w:rPr>
        <w:t xml:space="preserve"> </w:t>
      </w:r>
      <w:r>
        <w:rPr>
          <w:lang w:val="en-US"/>
        </w:rPr>
        <w:t xml:space="preserve">Median fluorescence intensity at FL1 of blood PLTs from 4 healthy controls stimulated with TRAP-6 or with ADP, stained with anti-PAC1 FITC or with anti-bFG FITC, and read in the flow cytometer immediately after staining (T0), </w:t>
      </w:r>
      <w:r w:rsidR="00483140">
        <w:rPr>
          <w:lang w:val="en-US"/>
        </w:rPr>
        <w:t xml:space="preserve">without fixation (T0 NF) and after being fixed with </w:t>
      </w:r>
      <w:r w:rsidR="00483140" w:rsidRPr="00483140">
        <w:rPr>
          <w:lang w:val="en-US"/>
        </w:rPr>
        <w:t>0.5% formaldehyde</w:t>
      </w:r>
      <w:r w:rsidR="00483140">
        <w:rPr>
          <w:lang w:val="en-US"/>
        </w:rPr>
        <w:t xml:space="preserve"> (T0 F).</w:t>
      </w:r>
    </w:p>
    <w:p w:rsidR="00483140" w:rsidRDefault="009E7CD3" w:rsidP="00A50434">
      <w:pPr>
        <w:spacing w:after="0"/>
        <w:jc w:val="center"/>
        <w:rPr>
          <w:lang w:val="en-GB"/>
        </w:rPr>
      </w:pPr>
      <w:r>
        <w:rPr>
          <w:noProof/>
        </w:rPr>
        <w:drawing>
          <wp:inline distT="0" distB="0" distL="0" distR="0" wp14:anchorId="7117BB6E" wp14:editId="367E5CEE">
            <wp:extent cx="3351967" cy="2945665"/>
            <wp:effectExtent l="0" t="0" r="1270" b="762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376489" cy="2967215"/>
                    </a:xfrm>
                    <a:prstGeom prst="rect">
                      <a:avLst/>
                    </a:prstGeom>
                  </pic:spPr>
                </pic:pic>
              </a:graphicData>
            </a:graphic>
          </wp:inline>
        </w:drawing>
      </w:r>
    </w:p>
    <w:p w:rsidR="00483140" w:rsidRDefault="00483140" w:rsidP="00483140">
      <w:pPr>
        <w:pStyle w:val="Legenda"/>
        <w:rPr>
          <w:lang w:val="en-US"/>
        </w:rPr>
      </w:pPr>
      <w:r w:rsidRPr="00134D3B">
        <w:rPr>
          <w:b/>
          <w:bCs/>
          <w:lang w:val="en-US"/>
        </w:rPr>
        <w:t xml:space="preserve">Figure </w:t>
      </w:r>
      <w:r w:rsidRPr="00134D3B">
        <w:rPr>
          <w:b/>
          <w:bCs/>
        </w:rPr>
        <w:fldChar w:fldCharType="begin"/>
      </w:r>
      <w:r w:rsidRPr="00134D3B">
        <w:rPr>
          <w:b/>
          <w:bCs/>
          <w:lang w:val="en-US"/>
        </w:rPr>
        <w:instrText xml:space="preserve"> SEQ Figure \* ARABIC </w:instrText>
      </w:r>
      <w:r w:rsidRPr="00134D3B">
        <w:rPr>
          <w:b/>
          <w:bCs/>
        </w:rPr>
        <w:fldChar w:fldCharType="separate"/>
      </w:r>
      <w:r w:rsidRPr="00134D3B">
        <w:rPr>
          <w:b/>
          <w:bCs/>
          <w:noProof/>
          <w:lang w:val="en-US"/>
        </w:rPr>
        <w:t>6</w:t>
      </w:r>
      <w:r w:rsidRPr="00134D3B">
        <w:rPr>
          <w:b/>
          <w:bCs/>
        </w:rPr>
        <w:fldChar w:fldCharType="end"/>
      </w:r>
      <w:r w:rsidRPr="00134D3B">
        <w:rPr>
          <w:b/>
          <w:bCs/>
          <w:lang w:val="en-US"/>
        </w:rPr>
        <w:t>.</w:t>
      </w:r>
      <w:r w:rsidRPr="00501A9C">
        <w:rPr>
          <w:lang w:val="en-US"/>
        </w:rPr>
        <w:t xml:space="preserve"> </w:t>
      </w:r>
      <w:r>
        <w:rPr>
          <w:lang w:val="en-US"/>
        </w:rPr>
        <w:t xml:space="preserve">Median fluorescence intensity (MFI) at FL1 of blood PLTs from 4 healthy controls stimulated with TRAP-6 or with ADP, stained with anti-PAC1 FITC or with anti-bFG FITC, fixed with </w:t>
      </w:r>
      <w:r w:rsidRPr="00483140">
        <w:rPr>
          <w:lang w:val="en-US"/>
        </w:rPr>
        <w:t>0.5% formaldehyde</w:t>
      </w:r>
      <w:r>
        <w:rPr>
          <w:lang w:val="en-US"/>
        </w:rPr>
        <w:t xml:space="preserve"> and read in the flow cytometer immediately after staining (T0 F) and 24 hours after staining (T24 F).</w:t>
      </w:r>
    </w:p>
    <w:p w:rsidR="008C58A1" w:rsidRPr="00C52C3C" w:rsidRDefault="008C58A1" w:rsidP="00C52C3C">
      <w:pPr>
        <w:rPr>
          <w:lang w:val="en-GB"/>
        </w:rPr>
      </w:pPr>
      <w:r>
        <w:rPr>
          <w:lang w:val="en-GB"/>
        </w:rPr>
        <w:t xml:space="preserve">Once established the experimental conditions, we performed </w:t>
      </w:r>
      <w:r w:rsidR="008D42EC">
        <w:rPr>
          <w:lang w:val="en-GB"/>
        </w:rPr>
        <w:t xml:space="preserve">validation tests, which included </w:t>
      </w:r>
      <w:r>
        <w:rPr>
          <w:lang w:val="en-GB"/>
        </w:rPr>
        <w:t>accuracy tests to determine the intra-operator repeatability and the reproducibility between operators (intermediate precision)</w:t>
      </w:r>
      <w:r w:rsidR="008D42EC">
        <w:rPr>
          <w:lang w:val="en-GB"/>
        </w:rPr>
        <w:t>, as well as to estimate the sensitivity and specificity for the diagnosis of GTLS</w:t>
      </w:r>
      <w:r>
        <w:rPr>
          <w:lang w:val="en-GB"/>
        </w:rPr>
        <w:t>.</w:t>
      </w:r>
    </w:p>
    <w:p w:rsidR="00C741F7" w:rsidRDefault="00C741F7" w:rsidP="00247B90">
      <w:pPr>
        <w:pStyle w:val="Ttulo5"/>
        <w:rPr>
          <w:lang w:val="en-GB"/>
        </w:rPr>
      </w:pPr>
      <w:r>
        <w:rPr>
          <w:lang w:val="en-GB"/>
        </w:rPr>
        <w:lastRenderedPageBreak/>
        <w:t>Validation tests</w:t>
      </w:r>
    </w:p>
    <w:p w:rsidR="008C58A1" w:rsidRDefault="009F4D3F" w:rsidP="00247B90">
      <w:pPr>
        <w:pStyle w:val="Ttulo6"/>
        <w:rPr>
          <w:lang w:val="en-GB"/>
        </w:rPr>
      </w:pPr>
      <w:r>
        <w:rPr>
          <w:lang w:val="en-GB"/>
        </w:rPr>
        <w:t>Reliability</w:t>
      </w:r>
      <w:r w:rsidR="008C58A1">
        <w:rPr>
          <w:lang w:val="en-GB"/>
        </w:rPr>
        <w:t xml:space="preserve"> tests</w:t>
      </w:r>
    </w:p>
    <w:p w:rsidR="00F15F1B" w:rsidRPr="00F15F1B" w:rsidRDefault="009F4D3F" w:rsidP="00F15F1B">
      <w:pPr>
        <w:rPr>
          <w:lang w:val="en-GB"/>
        </w:rPr>
      </w:pPr>
      <w:r>
        <w:rPr>
          <w:lang w:val="en-GB"/>
        </w:rPr>
        <w:t>Reliability</w:t>
      </w:r>
      <w:r w:rsidR="00F15F1B">
        <w:rPr>
          <w:lang w:val="en-GB"/>
        </w:rPr>
        <w:t xml:space="preserve"> tests revealed a good to excellent </w:t>
      </w:r>
      <w:r w:rsidR="00F15F1B" w:rsidRPr="00F15F1B">
        <w:rPr>
          <w:lang w:val="en-GB"/>
        </w:rPr>
        <w:t>reproducibility between operators (intermediate precision)</w:t>
      </w:r>
      <w:r w:rsidR="008C58A1">
        <w:rPr>
          <w:lang w:val="en-GB"/>
        </w:rPr>
        <w:t xml:space="preserve"> and intra-operator repeatability</w:t>
      </w:r>
      <w:r w:rsidR="00F15F1B">
        <w:rPr>
          <w:lang w:val="en-GB"/>
        </w:rPr>
        <w:t>, as evaluated by the Intraclass Correlation Coefficients (ICC) for the results obtained</w:t>
      </w:r>
      <w:r w:rsidR="00A50434">
        <w:rPr>
          <w:lang w:val="en-GB"/>
        </w:rPr>
        <w:t xml:space="preserve"> i</w:t>
      </w:r>
      <w:r w:rsidR="00F15F1B">
        <w:rPr>
          <w:lang w:val="en-GB"/>
        </w:rPr>
        <w:t xml:space="preserve">n samples processed in parallel by to operators and in </w:t>
      </w:r>
      <w:r w:rsidR="00F15F1B" w:rsidRPr="00B26676">
        <w:rPr>
          <w:lang w:val="en-GB"/>
        </w:rPr>
        <w:t>samples processed in duplicate by the same operator</w:t>
      </w:r>
      <w:r w:rsidR="00F15F1B">
        <w:rPr>
          <w:lang w:val="en-GB"/>
        </w:rPr>
        <w:t>.</w:t>
      </w:r>
    </w:p>
    <w:p w:rsidR="00B26676" w:rsidRPr="002F4224" w:rsidRDefault="00967A61" w:rsidP="00967A61">
      <w:pPr>
        <w:pStyle w:val="Legenda"/>
        <w:rPr>
          <w:lang w:val="en-US"/>
        </w:rPr>
      </w:pPr>
      <w:r w:rsidRPr="00967A61">
        <w:rPr>
          <w:lang w:val="en-US"/>
        </w:rPr>
        <w:t xml:space="preserve">Table </w:t>
      </w:r>
      <w:r>
        <w:fldChar w:fldCharType="begin"/>
      </w:r>
      <w:r w:rsidRPr="00967A61">
        <w:rPr>
          <w:lang w:val="en-US"/>
        </w:rPr>
        <w:instrText xml:space="preserve"> SEQ Table \* ARABIC </w:instrText>
      </w:r>
      <w:r>
        <w:fldChar w:fldCharType="separate"/>
      </w:r>
      <w:r>
        <w:rPr>
          <w:noProof/>
          <w:lang w:val="en-US"/>
        </w:rPr>
        <w:t>2</w:t>
      </w:r>
      <w:r>
        <w:fldChar w:fldCharType="end"/>
      </w:r>
      <w:r w:rsidRPr="00967A61">
        <w:rPr>
          <w:lang w:val="en-US"/>
        </w:rPr>
        <w:t>.</w:t>
      </w:r>
      <w:r w:rsidR="00B26676" w:rsidRPr="002F4224">
        <w:rPr>
          <w:lang w:val="en-US"/>
        </w:rPr>
        <w:t xml:space="preserve">Test </w:t>
      </w:r>
      <w:r w:rsidR="009F4D3F">
        <w:rPr>
          <w:lang w:val="en-US"/>
        </w:rPr>
        <w:t>reliability</w:t>
      </w:r>
      <w:r w:rsidR="00C52C3C" w:rsidRPr="002F4224">
        <w:rPr>
          <w:lang w:val="en-US"/>
        </w:rPr>
        <w:t xml:space="preserve"> - R</w:t>
      </w:r>
      <w:r w:rsidR="00F15F1B" w:rsidRPr="002F4224">
        <w:rPr>
          <w:lang w:val="en-US"/>
        </w:rPr>
        <w:t xml:space="preserve">eproducibility between operators (intermediate precision) </w:t>
      </w:r>
      <w:r w:rsidR="00B26676" w:rsidRPr="002F4224">
        <w:rPr>
          <w:lang w:val="en-US"/>
        </w:rPr>
        <w:t xml:space="preserve">as evaluated by the Intraclass Correlation coefficient* </w:t>
      </w:r>
      <w:r w:rsidR="00F15F1B" w:rsidRPr="002F4224">
        <w:rPr>
          <w:lang w:val="en-US"/>
        </w:rPr>
        <w:t xml:space="preserve">for the results obtained in </w:t>
      </w:r>
      <w:r w:rsidR="00B26676" w:rsidRPr="002F4224">
        <w:rPr>
          <w:lang w:val="en-US"/>
        </w:rPr>
        <w:t>samples processed in parallel by two operators</w:t>
      </w:r>
    </w:p>
    <w:tbl>
      <w:tblPr>
        <w:tblStyle w:val="TabelacomGrelha"/>
        <w:tblW w:w="0" w:type="auto"/>
        <w:tblLook w:val="04A0" w:firstRow="1" w:lastRow="0" w:firstColumn="1" w:lastColumn="0" w:noHBand="0" w:noVBand="1"/>
      </w:tblPr>
      <w:tblGrid>
        <w:gridCol w:w="2099"/>
        <w:gridCol w:w="1440"/>
        <w:gridCol w:w="1423"/>
        <w:gridCol w:w="1124"/>
        <w:gridCol w:w="1266"/>
        <w:gridCol w:w="981"/>
        <w:gridCol w:w="1403"/>
      </w:tblGrid>
      <w:tr w:rsidR="00B26676" w:rsidRPr="00C70728" w:rsidTr="00501E6D">
        <w:tc>
          <w:tcPr>
            <w:tcW w:w="2099" w:type="dxa"/>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Measurements</w:t>
            </w:r>
          </w:p>
        </w:tc>
        <w:tc>
          <w:tcPr>
            <w:tcW w:w="1440" w:type="dxa"/>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T5+A5-Op1</w:t>
            </w:r>
          </w:p>
          <w:p w:rsidR="00B26676" w:rsidRPr="00C70728" w:rsidRDefault="00B26676" w:rsidP="00B26676">
            <w:pPr>
              <w:spacing w:line="240" w:lineRule="auto"/>
              <w:rPr>
                <w:rFonts w:ascii="Arial Narrow" w:hAnsi="Arial Narrow"/>
                <w:lang w:val="en-US"/>
              </w:rPr>
            </w:pPr>
            <w:r w:rsidRPr="00C70728">
              <w:rPr>
                <w:rFonts w:ascii="Arial Narrow" w:hAnsi="Arial Narrow"/>
                <w:lang w:val="en-US"/>
              </w:rPr>
              <w:t>T5+A5-Op2</w:t>
            </w:r>
          </w:p>
        </w:tc>
        <w:tc>
          <w:tcPr>
            <w:tcW w:w="1423" w:type="dxa"/>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T8+A8-Op1</w:t>
            </w:r>
          </w:p>
          <w:p w:rsidR="00B26676" w:rsidRPr="00C70728" w:rsidRDefault="00B26676" w:rsidP="00B26676">
            <w:pPr>
              <w:spacing w:line="240" w:lineRule="auto"/>
              <w:rPr>
                <w:rFonts w:ascii="Arial Narrow" w:hAnsi="Arial Narrow"/>
                <w:lang w:val="en-US"/>
              </w:rPr>
            </w:pPr>
            <w:r w:rsidRPr="00C70728">
              <w:rPr>
                <w:rFonts w:ascii="Arial Narrow" w:hAnsi="Arial Narrow"/>
                <w:lang w:val="en-US"/>
              </w:rPr>
              <w:t>T8+A8-Op2</w:t>
            </w:r>
          </w:p>
        </w:tc>
        <w:tc>
          <w:tcPr>
            <w:tcW w:w="1124" w:type="dxa"/>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T6-Op1</w:t>
            </w:r>
          </w:p>
          <w:p w:rsidR="00B26676" w:rsidRPr="00C70728" w:rsidRDefault="00B26676" w:rsidP="00B26676">
            <w:pPr>
              <w:spacing w:line="240" w:lineRule="auto"/>
              <w:rPr>
                <w:rFonts w:ascii="Arial Narrow" w:hAnsi="Arial Narrow"/>
                <w:lang w:val="en-US"/>
              </w:rPr>
            </w:pPr>
            <w:r w:rsidRPr="00C70728">
              <w:rPr>
                <w:rFonts w:ascii="Arial Narrow" w:hAnsi="Arial Narrow"/>
                <w:lang w:val="en-US"/>
              </w:rPr>
              <w:t>T6-Op2</w:t>
            </w:r>
          </w:p>
        </w:tc>
        <w:tc>
          <w:tcPr>
            <w:tcW w:w="1266" w:type="dxa"/>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T9-Op1</w:t>
            </w:r>
          </w:p>
          <w:p w:rsidR="00B26676" w:rsidRPr="00C70728" w:rsidRDefault="00B26676" w:rsidP="00B26676">
            <w:pPr>
              <w:spacing w:line="240" w:lineRule="auto"/>
              <w:rPr>
                <w:rFonts w:ascii="Arial Narrow" w:hAnsi="Arial Narrow"/>
                <w:lang w:val="en-US"/>
              </w:rPr>
            </w:pPr>
            <w:r w:rsidRPr="00C70728">
              <w:rPr>
                <w:rFonts w:ascii="Arial Narrow" w:hAnsi="Arial Narrow"/>
                <w:lang w:val="en-US"/>
              </w:rPr>
              <w:t>T9-Op2</w:t>
            </w:r>
          </w:p>
        </w:tc>
        <w:tc>
          <w:tcPr>
            <w:tcW w:w="981" w:type="dxa"/>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A6-Op1</w:t>
            </w:r>
          </w:p>
          <w:p w:rsidR="00B26676" w:rsidRPr="00C70728" w:rsidRDefault="00B26676" w:rsidP="00B26676">
            <w:pPr>
              <w:spacing w:line="240" w:lineRule="auto"/>
              <w:rPr>
                <w:rFonts w:ascii="Arial Narrow" w:hAnsi="Arial Narrow"/>
                <w:lang w:val="en-US"/>
              </w:rPr>
            </w:pPr>
            <w:r w:rsidRPr="00C70728">
              <w:rPr>
                <w:rFonts w:ascii="Arial Narrow" w:hAnsi="Arial Narrow"/>
                <w:lang w:val="en-US"/>
              </w:rPr>
              <w:t>A6-Op2</w:t>
            </w:r>
          </w:p>
        </w:tc>
        <w:tc>
          <w:tcPr>
            <w:tcW w:w="1403" w:type="dxa"/>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A9-Op1</w:t>
            </w:r>
          </w:p>
          <w:p w:rsidR="00B26676" w:rsidRPr="00C70728" w:rsidRDefault="00B26676" w:rsidP="00B26676">
            <w:pPr>
              <w:spacing w:line="240" w:lineRule="auto"/>
              <w:rPr>
                <w:rFonts w:ascii="Arial Narrow" w:hAnsi="Arial Narrow"/>
                <w:lang w:val="en-US"/>
              </w:rPr>
            </w:pPr>
            <w:r w:rsidRPr="00C70728">
              <w:rPr>
                <w:rFonts w:ascii="Arial Narrow" w:hAnsi="Arial Narrow"/>
                <w:lang w:val="en-US"/>
              </w:rPr>
              <w:t>A9-Op2</w:t>
            </w:r>
          </w:p>
        </w:tc>
      </w:tr>
      <w:tr w:rsidR="00B26676" w:rsidRPr="00C70728" w:rsidTr="00501E6D">
        <w:tc>
          <w:tcPr>
            <w:tcW w:w="2099" w:type="dxa"/>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Experiment</w:t>
            </w:r>
          </w:p>
        </w:tc>
        <w:tc>
          <w:tcPr>
            <w:tcW w:w="1440" w:type="dxa"/>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TRAP-6 or</w:t>
            </w:r>
          </w:p>
          <w:p w:rsidR="00B26676" w:rsidRPr="00C70728" w:rsidRDefault="00B26676" w:rsidP="00B26676">
            <w:pPr>
              <w:spacing w:line="240" w:lineRule="auto"/>
              <w:rPr>
                <w:rFonts w:ascii="Arial Narrow" w:hAnsi="Arial Narrow"/>
                <w:lang w:val="en-US"/>
              </w:rPr>
            </w:pPr>
            <w:r w:rsidRPr="00C70728">
              <w:rPr>
                <w:rFonts w:ascii="Arial Narrow" w:hAnsi="Arial Narrow"/>
                <w:lang w:val="en-US"/>
              </w:rPr>
              <w:t>ADP</w:t>
            </w:r>
          </w:p>
        </w:tc>
        <w:tc>
          <w:tcPr>
            <w:tcW w:w="1423" w:type="dxa"/>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TRAP-6 or</w:t>
            </w:r>
          </w:p>
          <w:p w:rsidR="00B26676" w:rsidRPr="00C70728" w:rsidRDefault="00B26676" w:rsidP="00B26676">
            <w:pPr>
              <w:spacing w:line="240" w:lineRule="auto"/>
              <w:rPr>
                <w:rFonts w:ascii="Arial Narrow" w:hAnsi="Arial Narrow"/>
                <w:lang w:val="en-US"/>
              </w:rPr>
            </w:pPr>
            <w:r w:rsidRPr="00C70728">
              <w:rPr>
                <w:rFonts w:ascii="Arial Narrow" w:hAnsi="Arial Narrow"/>
                <w:lang w:val="en-US"/>
              </w:rPr>
              <w:t>ADP</w:t>
            </w:r>
          </w:p>
        </w:tc>
        <w:tc>
          <w:tcPr>
            <w:tcW w:w="1124" w:type="dxa"/>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TRAP-6</w:t>
            </w:r>
          </w:p>
        </w:tc>
        <w:tc>
          <w:tcPr>
            <w:tcW w:w="1266" w:type="dxa"/>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TRAP-6</w:t>
            </w:r>
          </w:p>
        </w:tc>
        <w:tc>
          <w:tcPr>
            <w:tcW w:w="981" w:type="dxa"/>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ADP</w:t>
            </w:r>
          </w:p>
        </w:tc>
        <w:tc>
          <w:tcPr>
            <w:tcW w:w="1403" w:type="dxa"/>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ADP</w:t>
            </w:r>
          </w:p>
        </w:tc>
      </w:tr>
      <w:tr w:rsidR="00B26676" w:rsidRPr="00C70728" w:rsidTr="00501E6D">
        <w:tc>
          <w:tcPr>
            <w:tcW w:w="2099" w:type="dxa"/>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Agonist</w:t>
            </w:r>
          </w:p>
        </w:tc>
        <w:tc>
          <w:tcPr>
            <w:tcW w:w="1440" w:type="dxa"/>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No (NST)</w:t>
            </w:r>
          </w:p>
        </w:tc>
        <w:tc>
          <w:tcPr>
            <w:tcW w:w="1423" w:type="dxa"/>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No (NST)</w:t>
            </w:r>
          </w:p>
        </w:tc>
        <w:tc>
          <w:tcPr>
            <w:tcW w:w="1124" w:type="dxa"/>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Yes (ST)</w:t>
            </w:r>
          </w:p>
        </w:tc>
        <w:tc>
          <w:tcPr>
            <w:tcW w:w="1266" w:type="dxa"/>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Yes (ST)</w:t>
            </w:r>
          </w:p>
        </w:tc>
        <w:tc>
          <w:tcPr>
            <w:tcW w:w="981" w:type="dxa"/>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Yes (ST)</w:t>
            </w:r>
          </w:p>
        </w:tc>
        <w:tc>
          <w:tcPr>
            <w:tcW w:w="1403" w:type="dxa"/>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Yes (ST)</w:t>
            </w:r>
          </w:p>
        </w:tc>
      </w:tr>
      <w:tr w:rsidR="00B26676" w:rsidRPr="00C70728" w:rsidTr="00501E6D">
        <w:tc>
          <w:tcPr>
            <w:tcW w:w="2099" w:type="dxa"/>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Monoclonal antibody</w:t>
            </w:r>
          </w:p>
        </w:tc>
        <w:tc>
          <w:tcPr>
            <w:tcW w:w="1440" w:type="dxa"/>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PAC-1</w:t>
            </w:r>
          </w:p>
        </w:tc>
        <w:tc>
          <w:tcPr>
            <w:tcW w:w="1423" w:type="dxa"/>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bFG</w:t>
            </w:r>
          </w:p>
        </w:tc>
        <w:tc>
          <w:tcPr>
            <w:tcW w:w="1124" w:type="dxa"/>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PAC-1</w:t>
            </w:r>
          </w:p>
        </w:tc>
        <w:tc>
          <w:tcPr>
            <w:tcW w:w="1266" w:type="dxa"/>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bFG</w:t>
            </w:r>
          </w:p>
        </w:tc>
        <w:tc>
          <w:tcPr>
            <w:tcW w:w="981" w:type="dxa"/>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PAC-1</w:t>
            </w:r>
          </w:p>
        </w:tc>
        <w:tc>
          <w:tcPr>
            <w:tcW w:w="1403" w:type="dxa"/>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bFG</w:t>
            </w:r>
          </w:p>
        </w:tc>
      </w:tr>
      <w:tr w:rsidR="00B26676" w:rsidRPr="00C70728" w:rsidTr="00501E6D">
        <w:tc>
          <w:tcPr>
            <w:tcW w:w="2099" w:type="dxa"/>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Number of subjects (n)</w:t>
            </w:r>
          </w:p>
        </w:tc>
        <w:tc>
          <w:tcPr>
            <w:tcW w:w="1440" w:type="dxa"/>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8</w:t>
            </w:r>
          </w:p>
        </w:tc>
        <w:tc>
          <w:tcPr>
            <w:tcW w:w="1423" w:type="dxa"/>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10</w:t>
            </w:r>
          </w:p>
        </w:tc>
        <w:tc>
          <w:tcPr>
            <w:tcW w:w="1124" w:type="dxa"/>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5</w:t>
            </w:r>
          </w:p>
        </w:tc>
        <w:tc>
          <w:tcPr>
            <w:tcW w:w="1266" w:type="dxa"/>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5</w:t>
            </w:r>
          </w:p>
        </w:tc>
        <w:tc>
          <w:tcPr>
            <w:tcW w:w="981" w:type="dxa"/>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NA</w:t>
            </w:r>
          </w:p>
        </w:tc>
        <w:tc>
          <w:tcPr>
            <w:tcW w:w="1403" w:type="dxa"/>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3</w:t>
            </w:r>
          </w:p>
        </w:tc>
      </w:tr>
      <w:tr w:rsidR="00B26676" w:rsidRPr="00C70728" w:rsidTr="00501E6D">
        <w:tc>
          <w:tcPr>
            <w:tcW w:w="2099" w:type="dxa"/>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Number of raters (k)</w:t>
            </w:r>
          </w:p>
        </w:tc>
        <w:tc>
          <w:tcPr>
            <w:tcW w:w="1440" w:type="dxa"/>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2</w:t>
            </w:r>
          </w:p>
        </w:tc>
        <w:tc>
          <w:tcPr>
            <w:tcW w:w="1423" w:type="dxa"/>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2</w:t>
            </w:r>
          </w:p>
        </w:tc>
        <w:tc>
          <w:tcPr>
            <w:tcW w:w="1124" w:type="dxa"/>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2</w:t>
            </w:r>
          </w:p>
        </w:tc>
        <w:tc>
          <w:tcPr>
            <w:tcW w:w="1266" w:type="dxa"/>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2</w:t>
            </w:r>
          </w:p>
        </w:tc>
        <w:tc>
          <w:tcPr>
            <w:tcW w:w="981" w:type="dxa"/>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NA</w:t>
            </w:r>
          </w:p>
        </w:tc>
        <w:tc>
          <w:tcPr>
            <w:tcW w:w="1403" w:type="dxa"/>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2</w:t>
            </w:r>
          </w:p>
        </w:tc>
      </w:tr>
      <w:tr w:rsidR="00B26676" w:rsidRPr="00C70728" w:rsidTr="00501E6D">
        <w:tc>
          <w:tcPr>
            <w:tcW w:w="2099" w:type="dxa"/>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Model</w:t>
            </w:r>
          </w:p>
        </w:tc>
        <w:tc>
          <w:tcPr>
            <w:tcW w:w="7637" w:type="dxa"/>
            <w:gridSpan w:val="6"/>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The same raters for all subjects. Two-way model.</w:t>
            </w:r>
          </w:p>
        </w:tc>
      </w:tr>
      <w:tr w:rsidR="00B26676" w:rsidRPr="005D7D8B" w:rsidTr="00501E6D">
        <w:tc>
          <w:tcPr>
            <w:tcW w:w="2099" w:type="dxa"/>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Type</w:t>
            </w:r>
          </w:p>
        </w:tc>
        <w:tc>
          <w:tcPr>
            <w:tcW w:w="7637" w:type="dxa"/>
            <w:gridSpan w:val="6"/>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Consistency: systematic differences between raters are irrelevant.</w:t>
            </w:r>
          </w:p>
        </w:tc>
      </w:tr>
      <w:tr w:rsidR="00B26676" w:rsidRPr="00C70728" w:rsidTr="00501E6D">
        <w:tc>
          <w:tcPr>
            <w:tcW w:w="2099" w:type="dxa"/>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ICC (95%CI)</w:t>
            </w:r>
          </w:p>
          <w:p w:rsidR="00B26676" w:rsidRPr="00C70728" w:rsidRDefault="00B26676" w:rsidP="00B26676">
            <w:pPr>
              <w:spacing w:line="240" w:lineRule="auto"/>
              <w:rPr>
                <w:rFonts w:ascii="Arial Narrow" w:hAnsi="Arial Narrow"/>
                <w:lang w:val="en-US"/>
              </w:rPr>
            </w:pPr>
            <w:r w:rsidRPr="00C70728">
              <w:rPr>
                <w:rFonts w:ascii="Arial Narrow" w:hAnsi="Arial Narrow"/>
                <w:lang w:val="en-US"/>
              </w:rPr>
              <w:t>Single measures**</w:t>
            </w:r>
          </w:p>
        </w:tc>
        <w:tc>
          <w:tcPr>
            <w:tcW w:w="1440" w:type="dxa"/>
          </w:tcPr>
          <w:p w:rsidR="00B26676" w:rsidRPr="00C70728" w:rsidRDefault="00B26676" w:rsidP="00B26676">
            <w:pPr>
              <w:spacing w:line="240" w:lineRule="auto"/>
              <w:jc w:val="left"/>
              <w:rPr>
                <w:rFonts w:ascii="Arial Narrow" w:hAnsi="Arial Narrow"/>
                <w:lang w:val="en-US"/>
              </w:rPr>
            </w:pPr>
            <w:r w:rsidRPr="00C70728">
              <w:rPr>
                <w:rFonts w:ascii="Arial Narrow" w:hAnsi="Arial Narrow"/>
                <w:lang w:val="en-US"/>
              </w:rPr>
              <w:t xml:space="preserve">0,6500 </w:t>
            </w:r>
          </w:p>
          <w:p w:rsidR="00B26676" w:rsidRPr="00C70728" w:rsidRDefault="00B26676" w:rsidP="00B26676">
            <w:pPr>
              <w:spacing w:line="240" w:lineRule="auto"/>
              <w:jc w:val="left"/>
              <w:rPr>
                <w:rFonts w:ascii="Arial Narrow" w:hAnsi="Arial Narrow"/>
                <w:lang w:val="en-US"/>
              </w:rPr>
            </w:pPr>
            <w:r w:rsidRPr="00C70728">
              <w:rPr>
                <w:rFonts w:ascii="Arial Narrow" w:hAnsi="Arial Narrow"/>
                <w:lang w:val="en-US"/>
              </w:rPr>
              <w:t>(-0.02883 to 0.9185)</w:t>
            </w:r>
          </w:p>
        </w:tc>
        <w:tc>
          <w:tcPr>
            <w:tcW w:w="1423" w:type="dxa"/>
          </w:tcPr>
          <w:p w:rsidR="00B26676" w:rsidRPr="00C70728" w:rsidRDefault="00B26676" w:rsidP="00B26676">
            <w:pPr>
              <w:spacing w:line="240" w:lineRule="auto"/>
              <w:jc w:val="left"/>
              <w:rPr>
                <w:rFonts w:ascii="Arial Narrow" w:hAnsi="Arial Narrow"/>
                <w:lang w:val="en-US"/>
              </w:rPr>
            </w:pPr>
            <w:r w:rsidRPr="00C70728">
              <w:rPr>
                <w:rFonts w:ascii="Arial Narrow" w:hAnsi="Arial Narrow"/>
                <w:lang w:val="en-US"/>
              </w:rPr>
              <w:t xml:space="preserve">0.8693 </w:t>
            </w:r>
          </w:p>
          <w:p w:rsidR="00B26676" w:rsidRPr="00C70728" w:rsidRDefault="00B26676" w:rsidP="00B26676">
            <w:pPr>
              <w:spacing w:line="240" w:lineRule="auto"/>
              <w:jc w:val="left"/>
              <w:rPr>
                <w:rFonts w:ascii="Arial Narrow" w:hAnsi="Arial Narrow"/>
                <w:lang w:val="en-US"/>
              </w:rPr>
            </w:pPr>
            <w:r w:rsidRPr="00C70728">
              <w:rPr>
                <w:rFonts w:ascii="Arial Narrow" w:hAnsi="Arial Narrow"/>
                <w:lang w:val="en-US"/>
              </w:rPr>
              <w:t>(0.5607 to 0.9659)</w:t>
            </w:r>
          </w:p>
        </w:tc>
        <w:tc>
          <w:tcPr>
            <w:tcW w:w="1124" w:type="dxa"/>
          </w:tcPr>
          <w:p w:rsidR="00B26676" w:rsidRPr="00C70728" w:rsidRDefault="00B26676" w:rsidP="00B26676">
            <w:pPr>
              <w:spacing w:line="240" w:lineRule="auto"/>
              <w:jc w:val="left"/>
              <w:rPr>
                <w:rFonts w:ascii="Arial Narrow" w:hAnsi="Arial Narrow"/>
                <w:lang w:val="en-US"/>
              </w:rPr>
            </w:pPr>
            <w:r w:rsidRPr="00C70728">
              <w:rPr>
                <w:rFonts w:ascii="Arial Narrow" w:hAnsi="Arial Narrow"/>
                <w:lang w:val="en-US"/>
              </w:rPr>
              <w:t xml:space="preserve">0.6627 </w:t>
            </w:r>
          </w:p>
          <w:p w:rsidR="00B26676" w:rsidRPr="00C70728" w:rsidRDefault="00B26676" w:rsidP="00B26676">
            <w:pPr>
              <w:spacing w:line="240" w:lineRule="auto"/>
              <w:jc w:val="left"/>
              <w:rPr>
                <w:rFonts w:ascii="Arial Narrow" w:hAnsi="Arial Narrow"/>
                <w:lang w:val="en-US"/>
              </w:rPr>
            </w:pPr>
            <w:r w:rsidRPr="00C70728">
              <w:rPr>
                <w:rFonts w:ascii="Arial Narrow" w:hAnsi="Arial Narrow"/>
                <w:lang w:val="en-US"/>
              </w:rPr>
              <w:t>(-3216 to 0.9586)</w:t>
            </w:r>
          </w:p>
        </w:tc>
        <w:tc>
          <w:tcPr>
            <w:tcW w:w="1266" w:type="dxa"/>
          </w:tcPr>
          <w:p w:rsidR="00B26676" w:rsidRPr="00C70728" w:rsidRDefault="00B26676" w:rsidP="00B26676">
            <w:pPr>
              <w:spacing w:line="240" w:lineRule="auto"/>
              <w:jc w:val="left"/>
              <w:rPr>
                <w:rFonts w:ascii="Arial Narrow" w:hAnsi="Arial Narrow"/>
                <w:lang w:val="en-US"/>
              </w:rPr>
            </w:pPr>
            <w:r w:rsidRPr="00C70728">
              <w:rPr>
                <w:rFonts w:ascii="Arial Narrow" w:hAnsi="Arial Narrow"/>
                <w:lang w:val="en-US"/>
              </w:rPr>
              <w:t xml:space="preserve">0.7599 </w:t>
            </w:r>
          </w:p>
          <w:p w:rsidR="00B26676" w:rsidRPr="00C70728" w:rsidRDefault="00B26676" w:rsidP="00B26676">
            <w:pPr>
              <w:spacing w:line="240" w:lineRule="auto"/>
              <w:jc w:val="left"/>
              <w:rPr>
                <w:rFonts w:ascii="Arial Narrow" w:hAnsi="Arial Narrow"/>
                <w:lang w:val="en-US"/>
              </w:rPr>
            </w:pPr>
            <w:r w:rsidRPr="00C70728">
              <w:rPr>
                <w:rFonts w:ascii="Arial Narrow" w:hAnsi="Arial Narrow"/>
                <w:lang w:val="en-US"/>
              </w:rPr>
              <w:t>(-0.1342 to 0.9720)</w:t>
            </w:r>
          </w:p>
        </w:tc>
        <w:tc>
          <w:tcPr>
            <w:tcW w:w="981" w:type="dxa"/>
          </w:tcPr>
          <w:p w:rsidR="00B26676" w:rsidRPr="00C70728" w:rsidRDefault="00B26676" w:rsidP="00B26676">
            <w:pPr>
              <w:spacing w:line="240" w:lineRule="auto"/>
              <w:jc w:val="left"/>
              <w:rPr>
                <w:rFonts w:ascii="Arial Narrow" w:hAnsi="Arial Narrow"/>
                <w:lang w:val="en-US"/>
              </w:rPr>
            </w:pPr>
            <w:r w:rsidRPr="00C70728">
              <w:rPr>
                <w:rFonts w:ascii="Arial Narrow" w:hAnsi="Arial Narrow"/>
                <w:lang w:val="en-US"/>
              </w:rPr>
              <w:t>NA</w:t>
            </w:r>
          </w:p>
        </w:tc>
        <w:tc>
          <w:tcPr>
            <w:tcW w:w="1403" w:type="dxa"/>
          </w:tcPr>
          <w:p w:rsidR="00B26676" w:rsidRPr="00C70728" w:rsidRDefault="00B26676" w:rsidP="00B26676">
            <w:pPr>
              <w:spacing w:line="240" w:lineRule="auto"/>
              <w:jc w:val="left"/>
              <w:rPr>
                <w:rFonts w:ascii="Arial Narrow" w:hAnsi="Arial Narrow"/>
                <w:lang w:val="en-US"/>
              </w:rPr>
            </w:pPr>
            <w:r w:rsidRPr="00C70728">
              <w:rPr>
                <w:rFonts w:ascii="Arial Narrow" w:hAnsi="Arial Narrow"/>
                <w:lang w:val="en-US"/>
              </w:rPr>
              <w:t xml:space="preserve">0.7189 </w:t>
            </w:r>
          </w:p>
          <w:p w:rsidR="00B26676" w:rsidRPr="00C70728" w:rsidRDefault="00B26676" w:rsidP="00B26676">
            <w:pPr>
              <w:spacing w:line="240" w:lineRule="auto"/>
              <w:jc w:val="left"/>
              <w:rPr>
                <w:rFonts w:ascii="Arial Narrow" w:hAnsi="Arial Narrow"/>
                <w:lang w:val="en-US"/>
              </w:rPr>
            </w:pPr>
            <w:r w:rsidRPr="00C70728">
              <w:rPr>
                <w:rFonts w:ascii="Arial Narrow" w:hAnsi="Arial Narrow"/>
                <w:lang w:val="en-US"/>
              </w:rPr>
              <w:t>(-0.7280 to 0.9916)</w:t>
            </w:r>
          </w:p>
        </w:tc>
      </w:tr>
      <w:tr w:rsidR="00B26676" w:rsidRPr="00C70728" w:rsidTr="00501E6D">
        <w:tc>
          <w:tcPr>
            <w:tcW w:w="2099" w:type="dxa"/>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ICC (95%CI)</w:t>
            </w:r>
          </w:p>
          <w:p w:rsidR="00B26676" w:rsidRPr="00C70728" w:rsidRDefault="00B26676" w:rsidP="00B26676">
            <w:pPr>
              <w:spacing w:line="240" w:lineRule="auto"/>
              <w:rPr>
                <w:rFonts w:ascii="Arial Narrow" w:hAnsi="Arial Narrow"/>
                <w:lang w:val="en-US"/>
              </w:rPr>
            </w:pPr>
            <w:r w:rsidRPr="00C70728">
              <w:rPr>
                <w:rFonts w:ascii="Arial Narrow" w:hAnsi="Arial Narrow"/>
                <w:lang w:val="en-US"/>
              </w:rPr>
              <w:t>Average measures***</w:t>
            </w:r>
          </w:p>
        </w:tc>
        <w:tc>
          <w:tcPr>
            <w:tcW w:w="1440" w:type="dxa"/>
          </w:tcPr>
          <w:p w:rsidR="00B26676" w:rsidRPr="00C70728" w:rsidRDefault="00B26676" w:rsidP="00B26676">
            <w:pPr>
              <w:spacing w:line="240" w:lineRule="auto"/>
              <w:jc w:val="left"/>
              <w:rPr>
                <w:rFonts w:ascii="Arial Narrow" w:hAnsi="Arial Narrow"/>
                <w:lang w:val="en-US"/>
              </w:rPr>
            </w:pPr>
            <w:r w:rsidRPr="00C70728">
              <w:rPr>
                <w:rFonts w:ascii="Arial Narrow" w:hAnsi="Arial Narrow"/>
                <w:lang w:val="en-US"/>
              </w:rPr>
              <w:t xml:space="preserve">0,7879 </w:t>
            </w:r>
          </w:p>
          <w:p w:rsidR="00B26676" w:rsidRPr="00C70728" w:rsidRDefault="00B26676" w:rsidP="00B26676">
            <w:pPr>
              <w:spacing w:line="240" w:lineRule="auto"/>
              <w:jc w:val="left"/>
              <w:rPr>
                <w:rFonts w:ascii="Arial Narrow" w:hAnsi="Arial Narrow"/>
                <w:lang w:val="en-US"/>
              </w:rPr>
            </w:pPr>
            <w:r w:rsidRPr="00C70728">
              <w:rPr>
                <w:rFonts w:ascii="Arial Narrow" w:hAnsi="Arial Narrow"/>
                <w:lang w:val="en-US"/>
              </w:rPr>
              <w:t>(-0,05937 to 9,9575)</w:t>
            </w:r>
          </w:p>
        </w:tc>
        <w:tc>
          <w:tcPr>
            <w:tcW w:w="1423" w:type="dxa"/>
          </w:tcPr>
          <w:p w:rsidR="00B26676" w:rsidRPr="00C70728" w:rsidRDefault="00B26676" w:rsidP="00B26676">
            <w:pPr>
              <w:spacing w:line="240" w:lineRule="auto"/>
              <w:jc w:val="left"/>
              <w:rPr>
                <w:rFonts w:ascii="Arial Narrow" w:hAnsi="Arial Narrow"/>
                <w:lang w:val="en-US"/>
              </w:rPr>
            </w:pPr>
            <w:r w:rsidRPr="00C70728">
              <w:rPr>
                <w:rFonts w:ascii="Arial Narrow" w:hAnsi="Arial Narrow"/>
                <w:lang w:val="en-US"/>
              </w:rPr>
              <w:t xml:space="preserve">0.9310 </w:t>
            </w:r>
          </w:p>
          <w:p w:rsidR="00B26676" w:rsidRPr="00C70728" w:rsidRDefault="00B26676" w:rsidP="00B26676">
            <w:pPr>
              <w:spacing w:line="240" w:lineRule="auto"/>
              <w:jc w:val="left"/>
              <w:rPr>
                <w:rFonts w:ascii="Arial Narrow" w:hAnsi="Arial Narrow"/>
                <w:lang w:val="en-US"/>
              </w:rPr>
            </w:pPr>
            <w:r w:rsidRPr="00C70728">
              <w:rPr>
                <w:rFonts w:ascii="Arial Narrow" w:hAnsi="Arial Narrow"/>
                <w:lang w:val="en-US"/>
              </w:rPr>
              <w:t>(0.7185 to 0.9826)</w:t>
            </w:r>
          </w:p>
        </w:tc>
        <w:tc>
          <w:tcPr>
            <w:tcW w:w="1124" w:type="dxa"/>
          </w:tcPr>
          <w:p w:rsidR="00B26676" w:rsidRPr="00C70728" w:rsidRDefault="00B26676" w:rsidP="00B26676">
            <w:pPr>
              <w:spacing w:line="240" w:lineRule="auto"/>
              <w:jc w:val="left"/>
              <w:rPr>
                <w:rFonts w:ascii="Arial Narrow" w:hAnsi="Arial Narrow"/>
                <w:lang w:val="en-US"/>
              </w:rPr>
            </w:pPr>
            <w:r w:rsidRPr="00C70728">
              <w:rPr>
                <w:rFonts w:ascii="Arial Narrow" w:hAnsi="Arial Narrow"/>
                <w:lang w:val="en-US"/>
              </w:rPr>
              <w:t xml:space="preserve">0,7971 </w:t>
            </w:r>
          </w:p>
          <w:p w:rsidR="00B26676" w:rsidRPr="00C70728" w:rsidRDefault="00B26676" w:rsidP="00B26676">
            <w:pPr>
              <w:spacing w:line="240" w:lineRule="auto"/>
              <w:jc w:val="left"/>
              <w:rPr>
                <w:rFonts w:ascii="Arial Narrow" w:hAnsi="Arial Narrow"/>
                <w:lang w:val="en-US"/>
              </w:rPr>
            </w:pPr>
            <w:r w:rsidRPr="00C70728">
              <w:rPr>
                <w:rFonts w:ascii="Arial Narrow" w:hAnsi="Arial Narrow"/>
                <w:lang w:val="en-US"/>
              </w:rPr>
              <w:t>(-0.9483 to 0.9789)</w:t>
            </w:r>
          </w:p>
        </w:tc>
        <w:tc>
          <w:tcPr>
            <w:tcW w:w="1266" w:type="dxa"/>
          </w:tcPr>
          <w:p w:rsidR="00B26676" w:rsidRPr="00C70728" w:rsidRDefault="00B26676" w:rsidP="00B26676">
            <w:pPr>
              <w:spacing w:line="240" w:lineRule="auto"/>
              <w:jc w:val="left"/>
              <w:rPr>
                <w:rFonts w:ascii="Arial Narrow" w:hAnsi="Arial Narrow"/>
                <w:lang w:val="en-US"/>
              </w:rPr>
            </w:pPr>
            <w:r w:rsidRPr="00C70728">
              <w:rPr>
                <w:rFonts w:ascii="Arial Narrow" w:hAnsi="Arial Narrow"/>
                <w:lang w:val="en-US"/>
              </w:rPr>
              <w:t xml:space="preserve">0.8636 </w:t>
            </w:r>
          </w:p>
          <w:p w:rsidR="00B26676" w:rsidRPr="00C70728" w:rsidRDefault="00B26676" w:rsidP="00B26676">
            <w:pPr>
              <w:spacing w:line="240" w:lineRule="auto"/>
              <w:jc w:val="left"/>
              <w:rPr>
                <w:rFonts w:ascii="Arial Narrow" w:hAnsi="Arial Narrow"/>
                <w:lang w:val="en-US"/>
              </w:rPr>
            </w:pPr>
            <w:r w:rsidRPr="00C70728">
              <w:rPr>
                <w:rFonts w:ascii="Arial Narrow" w:hAnsi="Arial Narrow"/>
                <w:lang w:val="en-US"/>
              </w:rPr>
              <w:t>(-0.3101 to 0.9858)</w:t>
            </w:r>
          </w:p>
        </w:tc>
        <w:tc>
          <w:tcPr>
            <w:tcW w:w="981" w:type="dxa"/>
          </w:tcPr>
          <w:p w:rsidR="00B26676" w:rsidRPr="00C70728" w:rsidRDefault="00B26676" w:rsidP="00B26676">
            <w:pPr>
              <w:spacing w:line="240" w:lineRule="auto"/>
              <w:jc w:val="left"/>
              <w:rPr>
                <w:rFonts w:ascii="Arial Narrow" w:hAnsi="Arial Narrow"/>
                <w:lang w:val="en-US"/>
              </w:rPr>
            </w:pPr>
            <w:r w:rsidRPr="00C70728">
              <w:rPr>
                <w:rFonts w:ascii="Arial Narrow" w:hAnsi="Arial Narrow"/>
                <w:lang w:val="en-US"/>
              </w:rPr>
              <w:t>NA</w:t>
            </w:r>
          </w:p>
        </w:tc>
        <w:tc>
          <w:tcPr>
            <w:tcW w:w="1403" w:type="dxa"/>
          </w:tcPr>
          <w:p w:rsidR="00B26676" w:rsidRPr="00C70728" w:rsidRDefault="00B26676" w:rsidP="00B26676">
            <w:pPr>
              <w:spacing w:line="240" w:lineRule="auto"/>
              <w:jc w:val="left"/>
              <w:rPr>
                <w:rFonts w:ascii="Arial Narrow" w:hAnsi="Arial Narrow"/>
                <w:lang w:val="en-US"/>
              </w:rPr>
            </w:pPr>
            <w:r w:rsidRPr="00C70728">
              <w:rPr>
                <w:rFonts w:ascii="Arial Narrow" w:hAnsi="Arial Narrow"/>
                <w:lang w:val="en-US"/>
              </w:rPr>
              <w:t xml:space="preserve">0.8354 </w:t>
            </w:r>
          </w:p>
          <w:p w:rsidR="00B26676" w:rsidRPr="00C70728" w:rsidRDefault="00B26676" w:rsidP="00B26676">
            <w:pPr>
              <w:spacing w:line="240" w:lineRule="auto"/>
              <w:jc w:val="left"/>
              <w:rPr>
                <w:rFonts w:ascii="Arial Narrow" w:hAnsi="Arial Narrow"/>
                <w:lang w:val="en-US"/>
              </w:rPr>
            </w:pPr>
            <w:r w:rsidRPr="00C70728">
              <w:rPr>
                <w:rFonts w:ascii="Arial Narrow" w:hAnsi="Arial Narrow"/>
                <w:lang w:val="en-US"/>
              </w:rPr>
              <w:t>(-5.3786 to 0.9958)</w:t>
            </w:r>
          </w:p>
        </w:tc>
      </w:tr>
    </w:tbl>
    <w:p w:rsidR="00B26676" w:rsidRPr="00CD07AD" w:rsidRDefault="00B26676" w:rsidP="00B26676">
      <w:pPr>
        <w:spacing w:after="0" w:line="240" w:lineRule="auto"/>
        <w:rPr>
          <w:sz w:val="16"/>
          <w:szCs w:val="16"/>
          <w:lang w:val="en-GB"/>
        </w:rPr>
      </w:pPr>
      <w:r w:rsidRPr="00CD07AD">
        <w:rPr>
          <w:sz w:val="16"/>
          <w:szCs w:val="16"/>
          <w:lang w:val="en-GB"/>
        </w:rPr>
        <w:t>Abbreviations: ICC, Intraclass correlation coefficient; CI, confidence interval; NST, non-stimulated; ST, stimulated; NA, the results are not available.</w:t>
      </w:r>
    </w:p>
    <w:p w:rsidR="009A6ADC" w:rsidRPr="00CD07AD" w:rsidRDefault="009A6ADC" w:rsidP="009A6ADC">
      <w:pPr>
        <w:spacing w:after="0" w:line="240" w:lineRule="auto"/>
        <w:rPr>
          <w:sz w:val="16"/>
          <w:szCs w:val="16"/>
          <w:lang w:val="en-US"/>
        </w:rPr>
      </w:pPr>
      <w:r w:rsidRPr="00CD07AD">
        <w:rPr>
          <w:sz w:val="16"/>
          <w:szCs w:val="16"/>
          <w:lang w:val="en-US"/>
        </w:rPr>
        <w:t>The</w:t>
      </w:r>
      <w:r w:rsidR="00C276CA" w:rsidRPr="00CD07AD">
        <w:rPr>
          <w:sz w:val="16"/>
          <w:szCs w:val="16"/>
          <w:lang w:val="en-US"/>
        </w:rPr>
        <w:t xml:space="preserve"> </w:t>
      </w:r>
      <w:proofErr w:type="spellStart"/>
      <w:r w:rsidR="003719D3" w:rsidRPr="00CD07AD">
        <w:rPr>
          <w:sz w:val="16"/>
          <w:szCs w:val="16"/>
          <w:lang w:val="en-US"/>
        </w:rPr>
        <w:t>MedCalc</w:t>
      </w:r>
      <w:proofErr w:type="spellEnd"/>
      <w:r w:rsidR="003719D3" w:rsidRPr="00CD07AD">
        <w:rPr>
          <w:sz w:val="16"/>
          <w:szCs w:val="16"/>
          <w:lang w:val="en-US"/>
        </w:rPr>
        <w:t xml:space="preserve"> Statistical Software version 16.4.3 (</w:t>
      </w:r>
      <w:proofErr w:type="spellStart"/>
      <w:r w:rsidR="003719D3" w:rsidRPr="00CD07AD">
        <w:rPr>
          <w:sz w:val="16"/>
          <w:szCs w:val="16"/>
          <w:lang w:val="en-US"/>
        </w:rPr>
        <w:t>MedCalc</w:t>
      </w:r>
      <w:proofErr w:type="spellEnd"/>
      <w:r w:rsidR="003719D3" w:rsidRPr="00CD07AD">
        <w:rPr>
          <w:sz w:val="16"/>
          <w:szCs w:val="16"/>
          <w:lang w:val="en-US"/>
        </w:rPr>
        <w:t xml:space="preserve"> Software, Ostend, Belgium) </w:t>
      </w:r>
      <w:r w:rsidR="00C276CA" w:rsidRPr="00CD07AD">
        <w:rPr>
          <w:sz w:val="16"/>
          <w:szCs w:val="16"/>
          <w:lang w:val="en-US"/>
        </w:rPr>
        <w:t>was used for statistics</w:t>
      </w:r>
      <w:r w:rsidR="003719D3" w:rsidRPr="00CD07AD">
        <w:rPr>
          <w:sz w:val="16"/>
          <w:szCs w:val="16"/>
          <w:lang w:val="en-US"/>
        </w:rPr>
        <w:t>.</w:t>
      </w:r>
    </w:p>
    <w:p w:rsidR="00B26676" w:rsidRPr="00CD07AD" w:rsidRDefault="00B26676" w:rsidP="00B26676">
      <w:pPr>
        <w:spacing w:after="0" w:line="240" w:lineRule="auto"/>
        <w:rPr>
          <w:sz w:val="16"/>
          <w:szCs w:val="16"/>
          <w:lang w:val="en-GB"/>
        </w:rPr>
      </w:pPr>
      <w:r w:rsidRPr="00CD07AD">
        <w:rPr>
          <w:sz w:val="16"/>
          <w:szCs w:val="16"/>
          <w:lang w:val="en-GB"/>
        </w:rPr>
        <w:t>* The degree of consistency among measurements</w:t>
      </w:r>
    </w:p>
    <w:p w:rsidR="00B26676" w:rsidRPr="00CD07AD" w:rsidRDefault="00B26676" w:rsidP="00B26676">
      <w:pPr>
        <w:spacing w:after="0" w:line="240" w:lineRule="auto"/>
        <w:rPr>
          <w:sz w:val="16"/>
          <w:szCs w:val="16"/>
          <w:lang w:val="en-GB"/>
        </w:rPr>
      </w:pPr>
      <w:r w:rsidRPr="00CD07AD">
        <w:rPr>
          <w:sz w:val="16"/>
          <w:szCs w:val="16"/>
          <w:lang w:val="en-GB"/>
        </w:rPr>
        <w:t xml:space="preserve">** Estimates the reliability of single ratings; this ICC is an index for the reliability of the ratings for one, typical, single </w:t>
      </w:r>
      <w:proofErr w:type="spellStart"/>
      <w:r w:rsidRPr="00CD07AD">
        <w:rPr>
          <w:sz w:val="16"/>
          <w:szCs w:val="16"/>
          <w:lang w:val="en-GB"/>
        </w:rPr>
        <w:t>rater</w:t>
      </w:r>
      <w:proofErr w:type="spellEnd"/>
      <w:r w:rsidRPr="00CD07AD">
        <w:rPr>
          <w:sz w:val="16"/>
          <w:szCs w:val="16"/>
          <w:lang w:val="en-GB"/>
        </w:rPr>
        <w:t>.</w:t>
      </w:r>
    </w:p>
    <w:p w:rsidR="00B26676" w:rsidRPr="00CD07AD" w:rsidRDefault="00B26676" w:rsidP="00B26676">
      <w:pPr>
        <w:spacing w:after="0" w:line="240" w:lineRule="auto"/>
        <w:rPr>
          <w:sz w:val="16"/>
          <w:szCs w:val="16"/>
          <w:lang w:val="en-GB"/>
        </w:rPr>
      </w:pPr>
      <w:r w:rsidRPr="00CD07AD">
        <w:rPr>
          <w:sz w:val="16"/>
          <w:szCs w:val="16"/>
          <w:lang w:val="en-GB"/>
        </w:rPr>
        <w:t xml:space="preserve">*** Estimates the reliability of averages of k ratings; this ICC is an index for the reliability of different </w:t>
      </w:r>
      <w:proofErr w:type="spellStart"/>
      <w:r w:rsidRPr="00CD07AD">
        <w:rPr>
          <w:sz w:val="16"/>
          <w:szCs w:val="16"/>
          <w:lang w:val="en-GB"/>
        </w:rPr>
        <w:t>raters</w:t>
      </w:r>
      <w:proofErr w:type="spellEnd"/>
      <w:r w:rsidRPr="00CD07AD">
        <w:rPr>
          <w:sz w:val="16"/>
          <w:szCs w:val="16"/>
          <w:lang w:val="en-GB"/>
        </w:rPr>
        <w:t xml:space="preserve"> averaged together and is always higher than the Single measures ICC.</w:t>
      </w:r>
    </w:p>
    <w:p w:rsidR="00B26676" w:rsidRPr="00B26676" w:rsidRDefault="00B26676" w:rsidP="00B26676">
      <w:pPr>
        <w:spacing w:after="0" w:line="240" w:lineRule="auto"/>
        <w:rPr>
          <w:lang w:val="en-GB"/>
        </w:rPr>
      </w:pPr>
    </w:p>
    <w:p w:rsidR="00B26676" w:rsidRPr="002F4224" w:rsidRDefault="00967A61" w:rsidP="00967A61">
      <w:pPr>
        <w:pStyle w:val="Legenda"/>
        <w:rPr>
          <w:lang w:val="en-GB"/>
        </w:rPr>
      </w:pPr>
      <w:r w:rsidRPr="00967A61">
        <w:rPr>
          <w:lang w:val="en-US"/>
        </w:rPr>
        <w:t xml:space="preserve">Table </w:t>
      </w:r>
      <w:r w:rsidRPr="00967A61">
        <w:rPr>
          <w:lang w:val="en-US"/>
        </w:rPr>
        <w:fldChar w:fldCharType="begin"/>
      </w:r>
      <w:r w:rsidRPr="00967A61">
        <w:rPr>
          <w:lang w:val="en-US"/>
        </w:rPr>
        <w:instrText xml:space="preserve"> SEQ Table \* ARABIC </w:instrText>
      </w:r>
      <w:r w:rsidRPr="00967A61">
        <w:rPr>
          <w:lang w:val="en-US"/>
        </w:rPr>
        <w:fldChar w:fldCharType="separate"/>
      </w:r>
      <w:r>
        <w:rPr>
          <w:noProof/>
          <w:lang w:val="en-US"/>
        </w:rPr>
        <w:t>3</w:t>
      </w:r>
      <w:r w:rsidRPr="00967A61">
        <w:rPr>
          <w:lang w:val="en-US"/>
        </w:rPr>
        <w:fldChar w:fldCharType="end"/>
      </w:r>
      <w:r w:rsidR="00F15F1B" w:rsidRPr="00967A61">
        <w:rPr>
          <w:lang w:val="en-US"/>
        </w:rPr>
        <w:t xml:space="preserve">. </w:t>
      </w:r>
      <w:r w:rsidR="00B26676" w:rsidRPr="00967A61">
        <w:rPr>
          <w:lang w:val="en-US"/>
        </w:rPr>
        <w:t xml:space="preserve">Test </w:t>
      </w:r>
      <w:r w:rsidR="009F4D3F">
        <w:rPr>
          <w:lang w:val="en-US"/>
        </w:rPr>
        <w:t>reliability</w:t>
      </w:r>
      <w:r w:rsidR="00C52C3C" w:rsidRPr="00967A61">
        <w:rPr>
          <w:lang w:val="en-US"/>
        </w:rPr>
        <w:t xml:space="preserve"> -</w:t>
      </w:r>
      <w:r w:rsidR="00B26676" w:rsidRPr="00967A61">
        <w:rPr>
          <w:lang w:val="en-US"/>
        </w:rPr>
        <w:t xml:space="preserve"> Intra-</w:t>
      </w:r>
      <w:r w:rsidR="00F15F1B" w:rsidRPr="00967A61">
        <w:rPr>
          <w:lang w:val="en-US"/>
        </w:rPr>
        <w:t>o</w:t>
      </w:r>
      <w:r w:rsidR="00B26676" w:rsidRPr="00967A61">
        <w:rPr>
          <w:lang w:val="en-US"/>
        </w:rPr>
        <w:t>perator</w:t>
      </w:r>
      <w:r w:rsidR="00F15F1B" w:rsidRPr="00967A61">
        <w:rPr>
          <w:lang w:val="en-US"/>
        </w:rPr>
        <w:t xml:space="preserve"> r</w:t>
      </w:r>
      <w:r w:rsidR="00B26676" w:rsidRPr="00967A61">
        <w:rPr>
          <w:lang w:val="en-US"/>
        </w:rPr>
        <w:t xml:space="preserve">epeatability, as evaluated by the Intraclass Correlation Coefficient* </w:t>
      </w:r>
      <w:r w:rsidR="00F15F1B" w:rsidRPr="00967A61">
        <w:rPr>
          <w:lang w:val="en-US"/>
        </w:rPr>
        <w:t>for the results</w:t>
      </w:r>
      <w:r w:rsidR="00F15F1B" w:rsidRPr="002F4224">
        <w:rPr>
          <w:lang w:val="en-GB"/>
        </w:rPr>
        <w:t xml:space="preserve"> obtained in</w:t>
      </w:r>
      <w:r w:rsidR="00B26676" w:rsidRPr="002F4224">
        <w:rPr>
          <w:lang w:val="en-GB"/>
        </w:rPr>
        <w:t xml:space="preserve"> samples processed in duplicate by the same operator</w:t>
      </w:r>
      <w:r w:rsidR="00F15F1B" w:rsidRPr="002F4224">
        <w:rPr>
          <w:lang w:val="en-GB"/>
        </w:rPr>
        <w:t>.</w:t>
      </w:r>
    </w:p>
    <w:tbl>
      <w:tblPr>
        <w:tblStyle w:val="TabelacomGrelha"/>
        <w:tblW w:w="4971" w:type="pct"/>
        <w:tblLook w:val="04A0" w:firstRow="1" w:lastRow="0" w:firstColumn="1" w:lastColumn="0" w:noHBand="0" w:noVBand="1"/>
      </w:tblPr>
      <w:tblGrid>
        <w:gridCol w:w="2406"/>
        <w:gridCol w:w="1135"/>
        <w:gridCol w:w="1364"/>
        <w:gridCol w:w="1185"/>
        <w:gridCol w:w="1141"/>
        <w:gridCol w:w="1131"/>
        <w:gridCol w:w="1323"/>
      </w:tblGrid>
      <w:tr w:rsidR="00B26676" w:rsidRPr="00C70728" w:rsidTr="00501E6D">
        <w:tc>
          <w:tcPr>
            <w:tcW w:w="1242" w:type="pct"/>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Measurements</w:t>
            </w:r>
          </w:p>
        </w:tc>
        <w:tc>
          <w:tcPr>
            <w:tcW w:w="586" w:type="pct"/>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T5+A5-M1</w:t>
            </w:r>
          </w:p>
          <w:p w:rsidR="00B26676" w:rsidRPr="00C70728" w:rsidRDefault="00B26676" w:rsidP="00B26676">
            <w:pPr>
              <w:spacing w:line="240" w:lineRule="auto"/>
              <w:rPr>
                <w:rFonts w:ascii="Arial Narrow" w:hAnsi="Arial Narrow"/>
                <w:lang w:val="en-US"/>
              </w:rPr>
            </w:pPr>
            <w:r w:rsidRPr="00C70728">
              <w:rPr>
                <w:rFonts w:ascii="Arial Narrow" w:hAnsi="Arial Narrow"/>
                <w:lang w:val="en-US"/>
              </w:rPr>
              <w:t>T5+A5-M2</w:t>
            </w:r>
          </w:p>
        </w:tc>
        <w:tc>
          <w:tcPr>
            <w:tcW w:w="704" w:type="pct"/>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T8+A8-M1</w:t>
            </w:r>
          </w:p>
          <w:p w:rsidR="00B26676" w:rsidRPr="00C70728" w:rsidRDefault="00B26676" w:rsidP="00B26676">
            <w:pPr>
              <w:spacing w:line="240" w:lineRule="auto"/>
              <w:rPr>
                <w:rFonts w:ascii="Arial Narrow" w:hAnsi="Arial Narrow"/>
                <w:lang w:val="en-US"/>
              </w:rPr>
            </w:pPr>
            <w:r w:rsidRPr="00C70728">
              <w:rPr>
                <w:rFonts w:ascii="Arial Narrow" w:hAnsi="Arial Narrow"/>
                <w:lang w:val="en-US"/>
              </w:rPr>
              <w:t>T8+A8-M2</w:t>
            </w:r>
          </w:p>
        </w:tc>
        <w:tc>
          <w:tcPr>
            <w:tcW w:w="612" w:type="pct"/>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T6-M1</w:t>
            </w:r>
          </w:p>
          <w:p w:rsidR="00B26676" w:rsidRPr="00C70728" w:rsidRDefault="00B26676" w:rsidP="00B26676">
            <w:pPr>
              <w:spacing w:line="240" w:lineRule="auto"/>
              <w:rPr>
                <w:rFonts w:ascii="Arial Narrow" w:hAnsi="Arial Narrow"/>
                <w:lang w:val="en-US"/>
              </w:rPr>
            </w:pPr>
            <w:r w:rsidRPr="00C70728">
              <w:rPr>
                <w:rFonts w:ascii="Arial Narrow" w:hAnsi="Arial Narrow"/>
                <w:lang w:val="en-US"/>
              </w:rPr>
              <w:t>T6-M2</w:t>
            </w:r>
          </w:p>
        </w:tc>
        <w:tc>
          <w:tcPr>
            <w:tcW w:w="589" w:type="pct"/>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T9-M1</w:t>
            </w:r>
          </w:p>
          <w:p w:rsidR="00B26676" w:rsidRPr="00C70728" w:rsidRDefault="00B26676" w:rsidP="00B26676">
            <w:pPr>
              <w:spacing w:line="240" w:lineRule="auto"/>
              <w:rPr>
                <w:rFonts w:ascii="Arial Narrow" w:hAnsi="Arial Narrow"/>
                <w:lang w:val="en-US"/>
              </w:rPr>
            </w:pPr>
            <w:r w:rsidRPr="00C70728">
              <w:rPr>
                <w:rFonts w:ascii="Arial Narrow" w:hAnsi="Arial Narrow"/>
                <w:lang w:val="en-US"/>
              </w:rPr>
              <w:t>T9-M2</w:t>
            </w:r>
          </w:p>
        </w:tc>
        <w:tc>
          <w:tcPr>
            <w:tcW w:w="584" w:type="pct"/>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A6-M1</w:t>
            </w:r>
          </w:p>
          <w:p w:rsidR="00B26676" w:rsidRPr="00C70728" w:rsidRDefault="00B26676" w:rsidP="00B26676">
            <w:pPr>
              <w:spacing w:line="240" w:lineRule="auto"/>
              <w:rPr>
                <w:rFonts w:ascii="Arial Narrow" w:hAnsi="Arial Narrow"/>
                <w:lang w:val="en-US"/>
              </w:rPr>
            </w:pPr>
            <w:r w:rsidRPr="00C70728">
              <w:rPr>
                <w:rFonts w:ascii="Arial Narrow" w:hAnsi="Arial Narrow"/>
                <w:lang w:val="en-US"/>
              </w:rPr>
              <w:t>A6-M2</w:t>
            </w:r>
          </w:p>
        </w:tc>
        <w:tc>
          <w:tcPr>
            <w:tcW w:w="682" w:type="pct"/>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A9-M1</w:t>
            </w:r>
          </w:p>
          <w:p w:rsidR="00B26676" w:rsidRPr="00C70728" w:rsidRDefault="00B26676" w:rsidP="00B26676">
            <w:pPr>
              <w:spacing w:line="240" w:lineRule="auto"/>
              <w:rPr>
                <w:rFonts w:ascii="Arial Narrow" w:hAnsi="Arial Narrow"/>
                <w:lang w:val="en-US"/>
              </w:rPr>
            </w:pPr>
            <w:r w:rsidRPr="00C70728">
              <w:rPr>
                <w:rFonts w:ascii="Arial Narrow" w:hAnsi="Arial Narrow"/>
                <w:lang w:val="en-US"/>
              </w:rPr>
              <w:t>A9-M2</w:t>
            </w:r>
          </w:p>
        </w:tc>
      </w:tr>
      <w:tr w:rsidR="00B26676" w:rsidRPr="00C70728" w:rsidTr="00501E6D">
        <w:tc>
          <w:tcPr>
            <w:tcW w:w="1242" w:type="pct"/>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Experiment</w:t>
            </w:r>
          </w:p>
        </w:tc>
        <w:tc>
          <w:tcPr>
            <w:tcW w:w="586" w:type="pct"/>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TRAP-6 or</w:t>
            </w:r>
          </w:p>
          <w:p w:rsidR="00B26676" w:rsidRPr="00C70728" w:rsidRDefault="00B26676" w:rsidP="00B26676">
            <w:pPr>
              <w:spacing w:line="240" w:lineRule="auto"/>
              <w:rPr>
                <w:rFonts w:ascii="Arial Narrow" w:hAnsi="Arial Narrow"/>
                <w:lang w:val="en-US"/>
              </w:rPr>
            </w:pPr>
            <w:r w:rsidRPr="00C70728">
              <w:rPr>
                <w:rFonts w:ascii="Arial Narrow" w:hAnsi="Arial Narrow"/>
                <w:lang w:val="en-US"/>
              </w:rPr>
              <w:t>ADP</w:t>
            </w:r>
          </w:p>
        </w:tc>
        <w:tc>
          <w:tcPr>
            <w:tcW w:w="704" w:type="pct"/>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TRAP-6 or</w:t>
            </w:r>
          </w:p>
          <w:p w:rsidR="00B26676" w:rsidRPr="00C70728" w:rsidRDefault="00B26676" w:rsidP="00B26676">
            <w:pPr>
              <w:spacing w:line="240" w:lineRule="auto"/>
              <w:rPr>
                <w:rFonts w:ascii="Arial Narrow" w:hAnsi="Arial Narrow"/>
                <w:lang w:val="en-US"/>
              </w:rPr>
            </w:pPr>
            <w:r w:rsidRPr="00C70728">
              <w:rPr>
                <w:rFonts w:ascii="Arial Narrow" w:hAnsi="Arial Narrow"/>
                <w:lang w:val="en-US"/>
              </w:rPr>
              <w:t>ADP</w:t>
            </w:r>
          </w:p>
        </w:tc>
        <w:tc>
          <w:tcPr>
            <w:tcW w:w="612" w:type="pct"/>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TRAP-6</w:t>
            </w:r>
          </w:p>
        </w:tc>
        <w:tc>
          <w:tcPr>
            <w:tcW w:w="589" w:type="pct"/>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TRAP-6</w:t>
            </w:r>
          </w:p>
        </w:tc>
        <w:tc>
          <w:tcPr>
            <w:tcW w:w="584" w:type="pct"/>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ADP</w:t>
            </w:r>
          </w:p>
        </w:tc>
        <w:tc>
          <w:tcPr>
            <w:tcW w:w="682" w:type="pct"/>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ADP</w:t>
            </w:r>
          </w:p>
        </w:tc>
      </w:tr>
      <w:tr w:rsidR="00B26676" w:rsidRPr="00C70728" w:rsidTr="00501E6D">
        <w:tc>
          <w:tcPr>
            <w:tcW w:w="1242" w:type="pct"/>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Agonist</w:t>
            </w:r>
          </w:p>
        </w:tc>
        <w:tc>
          <w:tcPr>
            <w:tcW w:w="586" w:type="pct"/>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No (NST)</w:t>
            </w:r>
          </w:p>
        </w:tc>
        <w:tc>
          <w:tcPr>
            <w:tcW w:w="704" w:type="pct"/>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No (NST)</w:t>
            </w:r>
          </w:p>
        </w:tc>
        <w:tc>
          <w:tcPr>
            <w:tcW w:w="612" w:type="pct"/>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Yes (ST)</w:t>
            </w:r>
          </w:p>
        </w:tc>
        <w:tc>
          <w:tcPr>
            <w:tcW w:w="589" w:type="pct"/>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Yes (ST)</w:t>
            </w:r>
          </w:p>
        </w:tc>
        <w:tc>
          <w:tcPr>
            <w:tcW w:w="584" w:type="pct"/>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Yes (ST)</w:t>
            </w:r>
          </w:p>
        </w:tc>
        <w:tc>
          <w:tcPr>
            <w:tcW w:w="682" w:type="pct"/>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Yes (ST)</w:t>
            </w:r>
          </w:p>
        </w:tc>
      </w:tr>
      <w:tr w:rsidR="00B26676" w:rsidRPr="00C70728" w:rsidTr="00501E6D">
        <w:tc>
          <w:tcPr>
            <w:tcW w:w="1242" w:type="pct"/>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Monoclonal antibody</w:t>
            </w:r>
          </w:p>
        </w:tc>
        <w:tc>
          <w:tcPr>
            <w:tcW w:w="586" w:type="pct"/>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PAC-1</w:t>
            </w:r>
          </w:p>
        </w:tc>
        <w:tc>
          <w:tcPr>
            <w:tcW w:w="704" w:type="pct"/>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bFG</w:t>
            </w:r>
          </w:p>
        </w:tc>
        <w:tc>
          <w:tcPr>
            <w:tcW w:w="612" w:type="pct"/>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PAC-1</w:t>
            </w:r>
          </w:p>
        </w:tc>
        <w:tc>
          <w:tcPr>
            <w:tcW w:w="589" w:type="pct"/>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bFG</w:t>
            </w:r>
          </w:p>
        </w:tc>
        <w:tc>
          <w:tcPr>
            <w:tcW w:w="584" w:type="pct"/>
          </w:tcPr>
          <w:p w:rsidR="00B26676" w:rsidRPr="00C70728" w:rsidRDefault="00B26676" w:rsidP="00B26676">
            <w:pPr>
              <w:spacing w:line="240" w:lineRule="auto"/>
              <w:rPr>
                <w:rFonts w:ascii="Arial Narrow" w:hAnsi="Arial Narrow"/>
                <w:lang w:val="en-US"/>
              </w:rPr>
            </w:pPr>
          </w:p>
        </w:tc>
        <w:tc>
          <w:tcPr>
            <w:tcW w:w="682" w:type="pct"/>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bFG</w:t>
            </w:r>
          </w:p>
        </w:tc>
      </w:tr>
      <w:tr w:rsidR="00B26676" w:rsidRPr="00C70728" w:rsidTr="00501E6D">
        <w:tc>
          <w:tcPr>
            <w:tcW w:w="1242" w:type="pct"/>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Number of subjects (n)</w:t>
            </w:r>
          </w:p>
        </w:tc>
        <w:tc>
          <w:tcPr>
            <w:tcW w:w="586" w:type="pct"/>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6</w:t>
            </w:r>
          </w:p>
        </w:tc>
        <w:tc>
          <w:tcPr>
            <w:tcW w:w="704" w:type="pct"/>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4</w:t>
            </w:r>
          </w:p>
        </w:tc>
        <w:tc>
          <w:tcPr>
            <w:tcW w:w="612" w:type="pct"/>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6</w:t>
            </w:r>
          </w:p>
        </w:tc>
        <w:tc>
          <w:tcPr>
            <w:tcW w:w="589" w:type="pct"/>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5</w:t>
            </w:r>
          </w:p>
        </w:tc>
        <w:tc>
          <w:tcPr>
            <w:tcW w:w="584" w:type="pct"/>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3</w:t>
            </w:r>
          </w:p>
        </w:tc>
        <w:tc>
          <w:tcPr>
            <w:tcW w:w="682" w:type="pct"/>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2</w:t>
            </w:r>
          </w:p>
        </w:tc>
      </w:tr>
      <w:tr w:rsidR="00B26676" w:rsidRPr="00C70728" w:rsidTr="00501E6D">
        <w:tc>
          <w:tcPr>
            <w:tcW w:w="1242" w:type="pct"/>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Number of raters (k)</w:t>
            </w:r>
          </w:p>
        </w:tc>
        <w:tc>
          <w:tcPr>
            <w:tcW w:w="586" w:type="pct"/>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2</w:t>
            </w:r>
          </w:p>
        </w:tc>
        <w:tc>
          <w:tcPr>
            <w:tcW w:w="704" w:type="pct"/>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2</w:t>
            </w:r>
          </w:p>
        </w:tc>
        <w:tc>
          <w:tcPr>
            <w:tcW w:w="612" w:type="pct"/>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2</w:t>
            </w:r>
          </w:p>
        </w:tc>
        <w:tc>
          <w:tcPr>
            <w:tcW w:w="589" w:type="pct"/>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2</w:t>
            </w:r>
          </w:p>
        </w:tc>
        <w:tc>
          <w:tcPr>
            <w:tcW w:w="584" w:type="pct"/>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2</w:t>
            </w:r>
          </w:p>
        </w:tc>
        <w:tc>
          <w:tcPr>
            <w:tcW w:w="682" w:type="pct"/>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2</w:t>
            </w:r>
          </w:p>
        </w:tc>
      </w:tr>
      <w:tr w:rsidR="00F15F1B" w:rsidRPr="00C70728" w:rsidTr="00501E6D">
        <w:tc>
          <w:tcPr>
            <w:tcW w:w="1242" w:type="pct"/>
          </w:tcPr>
          <w:p w:rsidR="00F15F1B" w:rsidRPr="00C70728" w:rsidRDefault="00F15F1B" w:rsidP="00F15F1B">
            <w:pPr>
              <w:spacing w:line="240" w:lineRule="auto"/>
              <w:rPr>
                <w:rFonts w:ascii="Arial Narrow" w:hAnsi="Arial Narrow"/>
                <w:lang w:val="en-US"/>
              </w:rPr>
            </w:pPr>
            <w:r w:rsidRPr="00C70728">
              <w:rPr>
                <w:rFonts w:ascii="Arial Narrow" w:hAnsi="Arial Narrow"/>
                <w:lang w:val="en-US"/>
              </w:rPr>
              <w:t>Model</w:t>
            </w:r>
          </w:p>
        </w:tc>
        <w:tc>
          <w:tcPr>
            <w:tcW w:w="3758" w:type="pct"/>
            <w:gridSpan w:val="6"/>
          </w:tcPr>
          <w:p w:rsidR="00F15F1B" w:rsidRPr="00C70728" w:rsidRDefault="00F15F1B" w:rsidP="00F15F1B">
            <w:pPr>
              <w:spacing w:line="240" w:lineRule="auto"/>
              <w:rPr>
                <w:rFonts w:ascii="Arial Narrow" w:hAnsi="Arial Narrow"/>
                <w:lang w:val="en-US"/>
              </w:rPr>
            </w:pPr>
            <w:r w:rsidRPr="00C70728">
              <w:rPr>
                <w:rFonts w:ascii="Arial Narrow" w:hAnsi="Arial Narrow"/>
                <w:lang w:val="en-US"/>
              </w:rPr>
              <w:t>The same raters for all subjects. Two-way model.</w:t>
            </w:r>
          </w:p>
        </w:tc>
      </w:tr>
      <w:tr w:rsidR="00F15F1B" w:rsidRPr="005D7D8B" w:rsidTr="00501E6D">
        <w:tc>
          <w:tcPr>
            <w:tcW w:w="1242" w:type="pct"/>
          </w:tcPr>
          <w:p w:rsidR="00F15F1B" w:rsidRPr="00C70728" w:rsidRDefault="00F15F1B" w:rsidP="00F15F1B">
            <w:pPr>
              <w:spacing w:line="240" w:lineRule="auto"/>
              <w:rPr>
                <w:rFonts w:ascii="Arial Narrow" w:hAnsi="Arial Narrow"/>
                <w:lang w:val="en-US"/>
              </w:rPr>
            </w:pPr>
            <w:r w:rsidRPr="00C70728">
              <w:rPr>
                <w:rFonts w:ascii="Arial Narrow" w:hAnsi="Arial Narrow"/>
                <w:lang w:val="en-US"/>
              </w:rPr>
              <w:t>Type</w:t>
            </w:r>
          </w:p>
        </w:tc>
        <w:tc>
          <w:tcPr>
            <w:tcW w:w="3758" w:type="pct"/>
            <w:gridSpan w:val="6"/>
          </w:tcPr>
          <w:p w:rsidR="00F15F1B" w:rsidRPr="00C70728" w:rsidRDefault="00F15F1B" w:rsidP="00F15F1B">
            <w:pPr>
              <w:spacing w:line="240" w:lineRule="auto"/>
              <w:rPr>
                <w:rFonts w:ascii="Arial Narrow" w:hAnsi="Arial Narrow"/>
                <w:lang w:val="en-US"/>
              </w:rPr>
            </w:pPr>
            <w:r w:rsidRPr="00C70728">
              <w:rPr>
                <w:rFonts w:ascii="Arial Narrow" w:hAnsi="Arial Narrow"/>
                <w:lang w:val="en-US"/>
              </w:rPr>
              <w:t>Consistency: systematic differences between raters are irrelevant.</w:t>
            </w:r>
          </w:p>
        </w:tc>
      </w:tr>
      <w:tr w:rsidR="00B26676" w:rsidRPr="00C70728" w:rsidTr="00501E6D">
        <w:tc>
          <w:tcPr>
            <w:tcW w:w="1242" w:type="pct"/>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ICC (95%CI</w:t>
            </w:r>
            <w:r w:rsidR="00635A0B">
              <w:rPr>
                <w:rFonts w:ascii="Arial Narrow" w:hAnsi="Arial Narrow"/>
                <w:lang w:val="en-US"/>
              </w:rPr>
              <w:t>s</w:t>
            </w:r>
            <w:r w:rsidRPr="00C70728">
              <w:rPr>
                <w:rFonts w:ascii="Arial Narrow" w:hAnsi="Arial Narrow"/>
                <w:lang w:val="en-US"/>
              </w:rPr>
              <w:t>)</w:t>
            </w:r>
          </w:p>
          <w:p w:rsidR="00B26676" w:rsidRPr="00C70728" w:rsidRDefault="00B26676" w:rsidP="00B26676">
            <w:pPr>
              <w:spacing w:line="240" w:lineRule="auto"/>
              <w:rPr>
                <w:rFonts w:ascii="Arial Narrow" w:hAnsi="Arial Narrow"/>
                <w:lang w:val="en-US"/>
              </w:rPr>
            </w:pPr>
            <w:r w:rsidRPr="00C70728">
              <w:rPr>
                <w:rFonts w:ascii="Arial Narrow" w:hAnsi="Arial Narrow"/>
                <w:lang w:val="en-US"/>
              </w:rPr>
              <w:t>Single measures**</w:t>
            </w:r>
          </w:p>
        </w:tc>
        <w:tc>
          <w:tcPr>
            <w:tcW w:w="586" w:type="pct"/>
          </w:tcPr>
          <w:p w:rsidR="00B26676" w:rsidRPr="00C70728" w:rsidRDefault="00B26676" w:rsidP="00820B1B">
            <w:pPr>
              <w:spacing w:line="240" w:lineRule="auto"/>
              <w:jc w:val="left"/>
              <w:rPr>
                <w:rFonts w:ascii="Arial Narrow" w:hAnsi="Arial Narrow"/>
                <w:lang w:val="en-US"/>
              </w:rPr>
            </w:pPr>
            <w:r w:rsidRPr="00C70728">
              <w:rPr>
                <w:rFonts w:ascii="Arial Narrow" w:hAnsi="Arial Narrow"/>
                <w:lang w:val="en-US"/>
              </w:rPr>
              <w:t xml:space="preserve">0,4615 </w:t>
            </w:r>
          </w:p>
          <w:p w:rsidR="00B26676" w:rsidRPr="00C70728" w:rsidRDefault="00B26676" w:rsidP="00820B1B">
            <w:pPr>
              <w:spacing w:line="240" w:lineRule="auto"/>
              <w:jc w:val="left"/>
              <w:rPr>
                <w:rFonts w:ascii="Arial Narrow" w:hAnsi="Arial Narrow"/>
                <w:lang w:val="en-US"/>
              </w:rPr>
            </w:pPr>
            <w:r w:rsidRPr="00C70728">
              <w:rPr>
                <w:rFonts w:ascii="Arial Narrow" w:hAnsi="Arial Narrow"/>
                <w:lang w:val="en-US"/>
              </w:rPr>
              <w:t>(-0.4495 to 0.9019)</w:t>
            </w:r>
          </w:p>
        </w:tc>
        <w:tc>
          <w:tcPr>
            <w:tcW w:w="704" w:type="pct"/>
          </w:tcPr>
          <w:p w:rsidR="00B26676" w:rsidRPr="00C70728" w:rsidRDefault="00B26676" w:rsidP="00820B1B">
            <w:pPr>
              <w:spacing w:line="240" w:lineRule="auto"/>
              <w:jc w:val="left"/>
              <w:rPr>
                <w:rFonts w:ascii="Arial Narrow" w:hAnsi="Arial Narrow"/>
                <w:color w:val="000000" w:themeColor="text1"/>
                <w:lang w:val="en-US"/>
              </w:rPr>
            </w:pPr>
            <w:r w:rsidRPr="00C70728">
              <w:rPr>
                <w:rFonts w:ascii="Arial Narrow" w:hAnsi="Arial Narrow"/>
                <w:color w:val="000000" w:themeColor="text1"/>
                <w:lang w:val="en-US"/>
              </w:rPr>
              <w:t xml:space="preserve">0.8525 </w:t>
            </w:r>
          </w:p>
          <w:p w:rsidR="00B26676" w:rsidRPr="00C70728" w:rsidRDefault="00B26676" w:rsidP="00820B1B">
            <w:pPr>
              <w:spacing w:line="240" w:lineRule="auto"/>
              <w:jc w:val="left"/>
              <w:rPr>
                <w:rFonts w:ascii="Arial Narrow" w:hAnsi="Arial Narrow"/>
                <w:color w:val="000000" w:themeColor="text1"/>
                <w:lang w:val="en-US"/>
              </w:rPr>
            </w:pPr>
            <w:r w:rsidRPr="00C70728">
              <w:rPr>
                <w:rFonts w:ascii="Arial Narrow" w:hAnsi="Arial Narrow"/>
                <w:color w:val="000000" w:themeColor="text1"/>
                <w:lang w:val="en-US"/>
              </w:rPr>
              <w:t>(0.1030 to 0.9897)</w:t>
            </w:r>
          </w:p>
        </w:tc>
        <w:tc>
          <w:tcPr>
            <w:tcW w:w="612" w:type="pct"/>
          </w:tcPr>
          <w:p w:rsidR="00B26676" w:rsidRPr="00C70728" w:rsidRDefault="00B26676" w:rsidP="00820B1B">
            <w:pPr>
              <w:spacing w:line="240" w:lineRule="auto"/>
              <w:jc w:val="left"/>
              <w:rPr>
                <w:rFonts w:ascii="Arial Narrow" w:hAnsi="Arial Narrow"/>
                <w:lang w:val="en-US"/>
              </w:rPr>
            </w:pPr>
            <w:r w:rsidRPr="00C70728">
              <w:rPr>
                <w:rFonts w:ascii="Arial Narrow" w:hAnsi="Arial Narrow"/>
                <w:lang w:val="en-US"/>
              </w:rPr>
              <w:t>0.6731</w:t>
            </w:r>
          </w:p>
          <w:p w:rsidR="00B26676" w:rsidRPr="00C70728" w:rsidRDefault="00B26676" w:rsidP="00820B1B">
            <w:pPr>
              <w:spacing w:line="240" w:lineRule="auto"/>
              <w:jc w:val="left"/>
              <w:rPr>
                <w:rFonts w:ascii="Arial Narrow" w:hAnsi="Arial Narrow"/>
                <w:lang w:val="en-US"/>
              </w:rPr>
            </w:pPr>
            <w:r w:rsidRPr="00C70728">
              <w:rPr>
                <w:rFonts w:ascii="Arial Narrow" w:hAnsi="Arial Narrow"/>
                <w:lang w:val="en-US"/>
              </w:rPr>
              <w:t>(-0,7680 to 0.9900)</w:t>
            </w:r>
          </w:p>
        </w:tc>
        <w:tc>
          <w:tcPr>
            <w:tcW w:w="589" w:type="pct"/>
          </w:tcPr>
          <w:p w:rsidR="00B26676" w:rsidRPr="00C70728" w:rsidRDefault="00B26676" w:rsidP="00820B1B">
            <w:pPr>
              <w:spacing w:line="240" w:lineRule="auto"/>
              <w:jc w:val="left"/>
              <w:rPr>
                <w:rFonts w:ascii="Arial Narrow" w:hAnsi="Arial Narrow"/>
                <w:color w:val="000000" w:themeColor="text1"/>
                <w:lang w:val="en-US"/>
              </w:rPr>
            </w:pPr>
            <w:r w:rsidRPr="00C70728">
              <w:rPr>
                <w:rFonts w:ascii="Arial Narrow" w:hAnsi="Arial Narrow"/>
                <w:color w:val="000000" w:themeColor="text1"/>
                <w:lang w:val="en-US"/>
              </w:rPr>
              <w:t>0.6270</w:t>
            </w:r>
          </w:p>
          <w:p w:rsidR="00B26676" w:rsidRPr="00C70728" w:rsidRDefault="00B26676" w:rsidP="00820B1B">
            <w:pPr>
              <w:spacing w:line="240" w:lineRule="auto"/>
              <w:jc w:val="left"/>
              <w:rPr>
                <w:rFonts w:ascii="Arial Narrow" w:hAnsi="Arial Narrow"/>
                <w:color w:val="000000" w:themeColor="text1"/>
                <w:lang w:val="en-US"/>
              </w:rPr>
            </w:pPr>
            <w:r w:rsidRPr="00C70728">
              <w:rPr>
                <w:rFonts w:ascii="Arial Narrow" w:hAnsi="Arial Narrow"/>
                <w:color w:val="000000" w:themeColor="text1"/>
                <w:lang w:val="en-US"/>
              </w:rPr>
              <w:t>(-0.7989 to 0.9883)</w:t>
            </w:r>
          </w:p>
        </w:tc>
        <w:tc>
          <w:tcPr>
            <w:tcW w:w="584" w:type="pct"/>
          </w:tcPr>
          <w:p w:rsidR="00B26676" w:rsidRPr="00C70728" w:rsidRDefault="00B26676" w:rsidP="00820B1B">
            <w:pPr>
              <w:spacing w:line="240" w:lineRule="auto"/>
              <w:jc w:val="left"/>
              <w:rPr>
                <w:rFonts w:ascii="Arial Narrow" w:hAnsi="Arial Narrow"/>
                <w:color w:val="000000" w:themeColor="text1"/>
                <w:lang w:val="en-US"/>
              </w:rPr>
            </w:pPr>
            <w:r w:rsidRPr="00C70728">
              <w:rPr>
                <w:rFonts w:ascii="Arial Narrow" w:hAnsi="Arial Narrow"/>
                <w:color w:val="000000" w:themeColor="text1"/>
                <w:lang w:val="en-US"/>
              </w:rPr>
              <w:t xml:space="preserve">0.6960 </w:t>
            </w:r>
          </w:p>
          <w:p w:rsidR="00B26676" w:rsidRPr="00C70728" w:rsidRDefault="00B26676" w:rsidP="00820B1B">
            <w:pPr>
              <w:spacing w:line="240" w:lineRule="auto"/>
              <w:jc w:val="left"/>
              <w:rPr>
                <w:rFonts w:ascii="Arial Narrow" w:hAnsi="Arial Narrow"/>
                <w:color w:val="000000" w:themeColor="text1"/>
                <w:lang w:val="en-US"/>
              </w:rPr>
            </w:pPr>
            <w:r w:rsidRPr="00C70728">
              <w:rPr>
                <w:rFonts w:ascii="Arial Narrow" w:hAnsi="Arial Narrow"/>
                <w:color w:val="000000" w:themeColor="text1"/>
                <w:lang w:val="en-US"/>
              </w:rPr>
              <w:t>(-0.7497 to 0.9909)</w:t>
            </w:r>
          </w:p>
        </w:tc>
        <w:tc>
          <w:tcPr>
            <w:tcW w:w="682" w:type="pct"/>
          </w:tcPr>
          <w:p w:rsidR="00B26676" w:rsidRPr="00C70728" w:rsidRDefault="00B26676" w:rsidP="00820B1B">
            <w:pPr>
              <w:spacing w:line="240" w:lineRule="auto"/>
              <w:jc w:val="left"/>
              <w:rPr>
                <w:rFonts w:ascii="Arial Narrow" w:hAnsi="Arial Narrow"/>
                <w:color w:val="000000" w:themeColor="text1"/>
                <w:lang w:val="en-US"/>
              </w:rPr>
            </w:pPr>
            <w:r w:rsidRPr="00C70728">
              <w:rPr>
                <w:rFonts w:ascii="Arial Narrow" w:hAnsi="Arial Narrow"/>
                <w:color w:val="000000" w:themeColor="text1"/>
                <w:lang w:val="en-US"/>
              </w:rPr>
              <w:t xml:space="preserve">1.0000 </w:t>
            </w:r>
          </w:p>
          <w:p w:rsidR="00B26676" w:rsidRPr="00C70728" w:rsidRDefault="00B26676" w:rsidP="00820B1B">
            <w:pPr>
              <w:spacing w:line="240" w:lineRule="auto"/>
              <w:jc w:val="left"/>
              <w:rPr>
                <w:rFonts w:ascii="Arial Narrow" w:hAnsi="Arial Narrow"/>
                <w:color w:val="000000" w:themeColor="text1"/>
                <w:lang w:val="en-US"/>
              </w:rPr>
            </w:pPr>
            <w:r w:rsidRPr="00C70728">
              <w:rPr>
                <w:rFonts w:ascii="Arial Narrow" w:hAnsi="Arial Narrow"/>
                <w:color w:val="000000" w:themeColor="text1"/>
                <w:lang w:val="en-US"/>
              </w:rPr>
              <w:t>(0.9933 to 1.0000)</w:t>
            </w:r>
          </w:p>
        </w:tc>
      </w:tr>
      <w:tr w:rsidR="00B26676" w:rsidRPr="00C70728" w:rsidTr="00501E6D">
        <w:tc>
          <w:tcPr>
            <w:tcW w:w="1242" w:type="pct"/>
          </w:tcPr>
          <w:p w:rsidR="00B26676" w:rsidRPr="00C70728" w:rsidRDefault="00B26676" w:rsidP="00B26676">
            <w:pPr>
              <w:spacing w:line="240" w:lineRule="auto"/>
              <w:rPr>
                <w:rFonts w:ascii="Arial Narrow" w:hAnsi="Arial Narrow"/>
                <w:lang w:val="en-US"/>
              </w:rPr>
            </w:pPr>
            <w:r w:rsidRPr="00C70728">
              <w:rPr>
                <w:rFonts w:ascii="Arial Narrow" w:hAnsi="Arial Narrow"/>
                <w:lang w:val="en-US"/>
              </w:rPr>
              <w:t>ICC (95%CI)</w:t>
            </w:r>
          </w:p>
          <w:p w:rsidR="00B26676" w:rsidRPr="00C70728" w:rsidRDefault="00B26676" w:rsidP="00B26676">
            <w:pPr>
              <w:spacing w:line="240" w:lineRule="auto"/>
              <w:rPr>
                <w:rFonts w:ascii="Arial Narrow" w:hAnsi="Arial Narrow"/>
                <w:lang w:val="en-US"/>
              </w:rPr>
            </w:pPr>
            <w:r w:rsidRPr="00C70728">
              <w:rPr>
                <w:rFonts w:ascii="Arial Narrow" w:hAnsi="Arial Narrow"/>
                <w:lang w:val="en-US"/>
              </w:rPr>
              <w:t>Average measures***</w:t>
            </w:r>
          </w:p>
        </w:tc>
        <w:tc>
          <w:tcPr>
            <w:tcW w:w="586" w:type="pct"/>
          </w:tcPr>
          <w:p w:rsidR="00B26676" w:rsidRPr="00C70728" w:rsidRDefault="00B26676" w:rsidP="00820B1B">
            <w:pPr>
              <w:spacing w:line="240" w:lineRule="auto"/>
              <w:jc w:val="left"/>
              <w:rPr>
                <w:rFonts w:ascii="Arial Narrow" w:hAnsi="Arial Narrow"/>
                <w:lang w:val="en-US"/>
              </w:rPr>
            </w:pPr>
            <w:r w:rsidRPr="00C70728">
              <w:rPr>
                <w:rFonts w:ascii="Arial Narrow" w:hAnsi="Arial Narrow"/>
                <w:lang w:val="en-US"/>
              </w:rPr>
              <w:t>0,6315</w:t>
            </w:r>
          </w:p>
          <w:p w:rsidR="00B26676" w:rsidRPr="00C70728" w:rsidRDefault="00B26676" w:rsidP="00820B1B">
            <w:pPr>
              <w:spacing w:line="240" w:lineRule="auto"/>
              <w:jc w:val="left"/>
              <w:rPr>
                <w:rFonts w:ascii="Arial Narrow" w:hAnsi="Arial Narrow"/>
                <w:lang w:val="en-US"/>
              </w:rPr>
            </w:pPr>
            <w:r w:rsidRPr="00C70728">
              <w:rPr>
                <w:rFonts w:ascii="Arial Narrow" w:hAnsi="Arial Narrow"/>
                <w:lang w:val="en-US"/>
              </w:rPr>
              <w:t>(1.6332 to 0.9484)</w:t>
            </w:r>
          </w:p>
        </w:tc>
        <w:tc>
          <w:tcPr>
            <w:tcW w:w="704" w:type="pct"/>
          </w:tcPr>
          <w:p w:rsidR="00B26676" w:rsidRPr="00C70728" w:rsidRDefault="00B26676" w:rsidP="00820B1B">
            <w:pPr>
              <w:spacing w:line="240" w:lineRule="auto"/>
              <w:jc w:val="left"/>
              <w:rPr>
                <w:rFonts w:ascii="Arial Narrow" w:hAnsi="Arial Narrow"/>
                <w:color w:val="000000" w:themeColor="text1"/>
                <w:lang w:val="en-US"/>
              </w:rPr>
            </w:pPr>
            <w:r w:rsidRPr="00C70728">
              <w:rPr>
                <w:rFonts w:ascii="Arial Narrow" w:hAnsi="Arial Narrow"/>
                <w:color w:val="000000" w:themeColor="text1"/>
                <w:lang w:val="en-US"/>
              </w:rPr>
              <w:t>0.9204</w:t>
            </w:r>
          </w:p>
          <w:p w:rsidR="00B26676" w:rsidRPr="00C70728" w:rsidRDefault="00B26676" w:rsidP="00820B1B">
            <w:pPr>
              <w:spacing w:line="240" w:lineRule="auto"/>
              <w:jc w:val="left"/>
              <w:rPr>
                <w:rFonts w:ascii="Arial Narrow" w:hAnsi="Arial Narrow"/>
                <w:lang w:val="en-US"/>
              </w:rPr>
            </w:pPr>
            <w:r w:rsidRPr="00C70728">
              <w:rPr>
                <w:rFonts w:ascii="Arial Narrow" w:hAnsi="Arial Narrow"/>
                <w:color w:val="000000" w:themeColor="text1"/>
                <w:lang w:val="en-US"/>
              </w:rPr>
              <w:t>(0.2297 to 0.9948)</w:t>
            </w:r>
          </w:p>
        </w:tc>
        <w:tc>
          <w:tcPr>
            <w:tcW w:w="612" w:type="pct"/>
          </w:tcPr>
          <w:p w:rsidR="00B26676" w:rsidRPr="00C70728" w:rsidRDefault="00B26676" w:rsidP="00820B1B">
            <w:pPr>
              <w:spacing w:line="240" w:lineRule="auto"/>
              <w:jc w:val="left"/>
              <w:rPr>
                <w:rFonts w:ascii="Arial Narrow" w:hAnsi="Arial Narrow"/>
                <w:lang w:val="en-US"/>
              </w:rPr>
            </w:pPr>
            <w:r w:rsidRPr="00C70728">
              <w:rPr>
                <w:rFonts w:ascii="Arial Narrow" w:hAnsi="Arial Narrow"/>
                <w:lang w:val="en-US"/>
              </w:rPr>
              <w:t>0.8046</w:t>
            </w:r>
          </w:p>
          <w:p w:rsidR="00B26676" w:rsidRPr="00C70728" w:rsidRDefault="00B26676" w:rsidP="00820B1B">
            <w:pPr>
              <w:spacing w:line="240" w:lineRule="auto"/>
              <w:jc w:val="left"/>
              <w:rPr>
                <w:rFonts w:ascii="Arial Narrow" w:hAnsi="Arial Narrow"/>
                <w:lang w:val="en-US"/>
              </w:rPr>
            </w:pPr>
            <w:r w:rsidRPr="00C70728">
              <w:rPr>
                <w:rFonts w:ascii="Arial Narrow" w:hAnsi="Arial Narrow"/>
                <w:lang w:val="en-US"/>
              </w:rPr>
              <w:t>(6.618 to 0.9950)</w:t>
            </w:r>
          </w:p>
        </w:tc>
        <w:tc>
          <w:tcPr>
            <w:tcW w:w="589" w:type="pct"/>
          </w:tcPr>
          <w:p w:rsidR="00B26676" w:rsidRPr="00C70728" w:rsidRDefault="00B26676" w:rsidP="00820B1B">
            <w:pPr>
              <w:spacing w:line="240" w:lineRule="auto"/>
              <w:jc w:val="left"/>
              <w:rPr>
                <w:rFonts w:ascii="Arial Narrow" w:hAnsi="Arial Narrow"/>
                <w:color w:val="000000" w:themeColor="text1"/>
                <w:lang w:val="en-US"/>
              </w:rPr>
            </w:pPr>
            <w:r w:rsidRPr="00C70728">
              <w:rPr>
                <w:rFonts w:ascii="Arial Narrow" w:hAnsi="Arial Narrow"/>
                <w:color w:val="000000" w:themeColor="text1"/>
                <w:lang w:val="en-US"/>
              </w:rPr>
              <w:t xml:space="preserve">0.7707 </w:t>
            </w:r>
          </w:p>
          <w:p w:rsidR="00B26676" w:rsidRPr="00C70728" w:rsidRDefault="00B26676" w:rsidP="00820B1B">
            <w:pPr>
              <w:spacing w:line="240" w:lineRule="auto"/>
              <w:jc w:val="left"/>
              <w:rPr>
                <w:rFonts w:ascii="Arial Narrow" w:hAnsi="Arial Narrow"/>
                <w:color w:val="000000" w:themeColor="text1"/>
                <w:lang w:val="en-US"/>
              </w:rPr>
            </w:pPr>
            <w:r w:rsidRPr="00C70728">
              <w:rPr>
                <w:rFonts w:ascii="Arial Narrow" w:hAnsi="Arial Narrow"/>
                <w:color w:val="000000" w:themeColor="text1"/>
                <w:lang w:val="en-US"/>
              </w:rPr>
              <w:t>(-7.9420 to 0.9941)</w:t>
            </w:r>
          </w:p>
        </w:tc>
        <w:tc>
          <w:tcPr>
            <w:tcW w:w="584" w:type="pct"/>
          </w:tcPr>
          <w:p w:rsidR="00B26676" w:rsidRPr="00C70728" w:rsidRDefault="00B26676" w:rsidP="00820B1B">
            <w:pPr>
              <w:spacing w:line="240" w:lineRule="auto"/>
              <w:jc w:val="left"/>
              <w:rPr>
                <w:rFonts w:ascii="Arial Narrow" w:hAnsi="Arial Narrow"/>
                <w:color w:val="000000" w:themeColor="text1"/>
                <w:lang w:val="en-US"/>
              </w:rPr>
            </w:pPr>
            <w:r w:rsidRPr="00C70728">
              <w:rPr>
                <w:rFonts w:ascii="Arial Narrow" w:hAnsi="Arial Narrow"/>
                <w:color w:val="000000" w:themeColor="text1"/>
                <w:lang w:val="en-US"/>
              </w:rPr>
              <w:t xml:space="preserve">0.8208 </w:t>
            </w:r>
          </w:p>
          <w:p w:rsidR="00B26676" w:rsidRPr="00C70728" w:rsidRDefault="00B26676" w:rsidP="00820B1B">
            <w:pPr>
              <w:spacing w:line="240" w:lineRule="auto"/>
              <w:jc w:val="left"/>
              <w:rPr>
                <w:rFonts w:ascii="Arial Narrow" w:hAnsi="Arial Narrow"/>
                <w:color w:val="000000" w:themeColor="text1"/>
                <w:lang w:val="en-US"/>
              </w:rPr>
            </w:pPr>
            <w:r w:rsidRPr="00C70728">
              <w:rPr>
                <w:rFonts w:ascii="Arial Narrow" w:hAnsi="Arial Narrow"/>
                <w:color w:val="000000" w:themeColor="text1"/>
                <w:lang w:val="en-US"/>
              </w:rPr>
              <w:t>(-5.9897 to 0.9954)</w:t>
            </w:r>
          </w:p>
        </w:tc>
        <w:tc>
          <w:tcPr>
            <w:tcW w:w="682" w:type="pct"/>
          </w:tcPr>
          <w:p w:rsidR="00B26676" w:rsidRPr="00C70728" w:rsidRDefault="00B26676" w:rsidP="00820B1B">
            <w:pPr>
              <w:spacing w:line="240" w:lineRule="auto"/>
              <w:jc w:val="left"/>
              <w:rPr>
                <w:rFonts w:ascii="Arial Narrow" w:hAnsi="Arial Narrow"/>
                <w:color w:val="000000" w:themeColor="text1"/>
                <w:lang w:val="en-US"/>
              </w:rPr>
            </w:pPr>
            <w:r w:rsidRPr="00C70728">
              <w:rPr>
                <w:rFonts w:ascii="Arial Narrow" w:hAnsi="Arial Narrow"/>
                <w:color w:val="000000" w:themeColor="text1"/>
                <w:lang w:val="en-US"/>
              </w:rPr>
              <w:t>1.0000 (0.9966 to 1.0000)</w:t>
            </w:r>
          </w:p>
        </w:tc>
      </w:tr>
    </w:tbl>
    <w:p w:rsidR="00B26676" w:rsidRPr="00CD07AD" w:rsidRDefault="00B26676" w:rsidP="00B26676">
      <w:pPr>
        <w:spacing w:after="0" w:line="240" w:lineRule="auto"/>
        <w:rPr>
          <w:sz w:val="16"/>
          <w:szCs w:val="16"/>
          <w:lang w:val="en-GB"/>
        </w:rPr>
      </w:pPr>
      <w:r w:rsidRPr="00CD07AD">
        <w:rPr>
          <w:sz w:val="16"/>
          <w:szCs w:val="16"/>
          <w:lang w:val="en-GB"/>
        </w:rPr>
        <w:t xml:space="preserve">Abbreviations: ICC, Intraclass correlation coefficient; CI, confidence interval; </w:t>
      </w:r>
    </w:p>
    <w:p w:rsidR="00C276CA" w:rsidRPr="00CD07AD" w:rsidRDefault="00C276CA" w:rsidP="00C276CA">
      <w:pPr>
        <w:spacing w:after="0" w:line="240" w:lineRule="auto"/>
        <w:rPr>
          <w:sz w:val="16"/>
          <w:szCs w:val="16"/>
          <w:lang w:val="en-US"/>
        </w:rPr>
      </w:pPr>
      <w:r w:rsidRPr="00CD07AD">
        <w:rPr>
          <w:sz w:val="16"/>
          <w:szCs w:val="16"/>
          <w:lang w:val="en-US"/>
        </w:rPr>
        <w:t xml:space="preserve">The </w:t>
      </w:r>
      <w:proofErr w:type="spellStart"/>
      <w:r w:rsidRPr="00CD07AD">
        <w:rPr>
          <w:sz w:val="16"/>
          <w:szCs w:val="16"/>
          <w:lang w:val="en-US"/>
        </w:rPr>
        <w:t>MedCalc</w:t>
      </w:r>
      <w:proofErr w:type="spellEnd"/>
      <w:r w:rsidRPr="00CD07AD">
        <w:rPr>
          <w:sz w:val="16"/>
          <w:szCs w:val="16"/>
          <w:lang w:val="en-US"/>
        </w:rPr>
        <w:t xml:space="preserve"> Statistical Software version 16.4.3 (</w:t>
      </w:r>
      <w:proofErr w:type="spellStart"/>
      <w:r w:rsidRPr="00CD07AD">
        <w:rPr>
          <w:sz w:val="16"/>
          <w:szCs w:val="16"/>
          <w:lang w:val="en-US"/>
        </w:rPr>
        <w:t>MedCalc</w:t>
      </w:r>
      <w:proofErr w:type="spellEnd"/>
      <w:r w:rsidRPr="00CD07AD">
        <w:rPr>
          <w:sz w:val="16"/>
          <w:szCs w:val="16"/>
          <w:lang w:val="en-US"/>
        </w:rPr>
        <w:t xml:space="preserve"> Software, Ostend, Belgium) was used for statistics.</w:t>
      </w:r>
    </w:p>
    <w:p w:rsidR="00B26676" w:rsidRPr="00CD07AD" w:rsidRDefault="00B26676" w:rsidP="00B26676">
      <w:pPr>
        <w:spacing w:after="0" w:line="240" w:lineRule="auto"/>
        <w:rPr>
          <w:sz w:val="16"/>
          <w:szCs w:val="16"/>
          <w:lang w:val="en-GB"/>
        </w:rPr>
      </w:pPr>
      <w:r w:rsidRPr="00CD07AD">
        <w:rPr>
          <w:sz w:val="16"/>
          <w:szCs w:val="16"/>
          <w:lang w:val="en-GB"/>
        </w:rPr>
        <w:t>* The degree of consistency among measurements</w:t>
      </w:r>
    </w:p>
    <w:p w:rsidR="00B26676" w:rsidRPr="00CD07AD" w:rsidRDefault="00B26676" w:rsidP="00B26676">
      <w:pPr>
        <w:spacing w:after="0" w:line="240" w:lineRule="auto"/>
        <w:rPr>
          <w:sz w:val="16"/>
          <w:szCs w:val="16"/>
          <w:lang w:val="en-GB"/>
        </w:rPr>
      </w:pPr>
      <w:r w:rsidRPr="00CD07AD">
        <w:rPr>
          <w:sz w:val="16"/>
          <w:szCs w:val="16"/>
          <w:lang w:val="en-GB"/>
        </w:rPr>
        <w:t xml:space="preserve">** Estimates the reliability of single ratings; this ICC is an index for the reliability of the ratings for one, typical, single </w:t>
      </w:r>
      <w:proofErr w:type="spellStart"/>
      <w:r w:rsidRPr="00CD07AD">
        <w:rPr>
          <w:sz w:val="16"/>
          <w:szCs w:val="16"/>
          <w:lang w:val="en-GB"/>
        </w:rPr>
        <w:t>rater</w:t>
      </w:r>
      <w:proofErr w:type="spellEnd"/>
      <w:r w:rsidRPr="00CD07AD">
        <w:rPr>
          <w:sz w:val="16"/>
          <w:szCs w:val="16"/>
          <w:lang w:val="en-GB"/>
        </w:rPr>
        <w:t>.</w:t>
      </w:r>
    </w:p>
    <w:p w:rsidR="00B26676" w:rsidRPr="00CD07AD" w:rsidRDefault="00B26676" w:rsidP="00B26676">
      <w:pPr>
        <w:spacing w:after="0" w:line="240" w:lineRule="auto"/>
        <w:rPr>
          <w:sz w:val="16"/>
          <w:szCs w:val="16"/>
          <w:lang w:val="en-GB"/>
        </w:rPr>
      </w:pPr>
      <w:r w:rsidRPr="00CD07AD">
        <w:rPr>
          <w:sz w:val="16"/>
          <w:szCs w:val="16"/>
          <w:lang w:val="en-GB"/>
        </w:rPr>
        <w:t xml:space="preserve">*** Estimates the reliability of averages of k ratings; this ICC is an index for the reliability of different </w:t>
      </w:r>
      <w:proofErr w:type="spellStart"/>
      <w:r w:rsidRPr="00CD07AD">
        <w:rPr>
          <w:sz w:val="16"/>
          <w:szCs w:val="16"/>
          <w:lang w:val="en-GB"/>
        </w:rPr>
        <w:t>raters</w:t>
      </w:r>
      <w:proofErr w:type="spellEnd"/>
      <w:r w:rsidRPr="00CD07AD">
        <w:rPr>
          <w:sz w:val="16"/>
          <w:szCs w:val="16"/>
          <w:lang w:val="en-GB"/>
        </w:rPr>
        <w:t xml:space="preserve"> averaged together and is always higher than the Single measures ICC.</w:t>
      </w:r>
    </w:p>
    <w:p w:rsidR="00B26676" w:rsidRDefault="00B26676" w:rsidP="00B26676">
      <w:pPr>
        <w:spacing w:after="0"/>
        <w:rPr>
          <w:lang w:val="en-GB"/>
        </w:rPr>
      </w:pPr>
    </w:p>
    <w:p w:rsidR="00A50434" w:rsidRDefault="00A50434" w:rsidP="00B26676">
      <w:pPr>
        <w:spacing w:after="0"/>
        <w:rPr>
          <w:lang w:val="en-GB"/>
        </w:rPr>
      </w:pPr>
    </w:p>
    <w:p w:rsidR="00BF7D1C" w:rsidRDefault="00F15F1B" w:rsidP="00501E6D">
      <w:pPr>
        <w:pBdr>
          <w:top w:val="single" w:sz="4" w:space="1" w:color="auto"/>
          <w:left w:val="single" w:sz="4" w:space="4" w:color="auto"/>
          <w:bottom w:val="single" w:sz="4" w:space="1" w:color="auto"/>
          <w:right w:val="single" w:sz="4" w:space="4" w:color="auto"/>
        </w:pBdr>
        <w:spacing w:line="240" w:lineRule="auto"/>
        <w:rPr>
          <w:i/>
          <w:iCs/>
          <w:lang w:val="en-GB"/>
        </w:rPr>
      </w:pPr>
      <w:r w:rsidRPr="009F4D3F">
        <w:rPr>
          <w:i/>
          <w:iCs/>
          <w:u w:val="single"/>
          <w:lang w:val="en-GB"/>
        </w:rPr>
        <w:lastRenderedPageBreak/>
        <w:t>Comment</w:t>
      </w:r>
      <w:r w:rsidR="00635A0B" w:rsidRPr="009F4D3F">
        <w:rPr>
          <w:i/>
          <w:iCs/>
          <w:u w:val="single"/>
          <w:lang w:val="en-GB"/>
        </w:rPr>
        <w:t>s</w:t>
      </w:r>
      <w:r w:rsidRPr="00635A0B">
        <w:rPr>
          <w:i/>
          <w:iCs/>
          <w:lang w:val="en-GB"/>
        </w:rPr>
        <w:t xml:space="preserve">: </w:t>
      </w:r>
    </w:p>
    <w:p w:rsidR="00F15F1B" w:rsidRPr="009F4D3F" w:rsidRDefault="00F15F1B" w:rsidP="00501E6D">
      <w:pPr>
        <w:pBdr>
          <w:top w:val="single" w:sz="4" w:space="1" w:color="auto"/>
          <w:left w:val="single" w:sz="4" w:space="4" w:color="auto"/>
          <w:bottom w:val="single" w:sz="4" w:space="1" w:color="auto"/>
          <w:right w:val="single" w:sz="4" w:space="4" w:color="auto"/>
        </w:pBdr>
        <w:spacing w:line="240" w:lineRule="auto"/>
        <w:rPr>
          <w:i/>
          <w:iCs/>
          <w:lang w:val="en-US"/>
        </w:rPr>
      </w:pPr>
      <w:r w:rsidRPr="00635A0B">
        <w:rPr>
          <w:i/>
          <w:iCs/>
          <w:lang w:val="en-GB"/>
        </w:rPr>
        <w:t>Cicchetti (</w:t>
      </w:r>
      <w:r w:rsidR="00EA62AA">
        <w:fldChar w:fldCharType="begin"/>
      </w:r>
      <w:r w:rsidR="00EA62AA" w:rsidRPr="005D7D8B">
        <w:rPr>
          <w:lang w:val="en-US"/>
        </w:rPr>
        <w:instrText xml:space="preserve"> HYPERLINK "https://pdfs.semanticscholar.org</w:instrText>
      </w:r>
      <w:r w:rsidR="00EA62AA" w:rsidRPr="005D7D8B">
        <w:rPr>
          <w:lang w:val="en-US"/>
        </w:rPr>
        <w:instrText xml:space="preserve">/50d7/f68422d0c0424674f6b235ac23be8300da38.pdf" </w:instrText>
      </w:r>
      <w:r w:rsidR="00EA62AA">
        <w:fldChar w:fldCharType="separate"/>
      </w:r>
      <w:r w:rsidRPr="005A4A5A">
        <w:rPr>
          <w:rStyle w:val="Hiperligao"/>
          <w:i/>
          <w:iCs/>
          <w:lang w:val="en-GB"/>
        </w:rPr>
        <w:t>1994</w:t>
      </w:r>
      <w:r w:rsidR="00EA62AA">
        <w:rPr>
          <w:rStyle w:val="Hiperligao"/>
          <w:i/>
          <w:iCs/>
          <w:lang w:val="en-GB"/>
        </w:rPr>
        <w:fldChar w:fldCharType="end"/>
      </w:r>
      <w:r w:rsidRPr="00635A0B">
        <w:rPr>
          <w:i/>
          <w:iCs/>
          <w:lang w:val="en-GB"/>
        </w:rPr>
        <w:t>) g</w:t>
      </w:r>
      <w:r w:rsidR="006D2EB1">
        <w:rPr>
          <w:i/>
          <w:iCs/>
          <w:lang w:val="en-GB"/>
        </w:rPr>
        <w:t>ave</w:t>
      </w:r>
      <w:r w:rsidRPr="00635A0B">
        <w:rPr>
          <w:i/>
          <w:iCs/>
          <w:lang w:val="en-GB"/>
        </w:rPr>
        <w:t xml:space="preserve"> the following often quoted guidelines for interpretation for ICC inter-rater agreement measures: bellow 0.40</w:t>
      </w:r>
      <w:r w:rsidR="009F4D3F">
        <w:rPr>
          <w:i/>
          <w:iCs/>
          <w:lang w:val="en-GB"/>
        </w:rPr>
        <w:t xml:space="preserve"> - </w:t>
      </w:r>
      <w:r w:rsidRPr="00635A0B">
        <w:rPr>
          <w:i/>
          <w:iCs/>
          <w:lang w:val="en-GB"/>
        </w:rPr>
        <w:t>poor; between 0.40 and 0.5</w:t>
      </w:r>
      <w:r w:rsidR="009F4D3F">
        <w:rPr>
          <w:i/>
          <w:iCs/>
          <w:lang w:val="en-GB"/>
        </w:rPr>
        <w:t xml:space="preserve">9 - </w:t>
      </w:r>
      <w:r w:rsidRPr="00635A0B">
        <w:rPr>
          <w:i/>
          <w:iCs/>
          <w:lang w:val="en-GB"/>
        </w:rPr>
        <w:t>fair; between 0.60 and 0.74</w:t>
      </w:r>
      <w:r w:rsidR="009F4D3F">
        <w:rPr>
          <w:i/>
          <w:iCs/>
          <w:lang w:val="en-GB"/>
        </w:rPr>
        <w:t xml:space="preserve"> - </w:t>
      </w:r>
      <w:r w:rsidRPr="00635A0B">
        <w:rPr>
          <w:i/>
          <w:iCs/>
          <w:lang w:val="en-GB"/>
        </w:rPr>
        <w:t>good; between 0.75 and 1.0</w:t>
      </w:r>
      <w:r w:rsidR="009F4D3F">
        <w:rPr>
          <w:i/>
          <w:iCs/>
          <w:lang w:val="en-GB"/>
        </w:rPr>
        <w:t xml:space="preserve">0 – </w:t>
      </w:r>
      <w:r w:rsidRPr="00635A0B">
        <w:rPr>
          <w:i/>
          <w:iCs/>
          <w:lang w:val="en-GB"/>
        </w:rPr>
        <w:t>excellent</w:t>
      </w:r>
      <w:r w:rsidR="009F4D3F">
        <w:rPr>
          <w:i/>
          <w:iCs/>
          <w:lang w:val="en-GB"/>
        </w:rPr>
        <w:t xml:space="preserve"> reliability</w:t>
      </w:r>
      <w:r w:rsidRPr="00635A0B">
        <w:rPr>
          <w:i/>
          <w:iCs/>
          <w:lang w:val="en-GB"/>
        </w:rPr>
        <w:t xml:space="preserve">. </w:t>
      </w:r>
      <w:r w:rsidR="009F4D3F">
        <w:rPr>
          <w:i/>
          <w:iCs/>
          <w:lang w:val="en-GB"/>
        </w:rPr>
        <w:t>D</w:t>
      </w:r>
      <w:r w:rsidRPr="00635A0B">
        <w:rPr>
          <w:i/>
          <w:iCs/>
          <w:lang w:val="en-GB"/>
        </w:rPr>
        <w:t>ifferent guideline</w:t>
      </w:r>
      <w:r w:rsidR="009F4D3F">
        <w:rPr>
          <w:i/>
          <w:iCs/>
          <w:lang w:val="en-GB"/>
        </w:rPr>
        <w:t>s</w:t>
      </w:r>
      <w:r w:rsidRPr="00635A0B">
        <w:rPr>
          <w:i/>
          <w:iCs/>
          <w:lang w:val="en-GB"/>
        </w:rPr>
        <w:t xml:space="preserve"> </w:t>
      </w:r>
      <w:r w:rsidR="006D2EB1">
        <w:rPr>
          <w:i/>
          <w:iCs/>
          <w:lang w:val="en-GB"/>
        </w:rPr>
        <w:t>w</w:t>
      </w:r>
      <w:r w:rsidR="009F4D3F">
        <w:rPr>
          <w:i/>
          <w:iCs/>
          <w:lang w:val="en-GB"/>
        </w:rPr>
        <w:t>ere subsequently</w:t>
      </w:r>
      <w:r w:rsidRPr="00635A0B">
        <w:rPr>
          <w:i/>
          <w:iCs/>
          <w:lang w:val="en-GB"/>
        </w:rPr>
        <w:t xml:space="preserve"> given </w:t>
      </w:r>
      <w:r w:rsidR="009F4D3F">
        <w:rPr>
          <w:i/>
          <w:iCs/>
          <w:lang w:val="en-GB"/>
        </w:rPr>
        <w:t xml:space="preserve">by </w:t>
      </w:r>
      <w:r w:rsidR="009F4D3F" w:rsidRPr="009F4D3F">
        <w:rPr>
          <w:rStyle w:val="element-citation"/>
          <w:color w:val="000000"/>
          <w:shd w:val="clear" w:color="auto" w:fill="FFFFFF"/>
          <w:lang w:val="en-US"/>
        </w:rPr>
        <w:t>Rosner</w:t>
      </w:r>
      <w:r w:rsidR="009F4D3F">
        <w:rPr>
          <w:rStyle w:val="element-citation"/>
          <w:color w:val="000000"/>
          <w:shd w:val="clear" w:color="auto" w:fill="FFFFFF"/>
          <w:lang w:val="en-US"/>
        </w:rPr>
        <w:t xml:space="preserve"> (2006) (</w:t>
      </w:r>
      <w:r w:rsidR="009F4D3F" w:rsidRPr="009F4D3F">
        <w:rPr>
          <w:rStyle w:val="element-citation"/>
          <w:color w:val="000000"/>
          <w:shd w:val="clear" w:color="auto" w:fill="FFFFFF"/>
          <w:lang w:val="en-US"/>
        </w:rPr>
        <w:t>ICC &lt; 0.4</w:t>
      </w:r>
      <w:r w:rsidR="009F4D3F">
        <w:rPr>
          <w:rStyle w:val="element-citation"/>
          <w:color w:val="000000"/>
          <w:shd w:val="clear" w:color="auto" w:fill="FFFFFF"/>
          <w:lang w:val="en-US"/>
        </w:rPr>
        <w:t xml:space="preserve">: </w:t>
      </w:r>
      <w:r w:rsidR="009F4D3F" w:rsidRPr="009F4D3F">
        <w:rPr>
          <w:rStyle w:val="element-citation"/>
          <w:color w:val="000000"/>
          <w:shd w:val="clear" w:color="auto" w:fill="FFFFFF"/>
          <w:lang w:val="en-US"/>
        </w:rPr>
        <w:t>poor reliability, 0.4 ≤ ICC &lt; 0.75</w:t>
      </w:r>
      <w:r w:rsidR="009F4D3F">
        <w:rPr>
          <w:rStyle w:val="element-citation"/>
          <w:color w:val="000000"/>
          <w:shd w:val="clear" w:color="auto" w:fill="FFFFFF"/>
          <w:lang w:val="en-US"/>
        </w:rPr>
        <w:t>:</w:t>
      </w:r>
      <w:r w:rsidR="009F4D3F" w:rsidRPr="009F4D3F">
        <w:rPr>
          <w:rStyle w:val="element-citation"/>
          <w:color w:val="000000"/>
          <w:shd w:val="clear" w:color="auto" w:fill="FFFFFF"/>
          <w:lang w:val="en-US"/>
        </w:rPr>
        <w:t xml:space="preserve"> fair to good reliability, and ICC ≥ 0.75</w:t>
      </w:r>
      <w:r w:rsidR="009F4D3F">
        <w:rPr>
          <w:rStyle w:val="element-citation"/>
          <w:color w:val="000000"/>
          <w:shd w:val="clear" w:color="auto" w:fill="FFFFFF"/>
          <w:lang w:val="en-US"/>
        </w:rPr>
        <w:t xml:space="preserve">: </w:t>
      </w:r>
      <w:r w:rsidR="009F4D3F" w:rsidRPr="009F4D3F">
        <w:rPr>
          <w:rStyle w:val="element-citation"/>
          <w:color w:val="000000"/>
          <w:shd w:val="clear" w:color="auto" w:fill="FFFFFF"/>
          <w:lang w:val="en-US"/>
        </w:rPr>
        <w:t>excellent reliability</w:t>
      </w:r>
      <w:r w:rsidR="009F4D3F">
        <w:rPr>
          <w:rStyle w:val="element-citation"/>
          <w:color w:val="000000"/>
          <w:shd w:val="clear" w:color="auto" w:fill="FFFFFF"/>
          <w:lang w:val="en-US"/>
        </w:rPr>
        <w:t xml:space="preserve">) and by </w:t>
      </w:r>
      <w:r w:rsidR="009F4D3F" w:rsidRPr="00635A0B">
        <w:rPr>
          <w:i/>
          <w:iCs/>
          <w:lang w:val="en-GB"/>
        </w:rPr>
        <w:t>Koo and Li (</w:t>
      </w:r>
      <w:r w:rsidR="00EA62AA">
        <w:fldChar w:fldCharType="begin"/>
      </w:r>
      <w:r w:rsidR="00EA62AA" w:rsidRPr="005D7D8B">
        <w:rPr>
          <w:lang w:val="en-US"/>
        </w:rPr>
        <w:instrText xml:space="preserve"> HYPERLINK "https://www.ncbi.nlm.nih.gov/pubmed/?term=273305" </w:instrText>
      </w:r>
      <w:r w:rsidR="00EA62AA">
        <w:fldChar w:fldCharType="separate"/>
      </w:r>
      <w:r w:rsidR="009F4D3F" w:rsidRPr="005A4A5A">
        <w:rPr>
          <w:rStyle w:val="Hiperligao"/>
          <w:i/>
          <w:iCs/>
          <w:lang w:val="en-GB"/>
        </w:rPr>
        <w:t>2016</w:t>
      </w:r>
      <w:r w:rsidR="00EA62AA">
        <w:rPr>
          <w:rStyle w:val="Hiperligao"/>
          <w:i/>
          <w:iCs/>
          <w:lang w:val="en-GB"/>
        </w:rPr>
        <w:fldChar w:fldCharType="end"/>
      </w:r>
      <w:r w:rsidR="009F4D3F" w:rsidRPr="00635A0B">
        <w:rPr>
          <w:i/>
          <w:iCs/>
          <w:lang w:val="en-GB"/>
        </w:rPr>
        <w:t>)</w:t>
      </w:r>
      <w:r w:rsidR="009F4D3F">
        <w:rPr>
          <w:i/>
          <w:iCs/>
          <w:lang w:val="en-GB"/>
        </w:rPr>
        <w:t xml:space="preserve"> (</w:t>
      </w:r>
      <w:r w:rsidR="009F4D3F" w:rsidRPr="009F4D3F">
        <w:rPr>
          <w:rStyle w:val="element-citation"/>
          <w:color w:val="000000"/>
          <w:shd w:val="clear" w:color="auto" w:fill="FFFFFF"/>
          <w:lang w:val="en-US"/>
        </w:rPr>
        <w:t xml:space="preserve">ICC &lt; </w:t>
      </w:r>
      <w:r w:rsidR="009F4D3F" w:rsidRPr="00635A0B">
        <w:rPr>
          <w:i/>
          <w:iCs/>
          <w:lang w:val="en-GB"/>
        </w:rPr>
        <w:t>0.50: poor; between 0.50 and 0.75: moderate; between 0.75 and 0.90: good; above 0.90: excellent</w:t>
      </w:r>
      <w:r w:rsidR="009F4D3F">
        <w:rPr>
          <w:i/>
          <w:iCs/>
          <w:lang w:val="en-GB"/>
        </w:rPr>
        <w:t>).</w:t>
      </w:r>
    </w:p>
    <w:p w:rsidR="00C741F7" w:rsidRPr="006553E4" w:rsidRDefault="00C741F7" w:rsidP="00247B90">
      <w:pPr>
        <w:pStyle w:val="Ttulo6"/>
        <w:rPr>
          <w:lang w:val="en-US"/>
        </w:rPr>
      </w:pPr>
      <w:r w:rsidRPr="009D42E4">
        <w:rPr>
          <w:lang w:val="en-US"/>
        </w:rPr>
        <w:t>Specific</w:t>
      </w:r>
      <w:r w:rsidR="006553E4" w:rsidRPr="009D42E4">
        <w:rPr>
          <w:lang w:val="en-US"/>
        </w:rPr>
        <w:t>it</w:t>
      </w:r>
      <w:r w:rsidRPr="009D42E4">
        <w:rPr>
          <w:lang w:val="en-US"/>
        </w:rPr>
        <w:t>y and sensitivi</w:t>
      </w:r>
      <w:r w:rsidR="00F94BFC">
        <w:rPr>
          <w:lang w:val="en-US"/>
        </w:rPr>
        <w:t>ty</w:t>
      </w:r>
    </w:p>
    <w:p w:rsidR="00F94BFC" w:rsidRDefault="00F94BFC" w:rsidP="00F94BFC">
      <w:pPr>
        <w:rPr>
          <w:lang w:val="en-US"/>
        </w:rPr>
      </w:pPr>
      <w:r w:rsidRPr="00742DC5">
        <w:rPr>
          <w:lang w:val="en-US"/>
        </w:rPr>
        <w:t xml:space="preserve">Validation of </w:t>
      </w:r>
      <w:r>
        <w:rPr>
          <w:lang w:val="en-US"/>
        </w:rPr>
        <w:t xml:space="preserve">FCM-based </w:t>
      </w:r>
      <w:r w:rsidRPr="00742DC5">
        <w:rPr>
          <w:lang w:val="en-US"/>
        </w:rPr>
        <w:t xml:space="preserve">diagnostic tests </w:t>
      </w:r>
      <w:r>
        <w:rPr>
          <w:lang w:val="en-US"/>
        </w:rPr>
        <w:t xml:space="preserve">to evaluate PLT function </w:t>
      </w:r>
      <w:r w:rsidRPr="00742DC5">
        <w:rPr>
          <w:lang w:val="en-US"/>
        </w:rPr>
        <w:t>is difficult because of the absence of a gold standard test</w:t>
      </w:r>
      <w:r>
        <w:rPr>
          <w:lang w:val="en-US"/>
        </w:rPr>
        <w:t xml:space="preserve"> and because of the rarity of inherited PLT disorders</w:t>
      </w:r>
      <w:r w:rsidRPr="00742DC5">
        <w:rPr>
          <w:lang w:val="en-US"/>
        </w:rPr>
        <w:t xml:space="preserve">. </w:t>
      </w:r>
    </w:p>
    <w:p w:rsidR="00BA6F36" w:rsidRDefault="00BA6F36" w:rsidP="00BA6F36">
      <w:pPr>
        <w:rPr>
          <w:lang w:val="en-GB"/>
        </w:rPr>
      </w:pPr>
      <w:r>
        <w:rPr>
          <w:lang w:val="en-GB"/>
        </w:rPr>
        <w:t xml:space="preserve">The protocol described above was initially validated by studying 11 healthy control PB samples, 1 </w:t>
      </w:r>
      <w:r w:rsidR="007D26DA">
        <w:rPr>
          <w:lang w:val="en-GB"/>
        </w:rPr>
        <w:t xml:space="preserve">PB </w:t>
      </w:r>
      <w:r>
        <w:rPr>
          <w:lang w:val="en-GB"/>
        </w:rPr>
        <w:t xml:space="preserve">sample from </w:t>
      </w:r>
      <w:r w:rsidR="006553E4">
        <w:rPr>
          <w:lang w:val="en-GB"/>
        </w:rPr>
        <w:t>a</w:t>
      </w:r>
      <w:r>
        <w:rPr>
          <w:lang w:val="en-GB"/>
        </w:rPr>
        <w:t xml:space="preserve"> patient with GTLS </w:t>
      </w:r>
      <w:r w:rsidR="007D26DA">
        <w:rPr>
          <w:lang w:val="en-GB"/>
        </w:rPr>
        <w:t xml:space="preserve">with genetic diagnosis </w:t>
      </w:r>
      <w:r>
        <w:rPr>
          <w:lang w:val="en-GB"/>
        </w:rPr>
        <w:t xml:space="preserve">and </w:t>
      </w:r>
      <w:r w:rsidR="006553E4">
        <w:rPr>
          <w:lang w:val="en-GB"/>
        </w:rPr>
        <w:t>1</w:t>
      </w:r>
      <w:r>
        <w:rPr>
          <w:lang w:val="en-GB"/>
        </w:rPr>
        <w:t xml:space="preserve"> PB sample from a patient with type I GT. </w:t>
      </w:r>
    </w:p>
    <w:p w:rsidR="00DE3567" w:rsidRDefault="00BA6F36" w:rsidP="00BA6F36">
      <w:pPr>
        <w:rPr>
          <w:lang w:val="en-GB"/>
        </w:rPr>
      </w:pPr>
      <w:r>
        <w:rPr>
          <w:lang w:val="en-GB"/>
        </w:rPr>
        <w:t xml:space="preserve">After that, 9 patients with GTLS with genetic diagnosis </w:t>
      </w:r>
      <w:r w:rsidR="006553E4">
        <w:rPr>
          <w:lang w:val="en-GB"/>
        </w:rPr>
        <w:t xml:space="preserve">(including the patient mentioned above) </w:t>
      </w:r>
      <w:r w:rsidR="00DE3567">
        <w:rPr>
          <w:lang w:val="en-GB"/>
        </w:rPr>
        <w:t xml:space="preserve">from 8 different GTLS families </w:t>
      </w:r>
      <w:r>
        <w:rPr>
          <w:lang w:val="en-GB"/>
        </w:rPr>
        <w:t xml:space="preserve">were studied together with another 12 PB samples from healthy controls. </w:t>
      </w:r>
    </w:p>
    <w:p w:rsidR="006553E4" w:rsidRDefault="007D26DA" w:rsidP="00742DC5">
      <w:pPr>
        <w:rPr>
          <w:lang w:val="en-GB"/>
        </w:rPr>
      </w:pPr>
      <w:r>
        <w:rPr>
          <w:lang w:val="en-GB"/>
        </w:rPr>
        <w:t xml:space="preserve">Subsequently, 5 patients with other types of familial thrombocytopenia with normal GPIIb/IIIa levels due to other genetic defects were evaluated, together with </w:t>
      </w:r>
      <w:r w:rsidR="006553E4">
        <w:rPr>
          <w:lang w:val="en-GB"/>
        </w:rPr>
        <w:t>another 6</w:t>
      </w:r>
      <w:r>
        <w:rPr>
          <w:lang w:val="en-GB"/>
        </w:rPr>
        <w:t xml:space="preserve"> normal PB samples</w:t>
      </w:r>
      <w:r w:rsidR="006553E4">
        <w:rPr>
          <w:lang w:val="en-GB"/>
        </w:rPr>
        <w:t>.</w:t>
      </w:r>
      <w:r w:rsidR="00DE3567">
        <w:rPr>
          <w:lang w:val="en-GB"/>
        </w:rPr>
        <w:t xml:space="preserve"> In addition, the study of one of the GTLS patients who had been previously studied was repeated in a different time with similar results.</w:t>
      </w:r>
    </w:p>
    <w:p w:rsidR="00CD56CB" w:rsidRDefault="001A15F9" w:rsidP="00742DC5">
      <w:pPr>
        <w:rPr>
          <w:lang w:val="en-GB"/>
        </w:rPr>
      </w:pPr>
      <w:r>
        <w:rPr>
          <w:lang w:val="en-GB"/>
        </w:rPr>
        <w:t xml:space="preserve">In overall, the </w:t>
      </w:r>
      <w:r w:rsidRPr="001A15F9">
        <w:rPr>
          <w:lang w:val="en-GB"/>
        </w:rPr>
        <w:t>study population consisted of 2</w:t>
      </w:r>
      <w:r w:rsidR="00DD763B">
        <w:rPr>
          <w:lang w:val="en-GB"/>
        </w:rPr>
        <w:t>6</w:t>
      </w:r>
      <w:r w:rsidRPr="001A15F9">
        <w:rPr>
          <w:lang w:val="en-GB"/>
        </w:rPr>
        <w:t xml:space="preserve"> healthy adult individuals,</w:t>
      </w:r>
      <w:r>
        <w:rPr>
          <w:lang w:val="en-GB"/>
        </w:rPr>
        <w:t xml:space="preserve"> </w:t>
      </w:r>
      <w:r w:rsidR="00D92187">
        <w:rPr>
          <w:lang w:val="en-GB"/>
        </w:rPr>
        <w:t>1</w:t>
      </w:r>
      <w:r w:rsidR="00DD763B">
        <w:rPr>
          <w:lang w:val="en-GB"/>
        </w:rPr>
        <w:t>3</w:t>
      </w:r>
      <w:r w:rsidR="00D92187">
        <w:rPr>
          <w:lang w:val="en-GB"/>
        </w:rPr>
        <w:t xml:space="preserve"> </w:t>
      </w:r>
      <w:r>
        <w:rPr>
          <w:lang w:val="en-GB"/>
        </w:rPr>
        <w:t>males</w:t>
      </w:r>
      <w:r w:rsidR="00D92187">
        <w:rPr>
          <w:lang w:val="en-GB"/>
        </w:rPr>
        <w:t xml:space="preserve"> (5</w:t>
      </w:r>
      <w:r w:rsidR="00DD763B">
        <w:rPr>
          <w:lang w:val="en-GB"/>
        </w:rPr>
        <w:t>0</w:t>
      </w:r>
      <w:r w:rsidR="00D92187">
        <w:rPr>
          <w:lang w:val="en-GB"/>
        </w:rPr>
        <w:t>%)</w:t>
      </w:r>
      <w:r>
        <w:rPr>
          <w:lang w:val="en-GB"/>
        </w:rPr>
        <w:t>,</w:t>
      </w:r>
      <w:r w:rsidRPr="001A15F9">
        <w:rPr>
          <w:lang w:val="en-GB"/>
        </w:rPr>
        <w:t xml:space="preserve"> </w:t>
      </w:r>
      <w:r>
        <w:rPr>
          <w:lang w:val="en-GB"/>
        </w:rPr>
        <w:t xml:space="preserve">with a median age of </w:t>
      </w:r>
      <w:r w:rsidR="00976997">
        <w:rPr>
          <w:lang w:val="en-GB"/>
        </w:rPr>
        <w:t>51</w:t>
      </w:r>
      <w:r>
        <w:rPr>
          <w:lang w:val="en-GB"/>
        </w:rPr>
        <w:t xml:space="preserve"> years, ranging from </w:t>
      </w:r>
      <w:r w:rsidR="00976997">
        <w:rPr>
          <w:lang w:val="en-GB"/>
        </w:rPr>
        <w:t>22</w:t>
      </w:r>
      <w:r>
        <w:rPr>
          <w:lang w:val="en-GB"/>
        </w:rPr>
        <w:t xml:space="preserve"> to </w:t>
      </w:r>
      <w:r w:rsidR="00976997">
        <w:rPr>
          <w:lang w:val="en-GB"/>
        </w:rPr>
        <w:t xml:space="preserve">66 </w:t>
      </w:r>
      <w:r w:rsidRPr="001A15F9">
        <w:rPr>
          <w:lang w:val="en-GB"/>
        </w:rPr>
        <w:t>years</w:t>
      </w:r>
      <w:r>
        <w:rPr>
          <w:lang w:val="en-GB"/>
        </w:rPr>
        <w:t>, and</w:t>
      </w:r>
      <w:r w:rsidR="00CD56CB">
        <w:rPr>
          <w:lang w:val="en-GB"/>
        </w:rPr>
        <w:t xml:space="preserve"> 14</w:t>
      </w:r>
      <w:r>
        <w:rPr>
          <w:lang w:val="en-GB"/>
        </w:rPr>
        <w:t xml:space="preserve"> patients, </w:t>
      </w:r>
      <w:r w:rsidR="00760D1B">
        <w:rPr>
          <w:lang w:val="en-GB"/>
        </w:rPr>
        <w:t>6</w:t>
      </w:r>
      <w:r>
        <w:rPr>
          <w:lang w:val="en-GB"/>
        </w:rPr>
        <w:t xml:space="preserve"> males and </w:t>
      </w:r>
      <w:r w:rsidR="00760D1B">
        <w:rPr>
          <w:lang w:val="en-GB"/>
        </w:rPr>
        <w:t>9</w:t>
      </w:r>
      <w:r>
        <w:rPr>
          <w:lang w:val="en-GB"/>
        </w:rPr>
        <w:t xml:space="preserve"> females, with a median age of </w:t>
      </w:r>
      <w:r w:rsidR="00D92187">
        <w:rPr>
          <w:lang w:val="en-GB"/>
        </w:rPr>
        <w:t>45</w:t>
      </w:r>
      <w:r>
        <w:rPr>
          <w:lang w:val="en-GB"/>
        </w:rPr>
        <w:t xml:space="preserve"> years, ranging from</w:t>
      </w:r>
      <w:r w:rsidR="00D92187">
        <w:rPr>
          <w:lang w:val="en-GB"/>
        </w:rPr>
        <w:t xml:space="preserve"> 12</w:t>
      </w:r>
      <w:r>
        <w:rPr>
          <w:lang w:val="en-GB"/>
        </w:rPr>
        <w:t xml:space="preserve"> to </w:t>
      </w:r>
      <w:r w:rsidR="00D92187">
        <w:rPr>
          <w:lang w:val="en-GB"/>
        </w:rPr>
        <w:t>66</w:t>
      </w:r>
      <w:r>
        <w:rPr>
          <w:lang w:val="en-GB"/>
        </w:rPr>
        <w:t xml:space="preserve"> years</w:t>
      </w:r>
      <w:r w:rsidR="00CD56CB">
        <w:rPr>
          <w:lang w:val="en-GB"/>
        </w:rPr>
        <w:t xml:space="preserve"> (</w:t>
      </w:r>
      <w:r w:rsidR="00CD56CB" w:rsidRPr="00134D3B">
        <w:rPr>
          <w:b/>
          <w:bCs/>
          <w:highlight w:val="lightGray"/>
          <w:lang w:val="en-GB"/>
        </w:rPr>
        <w:t>Table 4</w:t>
      </w:r>
      <w:r w:rsidR="00CD56CB">
        <w:rPr>
          <w:lang w:val="en-GB"/>
        </w:rPr>
        <w:t>)</w:t>
      </w:r>
      <w:r>
        <w:rPr>
          <w:lang w:val="en-GB"/>
        </w:rPr>
        <w:t xml:space="preserve">. </w:t>
      </w:r>
      <w:r w:rsidR="00760D1B">
        <w:rPr>
          <w:lang w:val="en-GB"/>
        </w:rPr>
        <w:t>The patient´s group included 9 patients with GTLS (7 females, 2 males; median range of 45 years, ranging from 19 to 66 years) and 6 patients with other inherited PLT disorders (2 females, 4 males, median age of 31 years, ranging from 12 to 53 years), from which 1 patient had GT.</w:t>
      </w:r>
    </w:p>
    <w:p w:rsidR="001A15F9" w:rsidRDefault="001A15F9" w:rsidP="00742DC5">
      <w:pPr>
        <w:rPr>
          <w:lang w:val="en-GB"/>
        </w:rPr>
      </w:pPr>
      <w:r>
        <w:rPr>
          <w:lang w:val="en-GB"/>
        </w:rPr>
        <w:t xml:space="preserve">The median PLT counts were of </w:t>
      </w:r>
      <w:r w:rsidR="00D92187">
        <w:rPr>
          <w:lang w:val="en-GB"/>
        </w:rPr>
        <w:t>222</w:t>
      </w:r>
      <w:r>
        <w:rPr>
          <w:lang w:val="en-GB"/>
        </w:rPr>
        <w:t>x10</w:t>
      </w:r>
      <w:r w:rsidRPr="001A15F9">
        <w:rPr>
          <w:vertAlign w:val="superscript"/>
          <w:lang w:val="en-GB"/>
        </w:rPr>
        <w:t>9</w:t>
      </w:r>
      <w:r>
        <w:rPr>
          <w:lang w:val="en-GB"/>
        </w:rPr>
        <w:t xml:space="preserve">/L in healthy controls, ranging from </w:t>
      </w:r>
      <w:r w:rsidR="00D92187">
        <w:rPr>
          <w:lang w:val="en-GB"/>
        </w:rPr>
        <w:t>117</w:t>
      </w:r>
      <w:r>
        <w:rPr>
          <w:lang w:val="en-GB"/>
        </w:rPr>
        <w:t xml:space="preserve"> to </w:t>
      </w:r>
      <w:r w:rsidR="00D92187">
        <w:rPr>
          <w:lang w:val="en-GB"/>
        </w:rPr>
        <w:t>299</w:t>
      </w:r>
      <w:r>
        <w:rPr>
          <w:lang w:val="en-GB"/>
        </w:rPr>
        <w:t>x10</w:t>
      </w:r>
      <w:r w:rsidRPr="001A15F9">
        <w:rPr>
          <w:vertAlign w:val="superscript"/>
          <w:lang w:val="en-GB"/>
        </w:rPr>
        <w:t>9</w:t>
      </w:r>
      <w:r>
        <w:rPr>
          <w:lang w:val="en-GB"/>
        </w:rPr>
        <w:t>/L</w:t>
      </w:r>
      <w:r w:rsidR="00760D1B">
        <w:rPr>
          <w:lang w:val="en-GB"/>
        </w:rPr>
        <w:t>,</w:t>
      </w:r>
      <w:r>
        <w:rPr>
          <w:lang w:val="en-GB"/>
        </w:rPr>
        <w:t xml:space="preserve"> and</w:t>
      </w:r>
      <w:r w:rsidR="00D92187">
        <w:rPr>
          <w:lang w:val="en-GB"/>
        </w:rPr>
        <w:t xml:space="preserve"> of</w:t>
      </w:r>
      <w:r w:rsidR="00760D1B">
        <w:rPr>
          <w:lang w:val="en-GB"/>
        </w:rPr>
        <w:t xml:space="preserve"> 118</w:t>
      </w:r>
      <w:r w:rsidR="00D92187">
        <w:rPr>
          <w:lang w:val="en-GB"/>
        </w:rPr>
        <w:t>x10</w:t>
      </w:r>
      <w:r w:rsidR="00D92187" w:rsidRPr="001A15F9">
        <w:rPr>
          <w:vertAlign w:val="superscript"/>
          <w:lang w:val="en-GB"/>
        </w:rPr>
        <w:t>9</w:t>
      </w:r>
      <w:r w:rsidR="00D92187">
        <w:rPr>
          <w:lang w:val="en-GB"/>
        </w:rPr>
        <w:t>/L in patients, ranging</w:t>
      </w:r>
      <w:r>
        <w:rPr>
          <w:lang w:val="en-GB"/>
        </w:rPr>
        <w:t xml:space="preserve"> from </w:t>
      </w:r>
      <w:r w:rsidR="00760D1B">
        <w:rPr>
          <w:lang w:val="en-GB"/>
        </w:rPr>
        <w:t>69</w:t>
      </w:r>
      <w:r>
        <w:rPr>
          <w:lang w:val="en-GB"/>
        </w:rPr>
        <w:t xml:space="preserve"> to </w:t>
      </w:r>
      <w:r w:rsidR="00760D1B">
        <w:rPr>
          <w:lang w:val="en-GB"/>
        </w:rPr>
        <w:t>328</w:t>
      </w:r>
      <w:r>
        <w:rPr>
          <w:lang w:val="en-GB"/>
        </w:rPr>
        <w:t>x10</w:t>
      </w:r>
      <w:r w:rsidRPr="001A15F9">
        <w:rPr>
          <w:vertAlign w:val="superscript"/>
          <w:lang w:val="en-GB"/>
        </w:rPr>
        <w:t>9</w:t>
      </w:r>
      <w:r>
        <w:rPr>
          <w:lang w:val="en-GB"/>
        </w:rPr>
        <w:t xml:space="preserve">/L, respectively. Patients with GTLS had a median PLT count of </w:t>
      </w:r>
      <w:r w:rsidR="00760D1B">
        <w:rPr>
          <w:lang w:val="en-GB"/>
        </w:rPr>
        <w:t>83</w:t>
      </w:r>
      <w:r>
        <w:rPr>
          <w:lang w:val="en-GB"/>
        </w:rPr>
        <w:t>x10</w:t>
      </w:r>
      <w:r w:rsidRPr="001A15F9">
        <w:rPr>
          <w:vertAlign w:val="superscript"/>
          <w:lang w:val="en-GB"/>
        </w:rPr>
        <w:t>9</w:t>
      </w:r>
      <w:r>
        <w:rPr>
          <w:lang w:val="en-GB"/>
        </w:rPr>
        <w:t xml:space="preserve">/L (range: </w:t>
      </w:r>
      <w:r w:rsidR="00760D1B">
        <w:rPr>
          <w:lang w:val="en-GB"/>
        </w:rPr>
        <w:t>69</w:t>
      </w:r>
      <w:r>
        <w:rPr>
          <w:lang w:val="en-GB"/>
        </w:rPr>
        <w:t xml:space="preserve"> - </w:t>
      </w:r>
      <w:r w:rsidR="00760D1B">
        <w:rPr>
          <w:lang w:val="en-GB"/>
        </w:rPr>
        <w:t>130</w:t>
      </w:r>
      <w:r>
        <w:rPr>
          <w:lang w:val="en-GB"/>
        </w:rPr>
        <w:t>x10</w:t>
      </w:r>
      <w:r w:rsidRPr="001A15F9">
        <w:rPr>
          <w:vertAlign w:val="superscript"/>
          <w:lang w:val="en-GB"/>
        </w:rPr>
        <w:t>9</w:t>
      </w:r>
      <w:r>
        <w:rPr>
          <w:lang w:val="en-GB"/>
        </w:rPr>
        <w:t xml:space="preserve">/L), whereas the in the remaining patients studied the median PLT count was of </w:t>
      </w:r>
      <w:r w:rsidR="00760D1B">
        <w:rPr>
          <w:lang w:val="en-GB"/>
        </w:rPr>
        <w:t>264</w:t>
      </w:r>
      <w:r>
        <w:rPr>
          <w:lang w:val="en-GB"/>
        </w:rPr>
        <w:t>x10</w:t>
      </w:r>
      <w:r w:rsidRPr="001A15F9">
        <w:rPr>
          <w:vertAlign w:val="superscript"/>
          <w:lang w:val="en-GB"/>
        </w:rPr>
        <w:t>9</w:t>
      </w:r>
      <w:r>
        <w:rPr>
          <w:lang w:val="en-GB"/>
        </w:rPr>
        <w:t xml:space="preserve">/L (range: </w:t>
      </w:r>
      <w:r w:rsidR="00760D1B">
        <w:rPr>
          <w:lang w:val="en-GB"/>
        </w:rPr>
        <w:t>183 - 328</w:t>
      </w:r>
      <w:r>
        <w:rPr>
          <w:lang w:val="en-GB"/>
        </w:rPr>
        <w:t>x10</w:t>
      </w:r>
      <w:r w:rsidRPr="001A15F9">
        <w:rPr>
          <w:vertAlign w:val="superscript"/>
          <w:lang w:val="en-GB"/>
        </w:rPr>
        <w:t>9</w:t>
      </w:r>
      <w:r>
        <w:rPr>
          <w:lang w:val="en-GB"/>
        </w:rPr>
        <w:t>/L).</w:t>
      </w:r>
    </w:p>
    <w:p w:rsidR="002F4224" w:rsidRPr="00967A61" w:rsidRDefault="00967A61" w:rsidP="00967A61">
      <w:pPr>
        <w:pStyle w:val="Legenda"/>
        <w:rPr>
          <w:lang w:val="en-GB"/>
        </w:rPr>
      </w:pPr>
      <w:r w:rsidRPr="00967A61">
        <w:rPr>
          <w:lang w:val="en-US"/>
        </w:rPr>
        <w:t xml:space="preserve">Table </w:t>
      </w:r>
      <w:r>
        <w:fldChar w:fldCharType="begin"/>
      </w:r>
      <w:r w:rsidRPr="00967A61">
        <w:rPr>
          <w:lang w:val="en-US"/>
        </w:rPr>
        <w:instrText xml:space="preserve"> SEQ Table \* ARABIC </w:instrText>
      </w:r>
      <w:r>
        <w:fldChar w:fldCharType="separate"/>
      </w:r>
      <w:r>
        <w:rPr>
          <w:noProof/>
          <w:lang w:val="en-US"/>
        </w:rPr>
        <w:t>4</w:t>
      </w:r>
      <w:r>
        <w:fldChar w:fldCharType="end"/>
      </w:r>
      <w:r w:rsidRPr="00967A61">
        <w:rPr>
          <w:lang w:val="en-US"/>
        </w:rPr>
        <w:t xml:space="preserve">. </w:t>
      </w:r>
      <w:r w:rsidR="002F4224" w:rsidRPr="00967A61">
        <w:rPr>
          <w:lang w:val="en-GB"/>
        </w:rPr>
        <w:t>Blood samples used to evaluate FCM test sensibility and specificity.</w:t>
      </w:r>
    </w:p>
    <w:tbl>
      <w:tblPr>
        <w:tblStyle w:val="TabelacomGrelh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5"/>
        <w:gridCol w:w="2030"/>
        <w:gridCol w:w="1445"/>
        <w:gridCol w:w="2530"/>
        <w:gridCol w:w="862"/>
      </w:tblGrid>
      <w:tr w:rsidR="00807D65" w:rsidRPr="00DE3567" w:rsidTr="00CD07AD">
        <w:tc>
          <w:tcPr>
            <w:tcW w:w="1479" w:type="pct"/>
            <w:tcBorders>
              <w:top w:val="single" w:sz="4" w:space="0" w:color="auto"/>
            </w:tcBorders>
          </w:tcPr>
          <w:p w:rsidR="00807D65" w:rsidRPr="00DE3567" w:rsidRDefault="00807D65" w:rsidP="00807D65">
            <w:pPr>
              <w:jc w:val="center"/>
              <w:rPr>
                <w:rFonts w:cs="Arial"/>
                <w:lang w:val="en-GB"/>
              </w:rPr>
            </w:pPr>
          </w:p>
        </w:tc>
        <w:tc>
          <w:tcPr>
            <w:tcW w:w="3521" w:type="pct"/>
            <w:gridSpan w:val="4"/>
            <w:tcBorders>
              <w:top w:val="single" w:sz="4" w:space="0" w:color="auto"/>
            </w:tcBorders>
          </w:tcPr>
          <w:p w:rsidR="00807D65" w:rsidRPr="00DE3567" w:rsidRDefault="00807D65" w:rsidP="00807D65">
            <w:pPr>
              <w:jc w:val="center"/>
              <w:rPr>
                <w:rFonts w:cs="Arial"/>
                <w:lang w:val="en-GB"/>
              </w:rPr>
            </w:pPr>
            <w:r w:rsidRPr="00DE3567">
              <w:rPr>
                <w:rFonts w:cs="Arial"/>
                <w:lang w:val="en-GB"/>
              </w:rPr>
              <w:t>Blood samples</w:t>
            </w:r>
          </w:p>
        </w:tc>
      </w:tr>
      <w:tr w:rsidR="006553E4" w:rsidRPr="00DE3567" w:rsidTr="00CD07AD">
        <w:tc>
          <w:tcPr>
            <w:tcW w:w="1479" w:type="pct"/>
            <w:tcBorders>
              <w:bottom w:val="single" w:sz="4" w:space="0" w:color="auto"/>
            </w:tcBorders>
          </w:tcPr>
          <w:p w:rsidR="006553E4" w:rsidRPr="00DE3567" w:rsidRDefault="00807D65" w:rsidP="00807D65">
            <w:pPr>
              <w:spacing w:line="240" w:lineRule="auto"/>
              <w:jc w:val="center"/>
              <w:rPr>
                <w:rFonts w:cs="Arial"/>
                <w:lang w:val="en-GB"/>
              </w:rPr>
            </w:pPr>
            <w:r w:rsidRPr="00DE3567">
              <w:rPr>
                <w:rFonts w:cs="Arial"/>
                <w:lang w:val="en-GB"/>
              </w:rPr>
              <w:t>Patients</w:t>
            </w:r>
          </w:p>
        </w:tc>
        <w:tc>
          <w:tcPr>
            <w:tcW w:w="1041" w:type="pct"/>
            <w:tcBorders>
              <w:bottom w:val="single" w:sz="4" w:space="0" w:color="auto"/>
            </w:tcBorders>
          </w:tcPr>
          <w:p w:rsidR="006553E4" w:rsidRPr="00DE3567" w:rsidRDefault="00807D65" w:rsidP="00807D65">
            <w:pPr>
              <w:spacing w:line="240" w:lineRule="auto"/>
              <w:jc w:val="center"/>
              <w:rPr>
                <w:rFonts w:cs="Arial"/>
                <w:lang w:val="en-GB"/>
              </w:rPr>
            </w:pPr>
            <w:r w:rsidRPr="00DE3567">
              <w:rPr>
                <w:rFonts w:cs="Arial"/>
                <w:lang w:val="en-GB"/>
              </w:rPr>
              <w:t>I</w:t>
            </w:r>
            <w:r w:rsidR="006553E4" w:rsidRPr="00DE3567">
              <w:rPr>
                <w:rFonts w:cs="Arial"/>
                <w:lang w:val="en-GB"/>
              </w:rPr>
              <w:t>nitial validation</w:t>
            </w:r>
          </w:p>
        </w:tc>
        <w:tc>
          <w:tcPr>
            <w:tcW w:w="741" w:type="pct"/>
            <w:tcBorders>
              <w:bottom w:val="single" w:sz="4" w:space="0" w:color="auto"/>
            </w:tcBorders>
          </w:tcPr>
          <w:p w:rsidR="006553E4" w:rsidRPr="00DE3567" w:rsidRDefault="006553E4" w:rsidP="00807D65">
            <w:pPr>
              <w:spacing w:line="240" w:lineRule="auto"/>
              <w:jc w:val="center"/>
              <w:rPr>
                <w:rFonts w:cs="Arial"/>
                <w:lang w:val="en-GB"/>
              </w:rPr>
            </w:pPr>
            <w:r w:rsidRPr="00DE3567">
              <w:rPr>
                <w:rFonts w:cs="Arial"/>
                <w:lang w:val="en-GB"/>
              </w:rPr>
              <w:t>This study</w:t>
            </w:r>
          </w:p>
        </w:tc>
        <w:tc>
          <w:tcPr>
            <w:tcW w:w="1297" w:type="pct"/>
            <w:tcBorders>
              <w:bottom w:val="single" w:sz="4" w:space="0" w:color="auto"/>
            </w:tcBorders>
          </w:tcPr>
          <w:p w:rsidR="006553E4" w:rsidRPr="00DE3567" w:rsidRDefault="006553E4" w:rsidP="00807D65">
            <w:pPr>
              <w:spacing w:line="240" w:lineRule="auto"/>
              <w:jc w:val="center"/>
              <w:rPr>
                <w:rFonts w:cs="Arial"/>
                <w:lang w:val="en-GB"/>
              </w:rPr>
            </w:pPr>
            <w:r w:rsidRPr="00DE3567">
              <w:rPr>
                <w:rFonts w:cs="Arial"/>
                <w:lang w:val="en-GB"/>
              </w:rPr>
              <w:t>Subsequent studies</w:t>
            </w:r>
          </w:p>
        </w:tc>
        <w:tc>
          <w:tcPr>
            <w:tcW w:w="442" w:type="pct"/>
            <w:tcBorders>
              <w:bottom w:val="single" w:sz="4" w:space="0" w:color="auto"/>
            </w:tcBorders>
          </w:tcPr>
          <w:p w:rsidR="006553E4" w:rsidRPr="00DE3567" w:rsidRDefault="006553E4" w:rsidP="00807D65">
            <w:pPr>
              <w:spacing w:line="240" w:lineRule="auto"/>
              <w:jc w:val="center"/>
              <w:rPr>
                <w:rFonts w:cs="Arial"/>
                <w:lang w:val="en-GB"/>
              </w:rPr>
            </w:pPr>
            <w:r w:rsidRPr="00DE3567">
              <w:rPr>
                <w:rFonts w:cs="Arial"/>
                <w:lang w:val="en-GB"/>
              </w:rPr>
              <w:t>Total</w:t>
            </w:r>
          </w:p>
        </w:tc>
      </w:tr>
      <w:tr w:rsidR="006553E4" w:rsidRPr="00DE3567" w:rsidTr="00CD07AD">
        <w:tc>
          <w:tcPr>
            <w:tcW w:w="1479" w:type="pct"/>
            <w:tcBorders>
              <w:top w:val="single" w:sz="4" w:space="0" w:color="auto"/>
            </w:tcBorders>
          </w:tcPr>
          <w:p w:rsidR="006553E4" w:rsidRPr="00DE3567" w:rsidRDefault="006553E4" w:rsidP="00807D65">
            <w:pPr>
              <w:spacing w:line="240" w:lineRule="auto"/>
              <w:jc w:val="center"/>
              <w:rPr>
                <w:rFonts w:cs="Arial"/>
                <w:lang w:val="en-GB"/>
              </w:rPr>
            </w:pPr>
            <w:r w:rsidRPr="00DE3567">
              <w:rPr>
                <w:rFonts w:cs="Arial"/>
                <w:lang w:val="en-GB"/>
              </w:rPr>
              <w:t>Healthy controls</w:t>
            </w:r>
          </w:p>
        </w:tc>
        <w:tc>
          <w:tcPr>
            <w:tcW w:w="1041" w:type="pct"/>
            <w:tcBorders>
              <w:top w:val="single" w:sz="4" w:space="0" w:color="auto"/>
            </w:tcBorders>
          </w:tcPr>
          <w:p w:rsidR="006553E4" w:rsidRPr="00DE3567" w:rsidRDefault="006553E4" w:rsidP="00807D65">
            <w:pPr>
              <w:spacing w:line="240" w:lineRule="auto"/>
              <w:jc w:val="center"/>
              <w:rPr>
                <w:rFonts w:cs="Arial"/>
                <w:lang w:val="en-GB"/>
              </w:rPr>
            </w:pPr>
            <w:r w:rsidRPr="00DE3567">
              <w:rPr>
                <w:rFonts w:cs="Arial"/>
                <w:lang w:val="en-GB"/>
              </w:rPr>
              <w:t>11</w:t>
            </w:r>
          </w:p>
        </w:tc>
        <w:tc>
          <w:tcPr>
            <w:tcW w:w="741" w:type="pct"/>
            <w:tcBorders>
              <w:top w:val="single" w:sz="4" w:space="0" w:color="auto"/>
            </w:tcBorders>
          </w:tcPr>
          <w:p w:rsidR="006553E4" w:rsidRPr="00DE3567" w:rsidRDefault="006553E4" w:rsidP="00807D65">
            <w:pPr>
              <w:spacing w:line="240" w:lineRule="auto"/>
              <w:jc w:val="center"/>
              <w:rPr>
                <w:rFonts w:cs="Arial"/>
                <w:lang w:val="en-GB"/>
              </w:rPr>
            </w:pPr>
            <w:r w:rsidRPr="00DE3567">
              <w:rPr>
                <w:rFonts w:cs="Arial"/>
                <w:lang w:val="en-GB"/>
              </w:rPr>
              <w:t>12</w:t>
            </w:r>
          </w:p>
        </w:tc>
        <w:tc>
          <w:tcPr>
            <w:tcW w:w="1297" w:type="pct"/>
            <w:tcBorders>
              <w:top w:val="single" w:sz="4" w:space="0" w:color="auto"/>
            </w:tcBorders>
          </w:tcPr>
          <w:p w:rsidR="006553E4" w:rsidRPr="00DE3567" w:rsidRDefault="006553E4" w:rsidP="00807D65">
            <w:pPr>
              <w:spacing w:line="240" w:lineRule="auto"/>
              <w:jc w:val="center"/>
              <w:rPr>
                <w:rFonts w:cs="Arial"/>
                <w:lang w:val="en-GB"/>
              </w:rPr>
            </w:pPr>
            <w:r w:rsidRPr="00DE3567">
              <w:rPr>
                <w:rFonts w:cs="Arial"/>
                <w:lang w:val="en-GB"/>
              </w:rPr>
              <w:t>6</w:t>
            </w:r>
          </w:p>
        </w:tc>
        <w:tc>
          <w:tcPr>
            <w:tcW w:w="442" w:type="pct"/>
            <w:tcBorders>
              <w:top w:val="single" w:sz="4" w:space="0" w:color="auto"/>
            </w:tcBorders>
          </w:tcPr>
          <w:p w:rsidR="006553E4" w:rsidRPr="00DE3567" w:rsidRDefault="006553E4" w:rsidP="00807D65">
            <w:pPr>
              <w:spacing w:line="240" w:lineRule="auto"/>
              <w:jc w:val="center"/>
              <w:rPr>
                <w:rFonts w:cs="Arial"/>
                <w:lang w:val="en-GB"/>
              </w:rPr>
            </w:pPr>
            <w:r w:rsidRPr="00DE3567">
              <w:rPr>
                <w:rFonts w:cs="Arial"/>
                <w:lang w:val="en-GB"/>
              </w:rPr>
              <w:t>2</w:t>
            </w:r>
            <w:r w:rsidR="002F4324">
              <w:rPr>
                <w:rFonts w:cs="Arial"/>
                <w:lang w:val="en-GB"/>
              </w:rPr>
              <w:t>6</w:t>
            </w:r>
          </w:p>
        </w:tc>
      </w:tr>
      <w:tr w:rsidR="006553E4" w:rsidRPr="00DE3567" w:rsidTr="00CD07AD">
        <w:tc>
          <w:tcPr>
            <w:tcW w:w="1479" w:type="pct"/>
          </w:tcPr>
          <w:p w:rsidR="006553E4" w:rsidRPr="00DE3567" w:rsidRDefault="006553E4" w:rsidP="00807D65">
            <w:pPr>
              <w:spacing w:line="240" w:lineRule="auto"/>
              <w:jc w:val="center"/>
              <w:rPr>
                <w:rFonts w:cs="Arial"/>
                <w:lang w:val="en-GB"/>
              </w:rPr>
            </w:pPr>
            <w:r w:rsidRPr="00DE3567">
              <w:rPr>
                <w:rFonts w:cs="Arial"/>
                <w:lang w:val="en-GB"/>
              </w:rPr>
              <w:t>GT patients</w:t>
            </w:r>
          </w:p>
        </w:tc>
        <w:tc>
          <w:tcPr>
            <w:tcW w:w="1041" w:type="pct"/>
          </w:tcPr>
          <w:p w:rsidR="006553E4" w:rsidRPr="00DE3567" w:rsidRDefault="006553E4" w:rsidP="00807D65">
            <w:pPr>
              <w:spacing w:line="240" w:lineRule="auto"/>
              <w:jc w:val="center"/>
              <w:rPr>
                <w:rFonts w:cs="Arial"/>
                <w:lang w:val="en-GB"/>
              </w:rPr>
            </w:pPr>
            <w:r w:rsidRPr="00DE3567">
              <w:rPr>
                <w:rFonts w:cs="Arial"/>
                <w:lang w:val="en-GB"/>
              </w:rPr>
              <w:t>1</w:t>
            </w:r>
          </w:p>
        </w:tc>
        <w:tc>
          <w:tcPr>
            <w:tcW w:w="741" w:type="pct"/>
          </w:tcPr>
          <w:p w:rsidR="006553E4" w:rsidRPr="00DE3567" w:rsidRDefault="006553E4" w:rsidP="00807D65">
            <w:pPr>
              <w:spacing w:line="240" w:lineRule="auto"/>
              <w:jc w:val="center"/>
              <w:rPr>
                <w:rFonts w:cs="Arial"/>
                <w:lang w:val="en-GB"/>
              </w:rPr>
            </w:pPr>
            <w:r w:rsidRPr="00DE3567">
              <w:rPr>
                <w:rFonts w:cs="Arial"/>
                <w:lang w:val="en-GB"/>
              </w:rPr>
              <w:t>0</w:t>
            </w:r>
          </w:p>
        </w:tc>
        <w:tc>
          <w:tcPr>
            <w:tcW w:w="1297" w:type="pct"/>
          </w:tcPr>
          <w:p w:rsidR="006553E4" w:rsidRPr="00DE3567" w:rsidRDefault="006553E4" w:rsidP="00807D65">
            <w:pPr>
              <w:spacing w:line="240" w:lineRule="auto"/>
              <w:jc w:val="center"/>
              <w:rPr>
                <w:rFonts w:cs="Arial"/>
                <w:lang w:val="en-GB"/>
              </w:rPr>
            </w:pPr>
            <w:r w:rsidRPr="00DE3567">
              <w:rPr>
                <w:rFonts w:cs="Arial"/>
                <w:lang w:val="en-GB"/>
              </w:rPr>
              <w:t>0</w:t>
            </w:r>
          </w:p>
        </w:tc>
        <w:tc>
          <w:tcPr>
            <w:tcW w:w="442" w:type="pct"/>
          </w:tcPr>
          <w:p w:rsidR="006553E4" w:rsidRPr="00DE3567" w:rsidRDefault="006553E4" w:rsidP="00807D65">
            <w:pPr>
              <w:spacing w:line="240" w:lineRule="auto"/>
              <w:jc w:val="center"/>
              <w:rPr>
                <w:rFonts w:cs="Arial"/>
                <w:lang w:val="en-GB"/>
              </w:rPr>
            </w:pPr>
            <w:r w:rsidRPr="00DE3567">
              <w:rPr>
                <w:rFonts w:cs="Arial"/>
                <w:lang w:val="en-GB"/>
              </w:rPr>
              <w:t>1</w:t>
            </w:r>
          </w:p>
        </w:tc>
      </w:tr>
      <w:tr w:rsidR="006553E4" w:rsidRPr="00DE3567" w:rsidTr="00CD07AD">
        <w:tc>
          <w:tcPr>
            <w:tcW w:w="1479" w:type="pct"/>
          </w:tcPr>
          <w:p w:rsidR="006553E4" w:rsidRPr="00DE3567" w:rsidRDefault="006553E4" w:rsidP="00807D65">
            <w:pPr>
              <w:spacing w:line="240" w:lineRule="auto"/>
              <w:jc w:val="center"/>
              <w:rPr>
                <w:rFonts w:cs="Arial"/>
                <w:lang w:val="en-GB"/>
              </w:rPr>
            </w:pPr>
            <w:r w:rsidRPr="00DE3567">
              <w:rPr>
                <w:rFonts w:cs="Arial"/>
                <w:lang w:val="en-GB"/>
              </w:rPr>
              <w:t>GTLS patients</w:t>
            </w:r>
          </w:p>
        </w:tc>
        <w:tc>
          <w:tcPr>
            <w:tcW w:w="1041" w:type="pct"/>
          </w:tcPr>
          <w:p w:rsidR="006553E4" w:rsidRPr="00DE3567" w:rsidRDefault="006553E4" w:rsidP="00807D65">
            <w:pPr>
              <w:spacing w:line="240" w:lineRule="auto"/>
              <w:jc w:val="center"/>
              <w:rPr>
                <w:rFonts w:cs="Arial"/>
                <w:lang w:val="en-GB"/>
              </w:rPr>
            </w:pPr>
            <w:r w:rsidRPr="00DE3567">
              <w:rPr>
                <w:rFonts w:cs="Arial"/>
                <w:lang w:val="en-GB"/>
              </w:rPr>
              <w:t>1</w:t>
            </w:r>
          </w:p>
        </w:tc>
        <w:tc>
          <w:tcPr>
            <w:tcW w:w="741" w:type="pct"/>
          </w:tcPr>
          <w:p w:rsidR="006553E4" w:rsidRPr="00DE3567" w:rsidRDefault="00807D65" w:rsidP="00807D65">
            <w:pPr>
              <w:spacing w:line="240" w:lineRule="auto"/>
              <w:jc w:val="center"/>
              <w:rPr>
                <w:rFonts w:cs="Arial"/>
                <w:lang w:val="en-GB"/>
              </w:rPr>
            </w:pPr>
            <w:r w:rsidRPr="00DE3567">
              <w:rPr>
                <w:rFonts w:cs="Arial"/>
                <w:lang w:val="en-GB"/>
              </w:rPr>
              <w:t>9*</w:t>
            </w:r>
          </w:p>
        </w:tc>
        <w:tc>
          <w:tcPr>
            <w:tcW w:w="1297" w:type="pct"/>
          </w:tcPr>
          <w:p w:rsidR="006553E4" w:rsidRPr="00DE3567" w:rsidRDefault="00807D65" w:rsidP="00807D65">
            <w:pPr>
              <w:spacing w:line="240" w:lineRule="auto"/>
              <w:jc w:val="center"/>
              <w:rPr>
                <w:rFonts w:cs="Arial"/>
                <w:lang w:val="en-GB"/>
              </w:rPr>
            </w:pPr>
            <w:r w:rsidRPr="00DE3567">
              <w:rPr>
                <w:rFonts w:cs="Arial"/>
                <w:lang w:val="en-GB"/>
              </w:rPr>
              <w:t>1**</w:t>
            </w:r>
          </w:p>
        </w:tc>
        <w:tc>
          <w:tcPr>
            <w:tcW w:w="442" w:type="pct"/>
          </w:tcPr>
          <w:p w:rsidR="006553E4" w:rsidRPr="00DE3567" w:rsidRDefault="00DE3567" w:rsidP="00807D65">
            <w:pPr>
              <w:spacing w:line="240" w:lineRule="auto"/>
              <w:jc w:val="center"/>
              <w:rPr>
                <w:rFonts w:cs="Arial"/>
                <w:lang w:val="en-GB"/>
              </w:rPr>
            </w:pPr>
            <w:r>
              <w:rPr>
                <w:rFonts w:cs="Arial"/>
                <w:lang w:val="en-GB"/>
              </w:rPr>
              <w:t>1</w:t>
            </w:r>
            <w:r w:rsidR="00B82C3A">
              <w:rPr>
                <w:rFonts w:cs="Arial"/>
                <w:lang w:val="en-GB"/>
              </w:rPr>
              <w:t>1</w:t>
            </w:r>
            <w:r>
              <w:rPr>
                <w:rFonts w:cs="Arial"/>
                <w:lang w:val="en-GB"/>
              </w:rPr>
              <w:t>***</w:t>
            </w:r>
          </w:p>
        </w:tc>
      </w:tr>
      <w:tr w:rsidR="00807D65" w:rsidRPr="00DE3567" w:rsidTr="00CD07AD">
        <w:tc>
          <w:tcPr>
            <w:tcW w:w="1479" w:type="pct"/>
          </w:tcPr>
          <w:p w:rsidR="00807D65" w:rsidRPr="00DE3567" w:rsidRDefault="00807D65" w:rsidP="00807D65">
            <w:pPr>
              <w:spacing w:line="240" w:lineRule="auto"/>
              <w:jc w:val="center"/>
              <w:rPr>
                <w:rFonts w:cs="Arial"/>
                <w:lang w:val="en-GB"/>
              </w:rPr>
            </w:pPr>
            <w:r w:rsidRPr="00DE3567">
              <w:rPr>
                <w:rFonts w:cs="Arial"/>
                <w:lang w:val="en-GB"/>
              </w:rPr>
              <w:t>Patients with other</w:t>
            </w:r>
            <w:r w:rsidR="00CD07AD">
              <w:rPr>
                <w:rFonts w:cs="Arial"/>
                <w:lang w:val="en-GB"/>
              </w:rPr>
              <w:t xml:space="preserve"> IPD</w:t>
            </w:r>
          </w:p>
        </w:tc>
        <w:tc>
          <w:tcPr>
            <w:tcW w:w="1041" w:type="pct"/>
          </w:tcPr>
          <w:p w:rsidR="00807D65" w:rsidRPr="00DE3567" w:rsidRDefault="00807D65" w:rsidP="00807D65">
            <w:pPr>
              <w:spacing w:line="240" w:lineRule="auto"/>
              <w:jc w:val="center"/>
              <w:rPr>
                <w:rFonts w:cs="Arial"/>
                <w:lang w:val="en-GB"/>
              </w:rPr>
            </w:pPr>
            <w:r w:rsidRPr="00DE3567">
              <w:rPr>
                <w:rFonts w:cs="Arial"/>
                <w:lang w:val="en-GB"/>
              </w:rPr>
              <w:t>0</w:t>
            </w:r>
          </w:p>
        </w:tc>
        <w:tc>
          <w:tcPr>
            <w:tcW w:w="741" w:type="pct"/>
          </w:tcPr>
          <w:p w:rsidR="00807D65" w:rsidRPr="00DE3567" w:rsidRDefault="00807D65" w:rsidP="00807D65">
            <w:pPr>
              <w:spacing w:line="240" w:lineRule="auto"/>
              <w:jc w:val="center"/>
              <w:rPr>
                <w:rFonts w:cs="Arial"/>
                <w:lang w:val="en-GB"/>
              </w:rPr>
            </w:pPr>
            <w:r w:rsidRPr="00DE3567">
              <w:rPr>
                <w:rFonts w:cs="Arial"/>
                <w:lang w:val="en-GB"/>
              </w:rPr>
              <w:t>0</w:t>
            </w:r>
          </w:p>
        </w:tc>
        <w:tc>
          <w:tcPr>
            <w:tcW w:w="1297" w:type="pct"/>
          </w:tcPr>
          <w:p w:rsidR="00807D65" w:rsidRPr="00DE3567" w:rsidRDefault="00807D65" w:rsidP="00807D65">
            <w:pPr>
              <w:spacing w:line="240" w:lineRule="auto"/>
              <w:jc w:val="center"/>
              <w:rPr>
                <w:rFonts w:cs="Arial"/>
                <w:lang w:val="en-GB"/>
              </w:rPr>
            </w:pPr>
            <w:r w:rsidRPr="00DE3567">
              <w:rPr>
                <w:rFonts w:cs="Arial"/>
                <w:lang w:val="en-GB"/>
              </w:rPr>
              <w:t>5</w:t>
            </w:r>
          </w:p>
        </w:tc>
        <w:tc>
          <w:tcPr>
            <w:tcW w:w="442" w:type="pct"/>
          </w:tcPr>
          <w:p w:rsidR="00807D65" w:rsidRPr="00DE3567" w:rsidRDefault="00807D65" w:rsidP="00807D65">
            <w:pPr>
              <w:spacing w:line="240" w:lineRule="auto"/>
              <w:jc w:val="center"/>
              <w:rPr>
                <w:rFonts w:cs="Arial"/>
                <w:lang w:val="en-GB"/>
              </w:rPr>
            </w:pPr>
            <w:r w:rsidRPr="00DE3567">
              <w:rPr>
                <w:rFonts w:cs="Arial"/>
                <w:lang w:val="en-GB"/>
              </w:rPr>
              <w:t>5</w:t>
            </w:r>
          </w:p>
        </w:tc>
      </w:tr>
      <w:tr w:rsidR="00807D65" w:rsidRPr="00DE3567" w:rsidTr="00CD07AD">
        <w:tc>
          <w:tcPr>
            <w:tcW w:w="1479" w:type="pct"/>
            <w:tcBorders>
              <w:bottom w:val="single" w:sz="4" w:space="0" w:color="auto"/>
            </w:tcBorders>
          </w:tcPr>
          <w:p w:rsidR="00807D65" w:rsidRPr="00DE3567" w:rsidRDefault="00807D65" w:rsidP="00807D65">
            <w:pPr>
              <w:spacing w:line="240" w:lineRule="auto"/>
              <w:jc w:val="center"/>
              <w:rPr>
                <w:rFonts w:cs="Arial"/>
                <w:lang w:val="en-GB"/>
              </w:rPr>
            </w:pPr>
            <w:r w:rsidRPr="00DE3567">
              <w:rPr>
                <w:rFonts w:cs="Arial"/>
                <w:lang w:val="en-GB"/>
              </w:rPr>
              <w:t>Total</w:t>
            </w:r>
          </w:p>
        </w:tc>
        <w:tc>
          <w:tcPr>
            <w:tcW w:w="1041" w:type="pct"/>
            <w:tcBorders>
              <w:bottom w:val="single" w:sz="4" w:space="0" w:color="auto"/>
            </w:tcBorders>
          </w:tcPr>
          <w:p w:rsidR="00807D65" w:rsidRPr="00DE3567" w:rsidRDefault="00807D65" w:rsidP="00807D65">
            <w:pPr>
              <w:spacing w:line="240" w:lineRule="auto"/>
              <w:jc w:val="center"/>
              <w:rPr>
                <w:rFonts w:cs="Arial"/>
                <w:lang w:val="en-GB"/>
              </w:rPr>
            </w:pPr>
            <w:r w:rsidRPr="00DE3567">
              <w:rPr>
                <w:rFonts w:cs="Arial"/>
                <w:lang w:val="en-GB"/>
              </w:rPr>
              <w:t>13</w:t>
            </w:r>
          </w:p>
        </w:tc>
        <w:tc>
          <w:tcPr>
            <w:tcW w:w="741" w:type="pct"/>
            <w:tcBorders>
              <w:bottom w:val="single" w:sz="4" w:space="0" w:color="auto"/>
            </w:tcBorders>
          </w:tcPr>
          <w:p w:rsidR="00807D65" w:rsidRPr="00DE3567" w:rsidRDefault="00807D65" w:rsidP="00807D65">
            <w:pPr>
              <w:spacing w:line="240" w:lineRule="auto"/>
              <w:jc w:val="center"/>
              <w:rPr>
                <w:rFonts w:cs="Arial"/>
                <w:lang w:val="en-GB"/>
              </w:rPr>
            </w:pPr>
            <w:r w:rsidRPr="00DE3567">
              <w:rPr>
                <w:rFonts w:cs="Arial"/>
                <w:lang w:val="en-GB"/>
              </w:rPr>
              <w:t>2</w:t>
            </w:r>
            <w:r w:rsidR="00B82C3A">
              <w:rPr>
                <w:rFonts w:cs="Arial"/>
                <w:lang w:val="en-GB"/>
              </w:rPr>
              <w:t>1</w:t>
            </w:r>
            <w:r w:rsidR="00DE3567">
              <w:rPr>
                <w:rFonts w:cs="Arial"/>
                <w:lang w:val="en-GB"/>
              </w:rPr>
              <w:t>*</w:t>
            </w:r>
          </w:p>
        </w:tc>
        <w:tc>
          <w:tcPr>
            <w:tcW w:w="1297" w:type="pct"/>
            <w:tcBorders>
              <w:bottom w:val="single" w:sz="4" w:space="0" w:color="auto"/>
            </w:tcBorders>
          </w:tcPr>
          <w:p w:rsidR="00807D65" w:rsidRPr="00DE3567" w:rsidRDefault="00807D65" w:rsidP="00807D65">
            <w:pPr>
              <w:spacing w:line="240" w:lineRule="auto"/>
              <w:jc w:val="center"/>
              <w:rPr>
                <w:rFonts w:cs="Arial"/>
                <w:lang w:val="en-GB"/>
              </w:rPr>
            </w:pPr>
            <w:r w:rsidRPr="00DE3567">
              <w:rPr>
                <w:rFonts w:cs="Arial"/>
                <w:lang w:val="en-GB"/>
              </w:rPr>
              <w:t>1</w:t>
            </w:r>
            <w:r w:rsidR="00DE3567">
              <w:rPr>
                <w:rFonts w:cs="Arial"/>
                <w:lang w:val="en-GB"/>
              </w:rPr>
              <w:t>2**</w:t>
            </w:r>
          </w:p>
        </w:tc>
        <w:tc>
          <w:tcPr>
            <w:tcW w:w="442" w:type="pct"/>
            <w:tcBorders>
              <w:bottom w:val="single" w:sz="4" w:space="0" w:color="auto"/>
            </w:tcBorders>
          </w:tcPr>
          <w:p w:rsidR="00807D65" w:rsidRPr="00DE3567" w:rsidRDefault="00DE3567" w:rsidP="00807D65">
            <w:pPr>
              <w:spacing w:line="240" w:lineRule="auto"/>
              <w:jc w:val="center"/>
              <w:rPr>
                <w:rFonts w:cs="Arial"/>
                <w:lang w:val="en-GB"/>
              </w:rPr>
            </w:pPr>
            <w:r>
              <w:rPr>
                <w:rFonts w:cs="Arial"/>
                <w:lang w:val="en-GB"/>
              </w:rPr>
              <w:t>4</w:t>
            </w:r>
            <w:r w:rsidR="002F4324">
              <w:rPr>
                <w:rFonts w:cs="Arial"/>
                <w:lang w:val="en-GB"/>
              </w:rPr>
              <w:t>3</w:t>
            </w:r>
            <w:r w:rsidR="00B82C3A">
              <w:rPr>
                <w:rFonts w:cs="Arial"/>
                <w:lang w:val="en-GB"/>
              </w:rPr>
              <w:t>***</w:t>
            </w:r>
          </w:p>
        </w:tc>
      </w:tr>
    </w:tbl>
    <w:p w:rsidR="00CD07AD" w:rsidRDefault="00CD07AD" w:rsidP="00CD07AD">
      <w:pPr>
        <w:spacing w:after="0" w:line="240" w:lineRule="auto"/>
        <w:rPr>
          <w:sz w:val="16"/>
          <w:szCs w:val="16"/>
          <w:lang w:val="en-US"/>
        </w:rPr>
      </w:pPr>
      <w:r w:rsidRPr="005D063A">
        <w:rPr>
          <w:sz w:val="16"/>
          <w:szCs w:val="16"/>
          <w:lang w:val="en-US"/>
        </w:rPr>
        <w:t>Ab</w:t>
      </w:r>
      <w:r>
        <w:rPr>
          <w:sz w:val="16"/>
          <w:szCs w:val="16"/>
          <w:lang w:val="en-US"/>
        </w:rPr>
        <w:t xml:space="preserve">breviations: </w:t>
      </w:r>
      <w:r w:rsidRPr="005D063A">
        <w:rPr>
          <w:sz w:val="16"/>
          <w:szCs w:val="16"/>
          <w:lang w:val="en-US"/>
        </w:rPr>
        <w:t>GT, Glanzmann´s Thrombasthenia</w:t>
      </w:r>
      <w:r>
        <w:rPr>
          <w:sz w:val="16"/>
          <w:szCs w:val="16"/>
          <w:lang w:val="en-US"/>
        </w:rPr>
        <w:t xml:space="preserve">; </w:t>
      </w:r>
      <w:r w:rsidRPr="005D063A">
        <w:rPr>
          <w:sz w:val="16"/>
          <w:szCs w:val="16"/>
          <w:lang w:val="en-US"/>
        </w:rPr>
        <w:t>GTLS, Glanzmann´s Thrombasthenia-like syndrome</w:t>
      </w:r>
      <w:r>
        <w:rPr>
          <w:sz w:val="16"/>
          <w:szCs w:val="16"/>
          <w:lang w:val="en-US"/>
        </w:rPr>
        <w:t xml:space="preserve">; ITP, Inherited Platelet Disorders. </w:t>
      </w:r>
    </w:p>
    <w:p w:rsidR="00CD07AD" w:rsidRPr="005D063A" w:rsidRDefault="00CD07AD" w:rsidP="00CD07AD">
      <w:pPr>
        <w:spacing w:line="240" w:lineRule="auto"/>
        <w:rPr>
          <w:sz w:val="16"/>
          <w:szCs w:val="16"/>
          <w:lang w:val="en-GB"/>
        </w:rPr>
      </w:pPr>
      <w:r w:rsidRPr="005D063A">
        <w:rPr>
          <w:sz w:val="16"/>
          <w:szCs w:val="16"/>
          <w:lang w:val="en-GB"/>
        </w:rPr>
        <w:t>* One GTLS patient was evaluated in the initial validation procedures and in this study; **One of the GTLS patients included in this study was subsequently re-evaluated; *** Two GTLS patients were studied in different occasions with similar results.</w:t>
      </w:r>
    </w:p>
    <w:p w:rsidR="00363388" w:rsidRPr="00363388" w:rsidRDefault="00B82C3A" w:rsidP="002F4224">
      <w:pPr>
        <w:rPr>
          <w:lang w:val="en-US"/>
        </w:rPr>
      </w:pPr>
      <w:r w:rsidRPr="00363388">
        <w:rPr>
          <w:lang w:val="en-US"/>
        </w:rPr>
        <w:t>Co</w:t>
      </w:r>
      <w:r w:rsidR="00742DC5">
        <w:rPr>
          <w:lang w:val="en-US"/>
        </w:rPr>
        <w:t>nsidering that</w:t>
      </w:r>
      <w:r w:rsidRPr="00363388">
        <w:rPr>
          <w:lang w:val="en-US"/>
        </w:rPr>
        <w:t xml:space="preserve"> the gold standard for diagnosis of GTLS </w:t>
      </w:r>
      <w:r w:rsidR="00742DC5">
        <w:rPr>
          <w:lang w:val="en-US"/>
        </w:rPr>
        <w:t xml:space="preserve">consist on the demonstration of </w:t>
      </w:r>
      <w:r w:rsidRPr="00363388">
        <w:rPr>
          <w:lang w:val="en-US"/>
        </w:rPr>
        <w:t>macrothrombocytopenia</w:t>
      </w:r>
      <w:r w:rsidR="00742DC5">
        <w:rPr>
          <w:lang w:val="en-US"/>
        </w:rPr>
        <w:t xml:space="preserve"> associated with</w:t>
      </w:r>
      <w:r w:rsidRPr="00363388">
        <w:rPr>
          <w:lang w:val="en-US"/>
        </w:rPr>
        <w:t xml:space="preserve"> partial deficiency of GPII</w:t>
      </w:r>
      <w:r w:rsidR="009D42E4">
        <w:rPr>
          <w:lang w:val="en-US"/>
        </w:rPr>
        <w:t>b</w:t>
      </w:r>
      <w:r w:rsidRPr="00363388">
        <w:rPr>
          <w:lang w:val="en-US"/>
        </w:rPr>
        <w:t>/IIIa</w:t>
      </w:r>
      <w:r w:rsidR="00742DC5">
        <w:rPr>
          <w:lang w:val="en-US"/>
        </w:rPr>
        <w:t>, usually with a positive family history suggesting an AD pattern of inheritance, a</w:t>
      </w:r>
      <w:r w:rsidR="00D71ED7">
        <w:rPr>
          <w:lang w:val="en-US"/>
        </w:rPr>
        <w:t>nd</w:t>
      </w:r>
      <w:r w:rsidR="00742DC5">
        <w:rPr>
          <w:lang w:val="en-US"/>
        </w:rPr>
        <w:t xml:space="preserve"> having a documented </w:t>
      </w:r>
      <w:r w:rsidR="00D71ED7">
        <w:rPr>
          <w:szCs w:val="24"/>
          <w:shd w:val="clear" w:color="auto" w:fill="FFFFFF"/>
          <w:lang w:val="en-US"/>
        </w:rPr>
        <w:t xml:space="preserve">variants in the </w:t>
      </w:r>
      <w:r w:rsidR="00D71ED7" w:rsidRPr="00363388">
        <w:rPr>
          <w:i/>
          <w:color w:val="000000" w:themeColor="text1"/>
          <w:lang w:val="en-US"/>
        </w:rPr>
        <w:t>ITGA2B</w:t>
      </w:r>
      <w:r w:rsidR="00D71ED7">
        <w:rPr>
          <w:iCs/>
          <w:color w:val="000000" w:themeColor="text1"/>
          <w:lang w:val="en-US"/>
        </w:rPr>
        <w:t xml:space="preserve"> or </w:t>
      </w:r>
      <w:r w:rsidR="00D71ED7" w:rsidRPr="00363388">
        <w:rPr>
          <w:i/>
          <w:color w:val="000000" w:themeColor="text1"/>
          <w:lang w:val="en-US"/>
        </w:rPr>
        <w:t>ITGB3</w:t>
      </w:r>
      <w:r w:rsidR="00D71ED7">
        <w:rPr>
          <w:szCs w:val="24"/>
          <w:shd w:val="clear" w:color="auto" w:fill="FFFFFF"/>
          <w:lang w:val="en-US"/>
        </w:rPr>
        <w:t xml:space="preserve"> genes</w:t>
      </w:r>
      <w:r w:rsidRPr="00363388">
        <w:rPr>
          <w:lang w:val="en-US"/>
        </w:rPr>
        <w:t>)</w:t>
      </w:r>
      <w:r w:rsidR="004701BF">
        <w:rPr>
          <w:lang w:val="en-US"/>
        </w:rPr>
        <w:t>,</w:t>
      </w:r>
      <w:r w:rsidRPr="00363388">
        <w:rPr>
          <w:lang w:val="en-US"/>
        </w:rPr>
        <w:t xml:space="preserve"> </w:t>
      </w:r>
      <w:r w:rsidR="00363388" w:rsidRPr="00363388">
        <w:rPr>
          <w:lang w:val="en-US"/>
        </w:rPr>
        <w:t>the approach used in this protocol (</w:t>
      </w:r>
      <w:r w:rsidR="00742DC5">
        <w:rPr>
          <w:lang w:val="en-US"/>
        </w:rPr>
        <w:t xml:space="preserve">familial </w:t>
      </w:r>
      <w:r w:rsidR="00363388" w:rsidRPr="00363388">
        <w:rPr>
          <w:lang w:val="en-US"/>
        </w:rPr>
        <w:t>macrothrombocytopenia + partial deficiency of GPII</w:t>
      </w:r>
      <w:r w:rsidR="009D42E4">
        <w:rPr>
          <w:lang w:val="en-US"/>
        </w:rPr>
        <w:t>b</w:t>
      </w:r>
      <w:r w:rsidR="00363388" w:rsidRPr="00363388">
        <w:rPr>
          <w:lang w:val="en-US"/>
        </w:rPr>
        <w:t xml:space="preserve">/IIIa </w:t>
      </w:r>
      <w:r w:rsidR="00363388">
        <w:rPr>
          <w:lang w:val="en-US"/>
        </w:rPr>
        <w:t>+</w:t>
      </w:r>
      <w:r w:rsidR="00363388" w:rsidRPr="00363388">
        <w:rPr>
          <w:lang w:val="en-US"/>
        </w:rPr>
        <w:t xml:space="preserve"> decreased PLT activation in response to TRAP-6 and ADP as evaluated by the expression of PAC-1 and bFG epitopes on the PLT surface) revealed a sensitivity and a specificity of 100% for the diagnosis of GTLS.</w:t>
      </w:r>
    </w:p>
    <w:p w:rsidR="00DB1C92" w:rsidRDefault="00A62277" w:rsidP="00247B90">
      <w:pPr>
        <w:pStyle w:val="Ttulo3"/>
        <w:rPr>
          <w:lang w:val="en-US"/>
        </w:rPr>
      </w:pPr>
      <w:r>
        <w:rPr>
          <w:lang w:val="en-US"/>
        </w:rPr>
        <w:lastRenderedPageBreak/>
        <w:t>REFERENCES</w:t>
      </w:r>
    </w:p>
    <w:p w:rsidR="006357EA" w:rsidRPr="006407A4" w:rsidRDefault="006357EA" w:rsidP="009F4D3F">
      <w:pPr>
        <w:spacing w:line="240" w:lineRule="auto"/>
        <w:rPr>
          <w:lang w:val="en-US"/>
        </w:rPr>
      </w:pPr>
      <w:r w:rsidRPr="00092AB4">
        <w:rPr>
          <w:b/>
          <w:bCs/>
          <w:lang w:val="en-US"/>
        </w:rPr>
        <w:t>Abrams CS</w:t>
      </w:r>
      <w:r w:rsidRPr="006407A4">
        <w:rPr>
          <w:lang w:val="en-US"/>
        </w:rPr>
        <w:t xml:space="preserve">, Ellison N, </w:t>
      </w:r>
      <w:proofErr w:type="spellStart"/>
      <w:r w:rsidRPr="006407A4">
        <w:rPr>
          <w:lang w:val="en-US"/>
        </w:rPr>
        <w:t>Budzynski</w:t>
      </w:r>
      <w:proofErr w:type="spellEnd"/>
      <w:r w:rsidRPr="006407A4">
        <w:rPr>
          <w:lang w:val="en-US"/>
        </w:rPr>
        <w:t xml:space="preserve"> AZ, </w:t>
      </w:r>
      <w:proofErr w:type="spellStart"/>
      <w:r w:rsidRPr="006407A4">
        <w:rPr>
          <w:lang w:val="en-US"/>
        </w:rPr>
        <w:t>Shattil</w:t>
      </w:r>
      <w:proofErr w:type="spellEnd"/>
      <w:r w:rsidRPr="006407A4">
        <w:rPr>
          <w:lang w:val="en-US"/>
        </w:rPr>
        <w:t xml:space="preserve"> SJ. Direct detection of activated platelets and platelet-derived microparticles in humans. Blood. 1990;75(1):128-38. </w:t>
      </w:r>
      <w:r w:rsidRPr="00092AB4">
        <w:rPr>
          <w:color w:val="0070C0"/>
          <w:lang w:val="en-US"/>
        </w:rPr>
        <w:t>PMID: 2294986</w:t>
      </w:r>
    </w:p>
    <w:p w:rsidR="006357EA" w:rsidRPr="006407A4" w:rsidRDefault="006357EA" w:rsidP="002F4224">
      <w:pPr>
        <w:spacing w:line="276" w:lineRule="auto"/>
        <w:rPr>
          <w:lang w:val="en-US"/>
        </w:rPr>
      </w:pPr>
      <w:r w:rsidRPr="00092AB4">
        <w:rPr>
          <w:b/>
          <w:bCs/>
          <w:lang w:val="en-US"/>
        </w:rPr>
        <w:t>Bury L</w:t>
      </w:r>
      <w:r w:rsidRPr="006407A4">
        <w:rPr>
          <w:lang w:val="en-US"/>
        </w:rPr>
        <w:t xml:space="preserve">, Falcinelli E, </w:t>
      </w:r>
      <w:proofErr w:type="spellStart"/>
      <w:r w:rsidRPr="006407A4">
        <w:rPr>
          <w:lang w:val="en-US"/>
        </w:rPr>
        <w:t>Chiasserini</w:t>
      </w:r>
      <w:proofErr w:type="spellEnd"/>
      <w:r w:rsidRPr="006407A4">
        <w:rPr>
          <w:lang w:val="en-US"/>
        </w:rPr>
        <w:t xml:space="preserve"> D, Springer TA, </w:t>
      </w:r>
      <w:proofErr w:type="spellStart"/>
      <w:r w:rsidRPr="006407A4">
        <w:rPr>
          <w:lang w:val="en-US"/>
        </w:rPr>
        <w:t>Italiano</w:t>
      </w:r>
      <w:proofErr w:type="spellEnd"/>
      <w:r w:rsidRPr="006407A4">
        <w:rPr>
          <w:lang w:val="en-US"/>
        </w:rPr>
        <w:t xml:space="preserve"> JE Jr, </w:t>
      </w:r>
      <w:proofErr w:type="spellStart"/>
      <w:r w:rsidRPr="006407A4">
        <w:rPr>
          <w:lang w:val="en-US"/>
        </w:rPr>
        <w:t>Gresele</w:t>
      </w:r>
      <w:proofErr w:type="spellEnd"/>
      <w:r w:rsidRPr="006407A4">
        <w:rPr>
          <w:lang w:val="en-US"/>
        </w:rPr>
        <w:t xml:space="preserve"> P. Cytoskeletal perturbation leads to platelet dysfunction and thrombocytopenia in variant forms of Glanzmann thrombasthenia. </w:t>
      </w:r>
      <w:proofErr w:type="spellStart"/>
      <w:r w:rsidRPr="006407A4">
        <w:rPr>
          <w:lang w:val="en-US"/>
        </w:rPr>
        <w:t>Haematologica</w:t>
      </w:r>
      <w:proofErr w:type="spellEnd"/>
      <w:r w:rsidRPr="006407A4">
        <w:rPr>
          <w:lang w:val="en-US"/>
        </w:rPr>
        <w:t xml:space="preserve">. 2016 Jan;101(1):46-56. </w:t>
      </w:r>
      <w:r w:rsidR="00092AB4">
        <w:rPr>
          <w:color w:val="0070C0"/>
          <w:lang w:val="en-US"/>
        </w:rPr>
        <w:t>DOI</w:t>
      </w:r>
      <w:r w:rsidRPr="00092AB4">
        <w:rPr>
          <w:color w:val="0070C0"/>
          <w:lang w:val="en-US"/>
        </w:rPr>
        <w:t>: 10.3324/haematol.2015.130849. PMID: 26452979</w:t>
      </w:r>
    </w:p>
    <w:p w:rsidR="006357EA" w:rsidRPr="006407A4" w:rsidRDefault="006357EA" w:rsidP="002F4224">
      <w:pPr>
        <w:spacing w:line="276" w:lineRule="auto"/>
        <w:rPr>
          <w:lang w:val="en-GB"/>
        </w:rPr>
      </w:pPr>
      <w:r w:rsidRPr="00092AB4">
        <w:rPr>
          <w:b/>
          <w:bCs/>
          <w:lang w:val="en-GB"/>
        </w:rPr>
        <w:t>Cicchetti</w:t>
      </w:r>
      <w:r w:rsidR="00092AB4">
        <w:rPr>
          <w:b/>
          <w:bCs/>
          <w:lang w:val="en-GB"/>
        </w:rPr>
        <w:t xml:space="preserve"> DV</w:t>
      </w:r>
      <w:r w:rsidRPr="006407A4">
        <w:rPr>
          <w:lang w:val="en-GB"/>
        </w:rPr>
        <w:t xml:space="preserve">, Domenic V. Guidelines, criteria, and rules of thumb for evaluating normed and standardized assessment instruments in psychology. Psychological Assessment. 1994; 6 (4): 284–290. </w:t>
      </w:r>
      <w:r w:rsidR="00092AB4">
        <w:rPr>
          <w:color w:val="0070C0"/>
          <w:lang w:val="en-GB"/>
        </w:rPr>
        <w:t>DOI</w:t>
      </w:r>
      <w:r w:rsidRPr="00092AB4">
        <w:rPr>
          <w:color w:val="0070C0"/>
          <w:lang w:val="en-GB"/>
        </w:rPr>
        <w:t>:10.1037/1040-3590.6.4.284.</w:t>
      </w:r>
    </w:p>
    <w:p w:rsidR="006357EA" w:rsidRPr="006407A4" w:rsidRDefault="006357EA" w:rsidP="002F4224">
      <w:pPr>
        <w:spacing w:line="276" w:lineRule="auto"/>
        <w:rPr>
          <w:lang w:val="en-US"/>
        </w:rPr>
      </w:pPr>
      <w:proofErr w:type="spellStart"/>
      <w:r w:rsidRPr="00092AB4">
        <w:rPr>
          <w:b/>
          <w:bCs/>
          <w:lang w:val="en-US"/>
        </w:rPr>
        <w:t>Dorsam</w:t>
      </w:r>
      <w:proofErr w:type="spellEnd"/>
      <w:r w:rsidRPr="00092AB4">
        <w:rPr>
          <w:b/>
          <w:bCs/>
          <w:lang w:val="en-US"/>
        </w:rPr>
        <w:t xml:space="preserve"> RT</w:t>
      </w:r>
      <w:r w:rsidRPr="006407A4">
        <w:rPr>
          <w:lang w:val="en-US"/>
        </w:rPr>
        <w:t xml:space="preserve">, </w:t>
      </w:r>
      <w:proofErr w:type="spellStart"/>
      <w:r w:rsidRPr="006407A4">
        <w:rPr>
          <w:lang w:val="en-US"/>
        </w:rPr>
        <w:t>Kunapuli</w:t>
      </w:r>
      <w:proofErr w:type="spellEnd"/>
      <w:r w:rsidRPr="006407A4">
        <w:rPr>
          <w:lang w:val="en-US"/>
        </w:rPr>
        <w:t xml:space="preserve"> SP. Central role of the P2Y12 receptor in platelet activation. J Clin Invest. 2004;113: 340-345. </w:t>
      </w:r>
      <w:r w:rsidRPr="00092AB4">
        <w:rPr>
          <w:color w:val="0070C0"/>
          <w:lang w:val="en-US"/>
        </w:rPr>
        <w:t>DOI: 10.1172/JCI20986. PMID: 14755328. Review</w:t>
      </w:r>
    </w:p>
    <w:p w:rsidR="006357EA" w:rsidRPr="006407A4" w:rsidRDefault="006357EA" w:rsidP="002F4224">
      <w:pPr>
        <w:spacing w:line="276" w:lineRule="auto"/>
        <w:rPr>
          <w:lang w:val="en-US"/>
        </w:rPr>
      </w:pPr>
      <w:r w:rsidRPr="00092AB4">
        <w:rPr>
          <w:b/>
          <w:bCs/>
          <w:lang w:val="en-US"/>
        </w:rPr>
        <w:t>Favier M</w:t>
      </w:r>
      <w:r w:rsidRPr="006407A4">
        <w:rPr>
          <w:lang w:val="en-US"/>
        </w:rPr>
        <w:t xml:space="preserve">, Bordet JC, Favier R, </w:t>
      </w:r>
      <w:proofErr w:type="spellStart"/>
      <w:r w:rsidRPr="006407A4">
        <w:rPr>
          <w:lang w:val="en-US"/>
        </w:rPr>
        <w:t>Gkalea</w:t>
      </w:r>
      <w:proofErr w:type="spellEnd"/>
      <w:r w:rsidRPr="006407A4">
        <w:rPr>
          <w:lang w:val="en-US"/>
        </w:rPr>
        <w:t xml:space="preserve"> V, </w:t>
      </w:r>
      <w:proofErr w:type="spellStart"/>
      <w:r w:rsidRPr="006407A4">
        <w:rPr>
          <w:lang w:val="en-US"/>
        </w:rPr>
        <w:t>Pillois</w:t>
      </w:r>
      <w:proofErr w:type="spellEnd"/>
      <w:r w:rsidRPr="006407A4">
        <w:rPr>
          <w:lang w:val="en-US"/>
        </w:rPr>
        <w:t xml:space="preserve"> X, Rameau P, </w:t>
      </w:r>
      <w:proofErr w:type="spellStart"/>
      <w:r w:rsidRPr="006407A4">
        <w:rPr>
          <w:lang w:val="en-US"/>
        </w:rPr>
        <w:t>Debili</w:t>
      </w:r>
      <w:proofErr w:type="spellEnd"/>
      <w:r w:rsidRPr="006407A4">
        <w:rPr>
          <w:lang w:val="en-US"/>
        </w:rPr>
        <w:t xml:space="preserve"> N, Alessi MC, </w:t>
      </w:r>
      <w:proofErr w:type="spellStart"/>
      <w:r w:rsidRPr="006407A4">
        <w:rPr>
          <w:lang w:val="en-US"/>
        </w:rPr>
        <w:t>Nurden</w:t>
      </w:r>
      <w:proofErr w:type="spellEnd"/>
      <w:r w:rsidRPr="006407A4">
        <w:rPr>
          <w:lang w:val="en-US"/>
        </w:rPr>
        <w:t xml:space="preserve"> P, </w:t>
      </w:r>
      <w:proofErr w:type="spellStart"/>
      <w:r w:rsidRPr="006407A4">
        <w:rPr>
          <w:lang w:val="en-US"/>
        </w:rPr>
        <w:t>Raslova</w:t>
      </w:r>
      <w:proofErr w:type="spellEnd"/>
      <w:r w:rsidRPr="006407A4">
        <w:rPr>
          <w:lang w:val="en-US"/>
        </w:rPr>
        <w:t xml:space="preserve"> H, </w:t>
      </w:r>
      <w:proofErr w:type="spellStart"/>
      <w:r w:rsidRPr="006407A4">
        <w:rPr>
          <w:lang w:val="en-US"/>
        </w:rPr>
        <w:t>Nurden</w:t>
      </w:r>
      <w:proofErr w:type="spellEnd"/>
      <w:r w:rsidRPr="006407A4">
        <w:rPr>
          <w:lang w:val="en-US"/>
        </w:rPr>
        <w:t xml:space="preserve"> A. Mutations of the integrin αIIb/β3 intracytoplasmic salt bridge cause macrothrombocytopenia and enlarged platelet α-granules. Am J </w:t>
      </w:r>
      <w:proofErr w:type="spellStart"/>
      <w:r w:rsidRPr="006407A4">
        <w:rPr>
          <w:lang w:val="en-US"/>
        </w:rPr>
        <w:t>Hematol</w:t>
      </w:r>
      <w:proofErr w:type="spellEnd"/>
      <w:r w:rsidRPr="006407A4">
        <w:rPr>
          <w:lang w:val="en-US"/>
        </w:rPr>
        <w:t xml:space="preserve">. 2018 Feb;93(2):195-204. </w:t>
      </w:r>
      <w:r w:rsidR="00092AB4">
        <w:rPr>
          <w:color w:val="0070C0"/>
          <w:lang w:val="en-US"/>
        </w:rPr>
        <w:t>DOI</w:t>
      </w:r>
      <w:r w:rsidRPr="00092AB4">
        <w:rPr>
          <w:color w:val="0070C0"/>
          <w:lang w:val="en-US"/>
        </w:rPr>
        <w:t>: 10.1002/ajh.24958.PMID: 29090484</w:t>
      </w:r>
    </w:p>
    <w:p w:rsidR="006357EA" w:rsidRPr="006407A4" w:rsidRDefault="006357EA" w:rsidP="002F4224">
      <w:pPr>
        <w:spacing w:line="276" w:lineRule="auto"/>
        <w:rPr>
          <w:lang w:val="en-US"/>
        </w:rPr>
      </w:pPr>
      <w:r w:rsidRPr="00092AB4">
        <w:rPr>
          <w:b/>
          <w:bCs/>
          <w:lang w:val="en-US"/>
        </w:rPr>
        <w:t>Ginsberg MH</w:t>
      </w:r>
      <w:r w:rsidRPr="006407A4">
        <w:rPr>
          <w:lang w:val="en-US"/>
        </w:rPr>
        <w:t xml:space="preserve">, </w:t>
      </w:r>
      <w:proofErr w:type="spellStart"/>
      <w:r w:rsidRPr="006407A4">
        <w:rPr>
          <w:lang w:val="en-US"/>
        </w:rPr>
        <w:t>Frelinger</w:t>
      </w:r>
      <w:proofErr w:type="spellEnd"/>
      <w:r w:rsidRPr="006407A4">
        <w:rPr>
          <w:lang w:val="en-US"/>
        </w:rPr>
        <w:t xml:space="preserve"> AL, Lam SC, Forsyth J, McMillan R, Plow EF, </w:t>
      </w:r>
      <w:proofErr w:type="spellStart"/>
      <w:r w:rsidRPr="006407A4">
        <w:rPr>
          <w:lang w:val="en-US"/>
        </w:rPr>
        <w:t>Shattil</w:t>
      </w:r>
      <w:proofErr w:type="spellEnd"/>
      <w:r w:rsidRPr="006407A4">
        <w:rPr>
          <w:lang w:val="en-US"/>
        </w:rPr>
        <w:t xml:space="preserve"> SJ. Analysis of platelet aggregation disorders based on flow cytometric analysis of membrane glycoprotein IIb-IIIa with conformation-specific monoclonal antibodies. Blood. 1990;76(10):2017-23. </w:t>
      </w:r>
      <w:r w:rsidRPr="00092AB4">
        <w:rPr>
          <w:color w:val="0070C0"/>
          <w:lang w:val="en-US"/>
        </w:rPr>
        <w:t>PMID: 2242424</w:t>
      </w:r>
    </w:p>
    <w:p w:rsidR="006357EA" w:rsidRPr="006407A4" w:rsidRDefault="006357EA" w:rsidP="002F4224">
      <w:pPr>
        <w:spacing w:line="276" w:lineRule="auto"/>
        <w:rPr>
          <w:lang w:val="en-US"/>
        </w:rPr>
      </w:pPr>
      <w:proofErr w:type="spellStart"/>
      <w:r w:rsidRPr="00092AB4">
        <w:rPr>
          <w:b/>
          <w:bCs/>
          <w:lang w:val="en-US"/>
        </w:rPr>
        <w:t>Glier</w:t>
      </w:r>
      <w:proofErr w:type="spellEnd"/>
      <w:r w:rsidRPr="00092AB4">
        <w:rPr>
          <w:b/>
          <w:bCs/>
          <w:lang w:val="en-US"/>
        </w:rPr>
        <w:t xml:space="preserve"> H</w:t>
      </w:r>
      <w:r w:rsidRPr="006407A4">
        <w:rPr>
          <w:lang w:val="en-US"/>
        </w:rPr>
        <w:t xml:space="preserve">, </w:t>
      </w:r>
      <w:proofErr w:type="spellStart"/>
      <w:r w:rsidRPr="006407A4">
        <w:rPr>
          <w:lang w:val="en-US"/>
        </w:rPr>
        <w:t>Novakova</w:t>
      </w:r>
      <w:proofErr w:type="spellEnd"/>
      <w:r w:rsidRPr="006407A4">
        <w:rPr>
          <w:lang w:val="en-US"/>
        </w:rPr>
        <w:t xml:space="preserve"> M, </w:t>
      </w:r>
      <w:proofErr w:type="spellStart"/>
      <w:r w:rsidRPr="006407A4">
        <w:rPr>
          <w:lang w:val="en-US"/>
        </w:rPr>
        <w:t>Te</w:t>
      </w:r>
      <w:proofErr w:type="spellEnd"/>
      <w:r w:rsidRPr="006407A4">
        <w:rPr>
          <w:lang w:val="en-US"/>
        </w:rPr>
        <w:t xml:space="preserve"> </w:t>
      </w:r>
      <w:proofErr w:type="spellStart"/>
      <w:r w:rsidRPr="006407A4">
        <w:rPr>
          <w:lang w:val="en-US"/>
        </w:rPr>
        <w:t>Marvelde</w:t>
      </w:r>
      <w:proofErr w:type="spellEnd"/>
      <w:r w:rsidRPr="006407A4">
        <w:rPr>
          <w:lang w:val="en-US"/>
        </w:rPr>
        <w:t xml:space="preserve"> J, </w:t>
      </w:r>
      <w:proofErr w:type="spellStart"/>
      <w:r w:rsidRPr="006407A4">
        <w:rPr>
          <w:lang w:val="en-US"/>
        </w:rPr>
        <w:t>Bijkerk</w:t>
      </w:r>
      <w:proofErr w:type="spellEnd"/>
      <w:r w:rsidRPr="006407A4">
        <w:rPr>
          <w:lang w:val="en-US"/>
        </w:rPr>
        <w:t xml:space="preserve"> A, </w:t>
      </w:r>
      <w:proofErr w:type="spellStart"/>
      <w:r w:rsidRPr="006407A4">
        <w:rPr>
          <w:lang w:val="en-US"/>
        </w:rPr>
        <w:t>Morf</w:t>
      </w:r>
      <w:proofErr w:type="spellEnd"/>
      <w:r w:rsidRPr="006407A4">
        <w:rPr>
          <w:lang w:val="en-US"/>
        </w:rPr>
        <w:t xml:space="preserve"> D, </w:t>
      </w:r>
      <w:proofErr w:type="spellStart"/>
      <w:r w:rsidRPr="006407A4">
        <w:rPr>
          <w:lang w:val="en-US"/>
        </w:rPr>
        <w:t>Thurner</w:t>
      </w:r>
      <w:proofErr w:type="spellEnd"/>
      <w:r w:rsidRPr="006407A4">
        <w:rPr>
          <w:lang w:val="en-US"/>
        </w:rPr>
        <w:t xml:space="preserve"> D, </w:t>
      </w:r>
      <w:proofErr w:type="spellStart"/>
      <w:r w:rsidRPr="006407A4">
        <w:rPr>
          <w:lang w:val="en-US"/>
        </w:rPr>
        <w:t>Rejlova</w:t>
      </w:r>
      <w:proofErr w:type="spellEnd"/>
      <w:r w:rsidRPr="006407A4">
        <w:rPr>
          <w:lang w:val="en-US"/>
        </w:rPr>
        <w:t xml:space="preserve"> K, Lange S, Finke J, van der </w:t>
      </w:r>
      <w:proofErr w:type="spellStart"/>
      <w:r w:rsidRPr="006407A4">
        <w:rPr>
          <w:lang w:val="en-US"/>
        </w:rPr>
        <w:t>Sluijs</w:t>
      </w:r>
      <w:proofErr w:type="spellEnd"/>
      <w:r w:rsidRPr="006407A4">
        <w:rPr>
          <w:lang w:val="en-US"/>
        </w:rPr>
        <w:t xml:space="preserve">-Gelling A, </w:t>
      </w:r>
      <w:proofErr w:type="spellStart"/>
      <w:r w:rsidRPr="006407A4">
        <w:rPr>
          <w:lang w:val="en-US"/>
        </w:rPr>
        <w:t>Sedek</w:t>
      </w:r>
      <w:proofErr w:type="spellEnd"/>
      <w:r w:rsidRPr="006407A4">
        <w:rPr>
          <w:lang w:val="en-US"/>
        </w:rPr>
        <w:t xml:space="preserve"> L, Flores-Montero J, </w:t>
      </w:r>
      <w:proofErr w:type="spellStart"/>
      <w:r w:rsidRPr="006407A4">
        <w:rPr>
          <w:lang w:val="en-US"/>
        </w:rPr>
        <w:t>Böttcher</w:t>
      </w:r>
      <w:proofErr w:type="spellEnd"/>
      <w:r w:rsidRPr="006407A4">
        <w:rPr>
          <w:lang w:val="en-US"/>
        </w:rPr>
        <w:t xml:space="preserve"> S, Fernandez P, </w:t>
      </w:r>
      <w:proofErr w:type="spellStart"/>
      <w:r w:rsidRPr="006407A4">
        <w:rPr>
          <w:lang w:val="en-US"/>
        </w:rPr>
        <w:t>Ritgen</w:t>
      </w:r>
      <w:proofErr w:type="spellEnd"/>
      <w:r w:rsidRPr="006407A4">
        <w:rPr>
          <w:lang w:val="en-US"/>
        </w:rPr>
        <w:t xml:space="preserve"> M, van </w:t>
      </w:r>
      <w:proofErr w:type="spellStart"/>
      <w:r w:rsidRPr="006407A4">
        <w:rPr>
          <w:lang w:val="en-US"/>
        </w:rPr>
        <w:t>Dongen</w:t>
      </w:r>
      <w:proofErr w:type="spellEnd"/>
      <w:r w:rsidRPr="006407A4">
        <w:rPr>
          <w:lang w:val="en-US"/>
        </w:rPr>
        <w:t xml:space="preserve"> JJM, </w:t>
      </w:r>
      <w:proofErr w:type="spellStart"/>
      <w:r w:rsidRPr="006407A4">
        <w:rPr>
          <w:lang w:val="en-US"/>
        </w:rPr>
        <w:t>Orfao</w:t>
      </w:r>
      <w:proofErr w:type="spellEnd"/>
      <w:r w:rsidRPr="006407A4">
        <w:rPr>
          <w:lang w:val="en-US"/>
        </w:rPr>
        <w:t xml:space="preserve"> A, van der Velden VHJ, </w:t>
      </w:r>
      <w:proofErr w:type="spellStart"/>
      <w:r w:rsidRPr="006407A4">
        <w:rPr>
          <w:lang w:val="en-US"/>
        </w:rPr>
        <w:t>Kalina</w:t>
      </w:r>
      <w:proofErr w:type="spellEnd"/>
      <w:r w:rsidRPr="006407A4">
        <w:rPr>
          <w:lang w:val="en-US"/>
        </w:rPr>
        <w:t xml:space="preserve"> T. Comments on </w:t>
      </w:r>
      <w:proofErr w:type="spellStart"/>
      <w:r w:rsidRPr="006407A4">
        <w:rPr>
          <w:lang w:val="en-US"/>
        </w:rPr>
        <w:t>EuroFlow</w:t>
      </w:r>
      <w:proofErr w:type="spellEnd"/>
      <w:r w:rsidRPr="006407A4">
        <w:rPr>
          <w:lang w:val="en-US"/>
        </w:rPr>
        <w:t xml:space="preserve"> standard operating procedures for instrument setup and compensation for BD FACS Canto II, Navios and BD FACS Lyric instruments. J Immunol Methods. 2019 Dec;475:112680. </w:t>
      </w:r>
      <w:r w:rsidRPr="00092AB4">
        <w:rPr>
          <w:color w:val="0070C0"/>
          <w:lang w:val="en-US"/>
        </w:rPr>
        <w:t>DOI: 10.1016/j.jim.2019.112680. PMID: 31655051</w:t>
      </w:r>
    </w:p>
    <w:p w:rsidR="006357EA" w:rsidRPr="006407A4" w:rsidRDefault="006357EA" w:rsidP="002F4224">
      <w:pPr>
        <w:spacing w:line="276" w:lineRule="auto"/>
        <w:rPr>
          <w:lang w:val="en-US"/>
        </w:rPr>
      </w:pPr>
      <w:proofErr w:type="spellStart"/>
      <w:r w:rsidRPr="00092AB4">
        <w:rPr>
          <w:b/>
          <w:bCs/>
          <w:lang w:val="en-US"/>
        </w:rPr>
        <w:t>Huskens</w:t>
      </w:r>
      <w:proofErr w:type="spellEnd"/>
      <w:r w:rsidRPr="00092AB4">
        <w:rPr>
          <w:b/>
          <w:bCs/>
          <w:lang w:val="en-US"/>
        </w:rPr>
        <w:t xml:space="preserve"> D</w:t>
      </w:r>
      <w:r w:rsidRPr="006407A4">
        <w:rPr>
          <w:lang w:val="en-US"/>
        </w:rPr>
        <w:t xml:space="preserve">, Sang Y, </w:t>
      </w:r>
      <w:proofErr w:type="spellStart"/>
      <w:r w:rsidRPr="006407A4">
        <w:rPr>
          <w:lang w:val="en-US"/>
        </w:rPr>
        <w:t>Konings</w:t>
      </w:r>
      <w:proofErr w:type="spellEnd"/>
      <w:r w:rsidRPr="006407A4">
        <w:rPr>
          <w:lang w:val="en-US"/>
        </w:rPr>
        <w:t xml:space="preserve"> J, van der </w:t>
      </w:r>
      <w:proofErr w:type="spellStart"/>
      <w:r w:rsidRPr="006407A4">
        <w:rPr>
          <w:lang w:val="en-US"/>
        </w:rPr>
        <w:t>Vorm</w:t>
      </w:r>
      <w:proofErr w:type="spellEnd"/>
      <w:r w:rsidRPr="006407A4">
        <w:rPr>
          <w:lang w:val="en-US"/>
        </w:rPr>
        <w:t xml:space="preserve"> L, de </w:t>
      </w:r>
      <w:proofErr w:type="spellStart"/>
      <w:r w:rsidRPr="006407A4">
        <w:rPr>
          <w:lang w:val="en-US"/>
        </w:rPr>
        <w:t>Laat</w:t>
      </w:r>
      <w:proofErr w:type="spellEnd"/>
      <w:r w:rsidRPr="006407A4">
        <w:rPr>
          <w:lang w:val="en-US"/>
        </w:rPr>
        <w:t xml:space="preserve"> B, </w:t>
      </w:r>
      <w:proofErr w:type="spellStart"/>
      <w:r w:rsidRPr="006407A4">
        <w:rPr>
          <w:lang w:val="en-US"/>
        </w:rPr>
        <w:t>Kelchtermans</w:t>
      </w:r>
      <w:proofErr w:type="spellEnd"/>
      <w:r w:rsidRPr="006407A4">
        <w:rPr>
          <w:lang w:val="en-US"/>
        </w:rPr>
        <w:t xml:space="preserve"> H, et al. Standardization and reference ranges for whole blood platelet function measurements using a flow cytometric platelet activation test. </w:t>
      </w:r>
      <w:proofErr w:type="spellStart"/>
      <w:r w:rsidRPr="006407A4">
        <w:rPr>
          <w:lang w:val="en-US"/>
        </w:rPr>
        <w:t>PloS</w:t>
      </w:r>
      <w:proofErr w:type="spellEnd"/>
      <w:r w:rsidRPr="006407A4">
        <w:rPr>
          <w:lang w:val="en-US"/>
        </w:rPr>
        <w:t xml:space="preserve"> One. 2018;13: e0192079. </w:t>
      </w:r>
      <w:r w:rsidRPr="00092AB4">
        <w:rPr>
          <w:color w:val="0070C0"/>
          <w:lang w:val="en-US"/>
        </w:rPr>
        <w:t>DOI: 10.1371/journal.pone.0192079. PMID: 29389990</w:t>
      </w:r>
    </w:p>
    <w:p w:rsidR="006357EA" w:rsidRPr="006407A4" w:rsidRDefault="006357EA" w:rsidP="002F4224">
      <w:pPr>
        <w:spacing w:line="276" w:lineRule="auto"/>
        <w:rPr>
          <w:lang w:val="en-US"/>
        </w:rPr>
      </w:pPr>
      <w:proofErr w:type="spellStart"/>
      <w:r w:rsidRPr="00092AB4">
        <w:rPr>
          <w:b/>
          <w:bCs/>
          <w:lang w:val="en-US"/>
        </w:rPr>
        <w:t>Kalina</w:t>
      </w:r>
      <w:proofErr w:type="spellEnd"/>
      <w:r w:rsidRPr="00092AB4">
        <w:rPr>
          <w:b/>
          <w:bCs/>
          <w:lang w:val="en-US"/>
        </w:rPr>
        <w:t xml:space="preserve"> T</w:t>
      </w:r>
      <w:r w:rsidRPr="006407A4">
        <w:rPr>
          <w:lang w:val="en-US"/>
        </w:rPr>
        <w:t xml:space="preserve">, Flores-Montero J, </w:t>
      </w:r>
      <w:proofErr w:type="spellStart"/>
      <w:r w:rsidRPr="006407A4">
        <w:rPr>
          <w:lang w:val="en-US"/>
        </w:rPr>
        <w:t>Lecrevisse</w:t>
      </w:r>
      <w:proofErr w:type="spellEnd"/>
      <w:r w:rsidRPr="006407A4">
        <w:rPr>
          <w:lang w:val="en-US"/>
        </w:rPr>
        <w:t xml:space="preserve"> Q, </w:t>
      </w:r>
      <w:proofErr w:type="spellStart"/>
      <w:r w:rsidRPr="006407A4">
        <w:rPr>
          <w:lang w:val="en-US"/>
        </w:rPr>
        <w:t>Pedreira</w:t>
      </w:r>
      <w:proofErr w:type="spellEnd"/>
      <w:r w:rsidRPr="006407A4">
        <w:rPr>
          <w:lang w:val="en-US"/>
        </w:rPr>
        <w:t xml:space="preserve"> CE, van der Velden VHJ, </w:t>
      </w:r>
      <w:proofErr w:type="spellStart"/>
      <w:r w:rsidRPr="006407A4">
        <w:rPr>
          <w:lang w:val="en-US"/>
        </w:rPr>
        <w:t>Novakova</w:t>
      </w:r>
      <w:proofErr w:type="spellEnd"/>
      <w:r w:rsidRPr="006407A4">
        <w:rPr>
          <w:lang w:val="en-US"/>
        </w:rPr>
        <w:t xml:space="preserve"> M, </w:t>
      </w:r>
      <w:proofErr w:type="spellStart"/>
      <w:r w:rsidRPr="006407A4">
        <w:rPr>
          <w:lang w:val="en-US"/>
        </w:rPr>
        <w:t>Mejstrikova</w:t>
      </w:r>
      <w:proofErr w:type="spellEnd"/>
      <w:r w:rsidRPr="006407A4">
        <w:rPr>
          <w:lang w:val="en-US"/>
        </w:rPr>
        <w:t xml:space="preserve"> E, </w:t>
      </w:r>
      <w:proofErr w:type="spellStart"/>
      <w:r w:rsidRPr="006407A4">
        <w:rPr>
          <w:lang w:val="en-US"/>
        </w:rPr>
        <w:t>Hrusak</w:t>
      </w:r>
      <w:proofErr w:type="spellEnd"/>
      <w:r w:rsidRPr="006407A4">
        <w:rPr>
          <w:lang w:val="en-US"/>
        </w:rPr>
        <w:t xml:space="preserve"> O, </w:t>
      </w:r>
      <w:proofErr w:type="spellStart"/>
      <w:r w:rsidRPr="006407A4">
        <w:rPr>
          <w:lang w:val="en-US"/>
        </w:rPr>
        <w:t>Böttcher</w:t>
      </w:r>
      <w:proofErr w:type="spellEnd"/>
      <w:r w:rsidRPr="006407A4">
        <w:rPr>
          <w:lang w:val="en-US"/>
        </w:rPr>
        <w:t xml:space="preserve"> S, </w:t>
      </w:r>
      <w:proofErr w:type="spellStart"/>
      <w:r w:rsidRPr="006407A4">
        <w:rPr>
          <w:lang w:val="en-US"/>
        </w:rPr>
        <w:t>Karsch</w:t>
      </w:r>
      <w:proofErr w:type="spellEnd"/>
      <w:r w:rsidRPr="006407A4">
        <w:rPr>
          <w:lang w:val="en-US"/>
        </w:rPr>
        <w:t xml:space="preserve"> D, et al. Quality assessment program for </w:t>
      </w:r>
      <w:proofErr w:type="spellStart"/>
      <w:r w:rsidRPr="006407A4">
        <w:rPr>
          <w:lang w:val="en-US"/>
        </w:rPr>
        <w:t>EuroFlow</w:t>
      </w:r>
      <w:proofErr w:type="spellEnd"/>
      <w:r w:rsidRPr="006407A4">
        <w:rPr>
          <w:lang w:val="en-US"/>
        </w:rPr>
        <w:t xml:space="preserve"> protocols: summary results of four-year (2010-2013) quality assurance rounds. Cytometry A. 2015;87:145-56. </w:t>
      </w:r>
      <w:r w:rsidRPr="00092AB4">
        <w:rPr>
          <w:color w:val="0070C0"/>
          <w:lang w:val="en-US"/>
        </w:rPr>
        <w:t>DOI: 10.1002/cyto.a.22581. PMID: 25345353</w:t>
      </w:r>
    </w:p>
    <w:p w:rsidR="006357EA" w:rsidRPr="006407A4" w:rsidRDefault="006357EA" w:rsidP="002F4224">
      <w:pPr>
        <w:spacing w:line="276" w:lineRule="auto"/>
        <w:rPr>
          <w:lang w:val="en-US"/>
        </w:rPr>
      </w:pPr>
      <w:proofErr w:type="spellStart"/>
      <w:r w:rsidRPr="00092AB4">
        <w:rPr>
          <w:b/>
          <w:bCs/>
          <w:lang w:val="en-US"/>
        </w:rPr>
        <w:t>Kalina</w:t>
      </w:r>
      <w:proofErr w:type="spellEnd"/>
      <w:r w:rsidRPr="00092AB4">
        <w:rPr>
          <w:b/>
          <w:bCs/>
          <w:lang w:val="en-US"/>
        </w:rPr>
        <w:t xml:space="preserve"> T</w:t>
      </w:r>
      <w:r w:rsidRPr="006407A4">
        <w:rPr>
          <w:lang w:val="en-US"/>
        </w:rPr>
        <w:t>, Flores-Montero J, van der Velden VHJ, Martin-</w:t>
      </w:r>
      <w:proofErr w:type="spellStart"/>
      <w:r w:rsidRPr="006407A4">
        <w:rPr>
          <w:lang w:val="en-US"/>
        </w:rPr>
        <w:t>Ayuso</w:t>
      </w:r>
      <w:proofErr w:type="spellEnd"/>
      <w:r w:rsidRPr="006407A4">
        <w:rPr>
          <w:lang w:val="en-US"/>
        </w:rPr>
        <w:t xml:space="preserve"> M, </w:t>
      </w:r>
      <w:proofErr w:type="spellStart"/>
      <w:r w:rsidRPr="006407A4">
        <w:rPr>
          <w:lang w:val="en-US"/>
        </w:rPr>
        <w:t>Böttcher</w:t>
      </w:r>
      <w:proofErr w:type="spellEnd"/>
      <w:r w:rsidRPr="006407A4">
        <w:rPr>
          <w:lang w:val="en-US"/>
        </w:rPr>
        <w:t xml:space="preserve"> S, </w:t>
      </w:r>
      <w:proofErr w:type="spellStart"/>
      <w:r w:rsidRPr="006407A4">
        <w:rPr>
          <w:lang w:val="en-US"/>
        </w:rPr>
        <w:t>Ritgen</w:t>
      </w:r>
      <w:proofErr w:type="spellEnd"/>
      <w:r w:rsidRPr="006407A4">
        <w:rPr>
          <w:lang w:val="en-US"/>
        </w:rPr>
        <w:t xml:space="preserve"> M, Almeida J, Lhermitte L, </w:t>
      </w:r>
      <w:proofErr w:type="spellStart"/>
      <w:r w:rsidRPr="006407A4">
        <w:rPr>
          <w:lang w:val="en-US"/>
        </w:rPr>
        <w:t>Asnafi</w:t>
      </w:r>
      <w:proofErr w:type="spellEnd"/>
      <w:r w:rsidRPr="006407A4">
        <w:rPr>
          <w:lang w:val="en-US"/>
        </w:rPr>
        <w:t xml:space="preserve"> V, </w:t>
      </w:r>
      <w:proofErr w:type="spellStart"/>
      <w:r w:rsidRPr="006407A4">
        <w:rPr>
          <w:lang w:val="en-US"/>
        </w:rPr>
        <w:t>Mendonça</w:t>
      </w:r>
      <w:proofErr w:type="spellEnd"/>
      <w:r w:rsidRPr="006407A4">
        <w:rPr>
          <w:lang w:val="en-US"/>
        </w:rPr>
        <w:t xml:space="preserve"> A, et al. </w:t>
      </w:r>
      <w:proofErr w:type="spellStart"/>
      <w:r w:rsidRPr="006407A4">
        <w:rPr>
          <w:lang w:val="en-US"/>
        </w:rPr>
        <w:t>EuroFlow</w:t>
      </w:r>
      <w:proofErr w:type="spellEnd"/>
      <w:r w:rsidRPr="006407A4">
        <w:rPr>
          <w:lang w:val="en-US"/>
        </w:rPr>
        <w:t xml:space="preserve"> standardization of flow cytometer instrument settings and immunophenotyping protocols. Leukemia. 2012;26:1986-2010. </w:t>
      </w:r>
      <w:r w:rsidRPr="00092AB4">
        <w:rPr>
          <w:color w:val="0070C0"/>
          <w:lang w:val="en-US"/>
        </w:rPr>
        <w:t>DOI: 10.1038/leu.2012.122. PMID: 22948490</w:t>
      </w:r>
    </w:p>
    <w:p w:rsidR="006357EA" w:rsidRPr="006407A4" w:rsidRDefault="006357EA" w:rsidP="002F4224">
      <w:pPr>
        <w:spacing w:line="276" w:lineRule="auto"/>
        <w:rPr>
          <w:lang w:val="en-GB"/>
        </w:rPr>
      </w:pPr>
      <w:r w:rsidRPr="00092AB4">
        <w:rPr>
          <w:b/>
          <w:bCs/>
          <w:lang w:val="en-GB"/>
        </w:rPr>
        <w:t>Koo TK</w:t>
      </w:r>
      <w:r w:rsidRPr="006407A4">
        <w:rPr>
          <w:lang w:val="en-GB"/>
        </w:rPr>
        <w:t xml:space="preserve">, Li MY. A guideline of selecting and reporting intraclass correlation coefficients for reliability research. J </w:t>
      </w:r>
      <w:proofErr w:type="spellStart"/>
      <w:r w:rsidRPr="006407A4">
        <w:rPr>
          <w:lang w:val="en-GB"/>
        </w:rPr>
        <w:t>Chiropr</w:t>
      </w:r>
      <w:proofErr w:type="spellEnd"/>
      <w:r w:rsidRPr="006407A4">
        <w:rPr>
          <w:lang w:val="en-GB"/>
        </w:rPr>
        <w:t xml:space="preserve"> Med. 2016;15(2):155-63. </w:t>
      </w:r>
      <w:r w:rsidRPr="00092AB4">
        <w:rPr>
          <w:color w:val="0070C0"/>
          <w:lang w:val="en-GB"/>
        </w:rPr>
        <w:t>DOI:</w:t>
      </w:r>
      <w:r w:rsidR="00092AB4" w:rsidRPr="00092AB4">
        <w:rPr>
          <w:color w:val="0070C0"/>
          <w:lang w:val="en-GB"/>
        </w:rPr>
        <w:t xml:space="preserve"> </w:t>
      </w:r>
      <w:r w:rsidRPr="00092AB4">
        <w:rPr>
          <w:color w:val="0070C0"/>
          <w:lang w:val="en-GB"/>
        </w:rPr>
        <w:t>10.1016/j.jcm.2016.02.012. PMID 27330520.</w:t>
      </w:r>
    </w:p>
    <w:p w:rsidR="006357EA" w:rsidRPr="006407A4" w:rsidRDefault="006357EA" w:rsidP="002F4224">
      <w:pPr>
        <w:spacing w:line="276" w:lineRule="auto"/>
        <w:rPr>
          <w:lang w:val="en-US"/>
        </w:rPr>
      </w:pPr>
      <w:proofErr w:type="spellStart"/>
      <w:r w:rsidRPr="00092AB4">
        <w:rPr>
          <w:b/>
          <w:bCs/>
          <w:lang w:val="en-US"/>
        </w:rPr>
        <w:t>Kunishima</w:t>
      </w:r>
      <w:proofErr w:type="spellEnd"/>
      <w:r w:rsidRPr="00092AB4">
        <w:rPr>
          <w:b/>
          <w:bCs/>
          <w:lang w:val="en-US"/>
        </w:rPr>
        <w:t xml:space="preserve"> S</w:t>
      </w:r>
      <w:r w:rsidRPr="006407A4">
        <w:rPr>
          <w:lang w:val="en-US"/>
        </w:rPr>
        <w:t xml:space="preserve">, </w:t>
      </w:r>
      <w:proofErr w:type="spellStart"/>
      <w:r w:rsidRPr="006407A4">
        <w:rPr>
          <w:lang w:val="en-US"/>
        </w:rPr>
        <w:t>Kashiwagi</w:t>
      </w:r>
      <w:proofErr w:type="spellEnd"/>
      <w:r w:rsidRPr="006407A4">
        <w:rPr>
          <w:lang w:val="en-US"/>
        </w:rPr>
        <w:t xml:space="preserve"> H, Otsu M, Takayama N, </w:t>
      </w:r>
      <w:proofErr w:type="spellStart"/>
      <w:r w:rsidRPr="006407A4">
        <w:rPr>
          <w:lang w:val="en-US"/>
        </w:rPr>
        <w:t>Eto</w:t>
      </w:r>
      <w:proofErr w:type="spellEnd"/>
      <w:r w:rsidRPr="006407A4">
        <w:rPr>
          <w:lang w:val="en-US"/>
        </w:rPr>
        <w:t xml:space="preserve"> K, Onodera M, </w:t>
      </w:r>
      <w:proofErr w:type="spellStart"/>
      <w:r w:rsidRPr="006407A4">
        <w:rPr>
          <w:lang w:val="en-US"/>
        </w:rPr>
        <w:t>Miyajima</w:t>
      </w:r>
      <w:proofErr w:type="spellEnd"/>
      <w:r w:rsidRPr="006407A4">
        <w:rPr>
          <w:lang w:val="en-US"/>
        </w:rPr>
        <w:t xml:space="preserve"> Y, Takamatsu Y, </w:t>
      </w:r>
      <w:proofErr w:type="spellStart"/>
      <w:r w:rsidRPr="006407A4">
        <w:rPr>
          <w:lang w:val="en-US"/>
        </w:rPr>
        <w:t>Suzumiya</w:t>
      </w:r>
      <w:proofErr w:type="spellEnd"/>
      <w:r w:rsidRPr="006407A4">
        <w:rPr>
          <w:lang w:val="en-US"/>
        </w:rPr>
        <w:t xml:space="preserve"> J, Matsubara K, Tomiyama Y, Saito H. Heterozygous ITGA2B R995W mutation inducing constitutive activation of the αIIbβ3 receptor affects proplatelet formation and causes congenital macrothrombocytopenia. Blood. 2011 May 19;117(20):5479-84. </w:t>
      </w:r>
      <w:r w:rsidR="00092AB4">
        <w:rPr>
          <w:color w:val="0070C0"/>
          <w:lang w:val="en-US"/>
        </w:rPr>
        <w:t>DOI</w:t>
      </w:r>
      <w:r w:rsidRPr="00092AB4">
        <w:rPr>
          <w:color w:val="0070C0"/>
          <w:lang w:val="en-US"/>
        </w:rPr>
        <w:t>: 10.1182/blood-2010-12-323691. PMID: 21454453</w:t>
      </w:r>
    </w:p>
    <w:p w:rsidR="006357EA" w:rsidRPr="006407A4" w:rsidRDefault="006357EA" w:rsidP="006357EA">
      <w:pPr>
        <w:spacing w:line="276" w:lineRule="auto"/>
        <w:rPr>
          <w:lang w:val="en-US"/>
        </w:rPr>
      </w:pPr>
      <w:proofErr w:type="spellStart"/>
      <w:r w:rsidRPr="00092AB4">
        <w:rPr>
          <w:b/>
          <w:bCs/>
          <w:lang w:val="en-US"/>
        </w:rPr>
        <w:t>Matzdorff</w:t>
      </w:r>
      <w:proofErr w:type="spellEnd"/>
      <w:r w:rsidRPr="00092AB4">
        <w:rPr>
          <w:b/>
          <w:bCs/>
          <w:lang w:val="en-US"/>
        </w:rPr>
        <w:t xml:space="preserve"> A</w:t>
      </w:r>
      <w:r w:rsidRPr="006407A4">
        <w:rPr>
          <w:lang w:val="en-US"/>
        </w:rPr>
        <w:t xml:space="preserve">, Voss R. Upregulation of GP IIb/IIIa receptors during platelet activation: influence on efficacy of receptor blockade. </w:t>
      </w:r>
      <w:proofErr w:type="spellStart"/>
      <w:r w:rsidRPr="006407A4">
        <w:rPr>
          <w:lang w:val="en-US"/>
        </w:rPr>
        <w:t>Thromb</w:t>
      </w:r>
      <w:proofErr w:type="spellEnd"/>
      <w:r w:rsidRPr="006407A4">
        <w:rPr>
          <w:lang w:val="en-US"/>
        </w:rPr>
        <w:t xml:space="preserve"> Res. 2006;117(3):307-14. </w:t>
      </w:r>
      <w:r w:rsidRPr="00092AB4">
        <w:rPr>
          <w:color w:val="0070C0"/>
          <w:lang w:val="en-US"/>
        </w:rPr>
        <w:t xml:space="preserve">DOI: 10.1016/j.thromres.2005.03.007. PMID: 15894353. </w:t>
      </w:r>
    </w:p>
    <w:p w:rsidR="006357EA" w:rsidRPr="006407A4" w:rsidRDefault="006357EA" w:rsidP="006357EA">
      <w:pPr>
        <w:spacing w:line="276" w:lineRule="auto"/>
        <w:rPr>
          <w:lang w:val="en-US"/>
        </w:rPr>
      </w:pPr>
      <w:r w:rsidRPr="00092AB4">
        <w:rPr>
          <w:b/>
          <w:bCs/>
          <w:lang w:val="en-US"/>
        </w:rPr>
        <w:t>Michelson AD</w:t>
      </w:r>
      <w:r w:rsidRPr="006407A4">
        <w:rPr>
          <w:lang w:val="en-US"/>
        </w:rPr>
        <w:t xml:space="preserve">, Benoit SE, Kroll MH, Li JM, Rohrer MJ, Kestin AS, Barnard MR. The activation-induced decrease in the platelet surface expression of the glycoprotein </w:t>
      </w:r>
      <w:proofErr w:type="spellStart"/>
      <w:r w:rsidRPr="006407A4">
        <w:rPr>
          <w:lang w:val="en-US"/>
        </w:rPr>
        <w:t>Ib</w:t>
      </w:r>
      <w:proofErr w:type="spellEnd"/>
      <w:r w:rsidRPr="006407A4">
        <w:rPr>
          <w:lang w:val="en-US"/>
        </w:rPr>
        <w:t xml:space="preserve">-IX complex is reversible. Blood. 1994 Jun 15;83(12):3562-73. </w:t>
      </w:r>
      <w:r w:rsidRPr="00092AB4">
        <w:rPr>
          <w:color w:val="0070C0"/>
          <w:lang w:val="en-US"/>
        </w:rPr>
        <w:t>PMID: 8204882</w:t>
      </w:r>
    </w:p>
    <w:p w:rsidR="006357EA" w:rsidRPr="006407A4" w:rsidRDefault="006357EA" w:rsidP="002F4224">
      <w:pPr>
        <w:spacing w:line="276" w:lineRule="auto"/>
        <w:rPr>
          <w:lang w:val="en-US"/>
        </w:rPr>
      </w:pPr>
      <w:r w:rsidRPr="00092AB4">
        <w:rPr>
          <w:b/>
          <w:bCs/>
          <w:lang w:val="en-US"/>
        </w:rPr>
        <w:lastRenderedPageBreak/>
        <w:t>Michelson AD</w:t>
      </w:r>
      <w:r w:rsidRPr="006407A4">
        <w:rPr>
          <w:lang w:val="en-US"/>
        </w:rPr>
        <w:t xml:space="preserve">. Flow cytometry: a clinical test of platelet function—a review. Blood 1996; 87:4925–4936. </w:t>
      </w:r>
      <w:r w:rsidRPr="00092AB4">
        <w:rPr>
          <w:color w:val="0070C0"/>
          <w:lang w:val="en-US"/>
        </w:rPr>
        <w:t xml:space="preserve">PMID: 8652804. </w:t>
      </w:r>
    </w:p>
    <w:p w:rsidR="006357EA" w:rsidRPr="006407A4" w:rsidRDefault="006357EA" w:rsidP="002F4224">
      <w:pPr>
        <w:spacing w:line="276" w:lineRule="auto"/>
        <w:rPr>
          <w:lang w:val="en-US"/>
        </w:rPr>
      </w:pPr>
      <w:r w:rsidRPr="00092AB4">
        <w:rPr>
          <w:b/>
          <w:bCs/>
          <w:lang w:val="en-US"/>
        </w:rPr>
        <w:t>Miyashita N</w:t>
      </w:r>
      <w:r w:rsidRPr="006407A4">
        <w:rPr>
          <w:lang w:val="en-US"/>
        </w:rPr>
        <w:t xml:space="preserve">, </w:t>
      </w:r>
      <w:proofErr w:type="spellStart"/>
      <w:r w:rsidRPr="006407A4">
        <w:rPr>
          <w:lang w:val="en-US"/>
        </w:rPr>
        <w:t>Onozawa</w:t>
      </w:r>
      <w:proofErr w:type="spellEnd"/>
      <w:r w:rsidRPr="006407A4">
        <w:rPr>
          <w:lang w:val="en-US"/>
        </w:rPr>
        <w:t xml:space="preserve"> M, </w:t>
      </w:r>
      <w:proofErr w:type="spellStart"/>
      <w:r w:rsidRPr="006407A4">
        <w:rPr>
          <w:lang w:val="en-US"/>
        </w:rPr>
        <w:t>Hayasaka</w:t>
      </w:r>
      <w:proofErr w:type="spellEnd"/>
      <w:r w:rsidRPr="006407A4">
        <w:rPr>
          <w:lang w:val="en-US"/>
        </w:rPr>
        <w:t xml:space="preserve"> K, Yamada T, Migita O, </w:t>
      </w:r>
      <w:proofErr w:type="spellStart"/>
      <w:r w:rsidRPr="006407A4">
        <w:rPr>
          <w:lang w:val="en-US"/>
        </w:rPr>
        <w:t>Hata</w:t>
      </w:r>
      <w:proofErr w:type="spellEnd"/>
      <w:r w:rsidRPr="006407A4">
        <w:rPr>
          <w:lang w:val="en-US"/>
        </w:rPr>
        <w:t xml:space="preserve"> K, Okada K, </w:t>
      </w:r>
      <w:proofErr w:type="spellStart"/>
      <w:r w:rsidRPr="006407A4">
        <w:rPr>
          <w:lang w:val="en-US"/>
        </w:rPr>
        <w:t>Goto</w:t>
      </w:r>
      <w:proofErr w:type="spellEnd"/>
      <w:r w:rsidRPr="006407A4">
        <w:rPr>
          <w:lang w:val="en-US"/>
        </w:rPr>
        <w:t xml:space="preserve"> H, Nakagawa M, Hashimoto D, </w:t>
      </w:r>
      <w:proofErr w:type="spellStart"/>
      <w:r w:rsidRPr="006407A4">
        <w:rPr>
          <w:lang w:val="en-US"/>
        </w:rPr>
        <w:t>Kahata</w:t>
      </w:r>
      <w:proofErr w:type="spellEnd"/>
      <w:r w:rsidRPr="006407A4">
        <w:rPr>
          <w:lang w:val="en-US"/>
        </w:rPr>
        <w:t xml:space="preserve"> K, Kondo T, </w:t>
      </w:r>
      <w:proofErr w:type="spellStart"/>
      <w:r w:rsidRPr="006407A4">
        <w:rPr>
          <w:lang w:val="en-US"/>
        </w:rPr>
        <w:t>Kunishima</w:t>
      </w:r>
      <w:proofErr w:type="spellEnd"/>
      <w:r w:rsidRPr="006407A4">
        <w:rPr>
          <w:lang w:val="en-US"/>
        </w:rPr>
        <w:t xml:space="preserve"> S, </w:t>
      </w:r>
      <w:proofErr w:type="spellStart"/>
      <w:r w:rsidRPr="006407A4">
        <w:rPr>
          <w:lang w:val="en-US"/>
        </w:rPr>
        <w:t>Teshima</w:t>
      </w:r>
      <w:proofErr w:type="spellEnd"/>
      <w:r w:rsidRPr="006407A4">
        <w:rPr>
          <w:lang w:val="en-US"/>
        </w:rPr>
        <w:t xml:space="preserve"> T. A novel heterozygous ITGB3 p.T720del inducing spontaneous activation of integrin αIIbβ3 in autosomal dominant macrothrombocytopenia with aggregation dysfunction. Ann </w:t>
      </w:r>
      <w:proofErr w:type="spellStart"/>
      <w:r w:rsidRPr="006407A4">
        <w:rPr>
          <w:lang w:val="en-US"/>
        </w:rPr>
        <w:t>Hematol</w:t>
      </w:r>
      <w:proofErr w:type="spellEnd"/>
      <w:r w:rsidRPr="006407A4">
        <w:rPr>
          <w:lang w:val="en-US"/>
        </w:rPr>
        <w:t xml:space="preserve">. 2018 Apr;97(4):629-640. </w:t>
      </w:r>
      <w:r w:rsidR="00092AB4" w:rsidRPr="00092AB4">
        <w:rPr>
          <w:color w:val="0070C0"/>
          <w:lang w:val="en-US"/>
        </w:rPr>
        <w:t>DOI</w:t>
      </w:r>
      <w:r w:rsidRPr="00092AB4">
        <w:rPr>
          <w:color w:val="0070C0"/>
          <w:lang w:val="en-US"/>
        </w:rPr>
        <w:t>: 10.1007/s00277-017-3214-4. PMID: 29380037</w:t>
      </w:r>
    </w:p>
    <w:p w:rsidR="006357EA" w:rsidRPr="00092AB4" w:rsidRDefault="006357EA" w:rsidP="002F4224">
      <w:pPr>
        <w:spacing w:line="276" w:lineRule="auto"/>
        <w:rPr>
          <w:color w:val="0070C0"/>
          <w:lang w:val="en-US"/>
        </w:rPr>
      </w:pPr>
      <w:proofErr w:type="spellStart"/>
      <w:r w:rsidRPr="00092AB4">
        <w:rPr>
          <w:b/>
          <w:bCs/>
          <w:lang w:val="en-US"/>
        </w:rPr>
        <w:t>Mody</w:t>
      </w:r>
      <w:proofErr w:type="spellEnd"/>
      <w:r w:rsidRPr="00092AB4">
        <w:rPr>
          <w:b/>
          <w:bCs/>
          <w:lang w:val="en-US"/>
        </w:rPr>
        <w:t xml:space="preserve"> M</w:t>
      </w:r>
      <w:r w:rsidRPr="006407A4">
        <w:rPr>
          <w:lang w:val="en-US"/>
        </w:rPr>
        <w:t xml:space="preserve">, Lazarus AH, Semple JW, Freedman J. Preanalytical requirements for flow cytometric evaluation of platelet activation: choice of anticoagulant. </w:t>
      </w:r>
      <w:proofErr w:type="spellStart"/>
      <w:r w:rsidRPr="006407A4">
        <w:rPr>
          <w:lang w:val="en-US"/>
        </w:rPr>
        <w:t>Transfus</w:t>
      </w:r>
      <w:proofErr w:type="spellEnd"/>
      <w:r w:rsidRPr="006407A4">
        <w:rPr>
          <w:lang w:val="en-US"/>
        </w:rPr>
        <w:t xml:space="preserve"> Med. 1999 Jun;9(2):147-54. </w:t>
      </w:r>
      <w:r w:rsidRPr="00092AB4">
        <w:rPr>
          <w:color w:val="0070C0"/>
          <w:lang w:val="en-US"/>
        </w:rPr>
        <w:t>DOI: 10.1046/j.1365-3148.1999.00188.x. PMID: 10354385</w:t>
      </w:r>
    </w:p>
    <w:p w:rsidR="006357EA" w:rsidRPr="006407A4" w:rsidRDefault="006357EA" w:rsidP="002F4224">
      <w:pPr>
        <w:spacing w:line="276" w:lineRule="auto"/>
        <w:rPr>
          <w:lang w:val="en-US"/>
        </w:rPr>
      </w:pPr>
      <w:proofErr w:type="spellStart"/>
      <w:r w:rsidRPr="00092AB4">
        <w:rPr>
          <w:b/>
          <w:bCs/>
          <w:lang w:val="en-US"/>
        </w:rPr>
        <w:t>Nurden</w:t>
      </w:r>
      <w:proofErr w:type="spellEnd"/>
      <w:r w:rsidRPr="00092AB4">
        <w:rPr>
          <w:b/>
          <w:bCs/>
          <w:lang w:val="en-US"/>
        </w:rPr>
        <w:t xml:space="preserve"> AT</w:t>
      </w:r>
      <w:r w:rsidRPr="006407A4">
        <w:rPr>
          <w:lang w:val="en-US"/>
        </w:rPr>
        <w:t xml:space="preserve">, </w:t>
      </w:r>
      <w:proofErr w:type="spellStart"/>
      <w:r w:rsidRPr="006407A4">
        <w:rPr>
          <w:lang w:val="en-US"/>
        </w:rPr>
        <w:t>Pillois</w:t>
      </w:r>
      <w:proofErr w:type="spellEnd"/>
      <w:r w:rsidRPr="006407A4">
        <w:rPr>
          <w:lang w:val="en-US"/>
        </w:rPr>
        <w:t xml:space="preserve"> X, Fiore M, Heilig R, </w:t>
      </w:r>
      <w:proofErr w:type="spellStart"/>
      <w:r w:rsidRPr="006407A4">
        <w:rPr>
          <w:lang w:val="en-US"/>
        </w:rPr>
        <w:t>Nurden</w:t>
      </w:r>
      <w:proofErr w:type="spellEnd"/>
      <w:r w:rsidRPr="006407A4">
        <w:rPr>
          <w:lang w:val="en-US"/>
        </w:rPr>
        <w:t xml:space="preserve"> P. Glanzmann thrombasthenia-like syndromes associated with </w:t>
      </w:r>
      <w:proofErr w:type="spellStart"/>
      <w:r w:rsidRPr="006407A4">
        <w:rPr>
          <w:lang w:val="en-US"/>
        </w:rPr>
        <w:t>Macrothrombocytopenias</w:t>
      </w:r>
      <w:proofErr w:type="spellEnd"/>
      <w:r w:rsidRPr="006407A4">
        <w:rPr>
          <w:lang w:val="en-US"/>
        </w:rPr>
        <w:t xml:space="preserve"> and mutations in the genes encoding the αIIbβ3 integrin. </w:t>
      </w:r>
      <w:proofErr w:type="spellStart"/>
      <w:r w:rsidRPr="006407A4">
        <w:rPr>
          <w:lang w:val="en-US"/>
        </w:rPr>
        <w:t>Semin</w:t>
      </w:r>
      <w:proofErr w:type="spellEnd"/>
      <w:r w:rsidRPr="006407A4">
        <w:rPr>
          <w:lang w:val="en-US"/>
        </w:rPr>
        <w:t xml:space="preserve"> </w:t>
      </w:r>
      <w:proofErr w:type="spellStart"/>
      <w:r w:rsidRPr="006407A4">
        <w:rPr>
          <w:lang w:val="en-US"/>
        </w:rPr>
        <w:t>Thromb</w:t>
      </w:r>
      <w:proofErr w:type="spellEnd"/>
      <w:r w:rsidRPr="006407A4">
        <w:rPr>
          <w:lang w:val="en-US"/>
        </w:rPr>
        <w:t xml:space="preserve"> </w:t>
      </w:r>
      <w:proofErr w:type="spellStart"/>
      <w:r w:rsidRPr="006407A4">
        <w:rPr>
          <w:lang w:val="en-US"/>
        </w:rPr>
        <w:t>Hemost</w:t>
      </w:r>
      <w:proofErr w:type="spellEnd"/>
      <w:r w:rsidRPr="006407A4">
        <w:rPr>
          <w:lang w:val="en-US"/>
        </w:rPr>
        <w:t xml:space="preserve">. 2011;37: 698-706. </w:t>
      </w:r>
      <w:r w:rsidR="00092AB4">
        <w:rPr>
          <w:color w:val="0070C0"/>
          <w:lang w:val="en-US"/>
        </w:rPr>
        <w:t>DOI</w:t>
      </w:r>
      <w:r w:rsidRPr="00092AB4">
        <w:rPr>
          <w:color w:val="0070C0"/>
          <w:lang w:val="en-US"/>
        </w:rPr>
        <w:t>: 10.1055/s-0031-1291380. PMID: 22102273. Review.</w:t>
      </w:r>
    </w:p>
    <w:p w:rsidR="006357EA" w:rsidRPr="006407A4" w:rsidRDefault="006357EA" w:rsidP="002F4224">
      <w:pPr>
        <w:spacing w:line="276" w:lineRule="auto"/>
        <w:rPr>
          <w:lang w:val="en-US"/>
        </w:rPr>
      </w:pPr>
      <w:proofErr w:type="spellStart"/>
      <w:r w:rsidRPr="00092AB4">
        <w:rPr>
          <w:b/>
          <w:bCs/>
          <w:lang w:val="en-US"/>
        </w:rPr>
        <w:t>Nurden</w:t>
      </w:r>
      <w:proofErr w:type="spellEnd"/>
      <w:r w:rsidRPr="00092AB4">
        <w:rPr>
          <w:b/>
          <w:bCs/>
          <w:lang w:val="en-US"/>
        </w:rPr>
        <w:t xml:space="preserve"> AT</w:t>
      </w:r>
      <w:r w:rsidRPr="006407A4">
        <w:rPr>
          <w:lang w:val="en-US"/>
        </w:rPr>
        <w:t xml:space="preserve">, </w:t>
      </w:r>
      <w:proofErr w:type="spellStart"/>
      <w:r w:rsidRPr="006407A4">
        <w:rPr>
          <w:lang w:val="en-US"/>
        </w:rPr>
        <w:t>Pillois</w:t>
      </w:r>
      <w:proofErr w:type="spellEnd"/>
      <w:r w:rsidRPr="006407A4">
        <w:rPr>
          <w:lang w:val="en-US"/>
        </w:rPr>
        <w:t xml:space="preserve"> X, Wilcox DA. Glanzmann thrombasthenia: state of the art and future directions. </w:t>
      </w:r>
      <w:proofErr w:type="spellStart"/>
      <w:r w:rsidRPr="006407A4">
        <w:rPr>
          <w:lang w:val="en-US"/>
        </w:rPr>
        <w:t>Semin</w:t>
      </w:r>
      <w:proofErr w:type="spellEnd"/>
      <w:r w:rsidRPr="006407A4">
        <w:rPr>
          <w:lang w:val="en-US"/>
        </w:rPr>
        <w:t xml:space="preserve"> </w:t>
      </w:r>
      <w:proofErr w:type="spellStart"/>
      <w:r w:rsidRPr="006407A4">
        <w:rPr>
          <w:lang w:val="en-US"/>
        </w:rPr>
        <w:t>Thromb</w:t>
      </w:r>
      <w:proofErr w:type="spellEnd"/>
      <w:r w:rsidRPr="006407A4">
        <w:rPr>
          <w:lang w:val="en-US"/>
        </w:rPr>
        <w:t xml:space="preserve"> </w:t>
      </w:r>
      <w:proofErr w:type="spellStart"/>
      <w:r w:rsidRPr="006407A4">
        <w:rPr>
          <w:lang w:val="en-US"/>
        </w:rPr>
        <w:t>Hemost</w:t>
      </w:r>
      <w:proofErr w:type="spellEnd"/>
      <w:r w:rsidRPr="006407A4">
        <w:rPr>
          <w:lang w:val="en-US"/>
        </w:rPr>
        <w:t xml:space="preserve">. 2013 Sep;39(6):642-55. </w:t>
      </w:r>
      <w:r w:rsidR="00092AB4">
        <w:rPr>
          <w:color w:val="0070C0"/>
          <w:lang w:val="en-US"/>
        </w:rPr>
        <w:t>DOI</w:t>
      </w:r>
      <w:r w:rsidRPr="00092AB4">
        <w:rPr>
          <w:color w:val="0070C0"/>
          <w:lang w:val="en-US"/>
        </w:rPr>
        <w:t>: 10.1055/s-0033-1353393. PMID: 23929305. Review.</w:t>
      </w:r>
    </w:p>
    <w:p w:rsidR="006357EA" w:rsidRPr="006407A4" w:rsidRDefault="006357EA" w:rsidP="002F4224">
      <w:pPr>
        <w:spacing w:line="276" w:lineRule="auto"/>
        <w:rPr>
          <w:lang w:val="en-US"/>
        </w:rPr>
      </w:pPr>
      <w:proofErr w:type="spellStart"/>
      <w:r w:rsidRPr="00092AB4">
        <w:rPr>
          <w:b/>
          <w:bCs/>
          <w:lang w:val="en-US"/>
        </w:rPr>
        <w:t>Nurden</w:t>
      </w:r>
      <w:proofErr w:type="spellEnd"/>
      <w:r w:rsidRPr="00092AB4">
        <w:rPr>
          <w:b/>
          <w:bCs/>
          <w:lang w:val="en-US"/>
        </w:rPr>
        <w:t xml:space="preserve"> AT</w:t>
      </w:r>
      <w:r w:rsidRPr="006407A4">
        <w:rPr>
          <w:lang w:val="en-US"/>
        </w:rPr>
        <w:t xml:space="preserve">, </w:t>
      </w:r>
      <w:proofErr w:type="spellStart"/>
      <w:r w:rsidRPr="006407A4">
        <w:rPr>
          <w:lang w:val="en-US"/>
        </w:rPr>
        <w:t>Pillois</w:t>
      </w:r>
      <w:proofErr w:type="spellEnd"/>
      <w:r w:rsidRPr="006407A4">
        <w:rPr>
          <w:lang w:val="en-US"/>
        </w:rPr>
        <w:t xml:space="preserve"> X. ITGA2B and ITGB3 gene mutations associated with Glanzmann thrombasthenia. Platelets. 2018 Jan;29(1):98-101. </w:t>
      </w:r>
      <w:r w:rsidR="00092AB4" w:rsidRPr="00092AB4">
        <w:rPr>
          <w:color w:val="0070C0"/>
          <w:lang w:val="en-US"/>
        </w:rPr>
        <w:t>DOI</w:t>
      </w:r>
      <w:r w:rsidRPr="00092AB4">
        <w:rPr>
          <w:color w:val="0070C0"/>
          <w:lang w:val="en-US"/>
        </w:rPr>
        <w:t>: 10.1080/09537104.2017.1371291. PMID: 29125375. Review.</w:t>
      </w:r>
    </w:p>
    <w:p w:rsidR="006357EA" w:rsidRPr="006407A4" w:rsidRDefault="006357EA" w:rsidP="002F4224">
      <w:pPr>
        <w:spacing w:line="276" w:lineRule="auto"/>
        <w:rPr>
          <w:lang w:val="en-US"/>
        </w:rPr>
      </w:pPr>
      <w:r w:rsidRPr="00092AB4">
        <w:rPr>
          <w:b/>
          <w:bCs/>
          <w:lang w:val="en-US"/>
        </w:rPr>
        <w:t>Pedersen OH</w:t>
      </w:r>
      <w:r w:rsidRPr="006407A4">
        <w:rPr>
          <w:lang w:val="en-US"/>
        </w:rPr>
        <w:t xml:space="preserve">, Nissen PH, </w:t>
      </w:r>
      <w:proofErr w:type="spellStart"/>
      <w:r w:rsidRPr="006407A4">
        <w:rPr>
          <w:lang w:val="en-US"/>
        </w:rPr>
        <w:t>Hvas</w:t>
      </w:r>
      <w:proofErr w:type="spellEnd"/>
      <w:r w:rsidRPr="006407A4">
        <w:rPr>
          <w:lang w:val="en-US"/>
        </w:rPr>
        <w:t xml:space="preserve"> A-M. Platelet function investigation by flow cytometry: Sample volume, needle size, and reference intervals. Platelets. 2018;29: 199-202. </w:t>
      </w:r>
      <w:r w:rsidR="00092AB4" w:rsidRPr="00092AB4">
        <w:rPr>
          <w:color w:val="0070C0"/>
          <w:lang w:val="en-US"/>
        </w:rPr>
        <w:t>DOI</w:t>
      </w:r>
      <w:r w:rsidRPr="00092AB4">
        <w:rPr>
          <w:color w:val="0070C0"/>
          <w:lang w:val="en-US"/>
        </w:rPr>
        <w:t>: 10.1080/09537104.2017.1353684. PMID: 28960147</w:t>
      </w:r>
    </w:p>
    <w:p w:rsidR="005A4A5A" w:rsidRPr="006407A4" w:rsidRDefault="005A4A5A" w:rsidP="005A4A5A">
      <w:pPr>
        <w:spacing w:line="240" w:lineRule="auto"/>
        <w:rPr>
          <w:lang w:val="en-US"/>
        </w:rPr>
      </w:pPr>
      <w:r w:rsidRPr="00092AB4">
        <w:rPr>
          <w:rStyle w:val="element-citation"/>
          <w:b/>
          <w:bCs/>
          <w:color w:val="000000"/>
          <w:shd w:val="clear" w:color="auto" w:fill="FFFFFF"/>
          <w:lang w:val="en-US"/>
        </w:rPr>
        <w:t>Rosner B</w:t>
      </w:r>
      <w:r w:rsidRPr="006407A4">
        <w:rPr>
          <w:rStyle w:val="element-citation"/>
          <w:color w:val="000000"/>
          <w:shd w:val="clear" w:color="auto" w:fill="FFFFFF"/>
          <w:lang w:val="en-US"/>
        </w:rPr>
        <w:t>. </w:t>
      </w:r>
      <w:r w:rsidRPr="006407A4">
        <w:rPr>
          <w:rStyle w:val="ref-journal"/>
          <w:color w:val="000000"/>
          <w:shd w:val="clear" w:color="auto" w:fill="FFFFFF"/>
          <w:lang w:val="en-US"/>
        </w:rPr>
        <w:t>Fundamentals of Biostatistics.</w:t>
      </w:r>
      <w:r w:rsidRPr="006407A4">
        <w:rPr>
          <w:rStyle w:val="element-citation"/>
          <w:color w:val="000000"/>
          <w:shd w:val="clear" w:color="auto" w:fill="FFFFFF"/>
          <w:lang w:val="en-US"/>
        </w:rPr>
        <w:t> 6th ed. Duxbury: Thomson Brooks/Cole; 2006.</w:t>
      </w:r>
    </w:p>
    <w:p w:rsidR="006357EA" w:rsidRPr="006407A4" w:rsidRDefault="006357EA" w:rsidP="002F4224">
      <w:pPr>
        <w:spacing w:line="276" w:lineRule="auto"/>
        <w:rPr>
          <w:lang w:val="en-US"/>
        </w:rPr>
      </w:pPr>
      <w:proofErr w:type="spellStart"/>
      <w:r w:rsidRPr="00092AB4">
        <w:rPr>
          <w:b/>
          <w:bCs/>
          <w:lang w:val="en-US"/>
        </w:rPr>
        <w:t>Shattil</w:t>
      </w:r>
      <w:proofErr w:type="spellEnd"/>
      <w:r w:rsidRPr="00092AB4">
        <w:rPr>
          <w:b/>
          <w:bCs/>
          <w:lang w:val="en-US"/>
        </w:rPr>
        <w:t xml:space="preserve"> SJ</w:t>
      </w:r>
      <w:r w:rsidRPr="006407A4">
        <w:rPr>
          <w:lang w:val="en-US"/>
        </w:rPr>
        <w:t xml:space="preserve">, Hoxie JA, Cunningham M, Brass LF. Changes in the platelet membrane glycoprotein </w:t>
      </w:r>
      <w:proofErr w:type="spellStart"/>
      <w:r w:rsidRPr="006407A4">
        <w:rPr>
          <w:lang w:val="en-US"/>
        </w:rPr>
        <w:t>IIb.IIIa</w:t>
      </w:r>
      <w:proofErr w:type="spellEnd"/>
      <w:r w:rsidRPr="006407A4">
        <w:rPr>
          <w:lang w:val="en-US"/>
        </w:rPr>
        <w:t xml:space="preserve"> complex during platelet activation. J Biol Chem. 1985;260: 11107-11114. </w:t>
      </w:r>
      <w:r w:rsidRPr="00092AB4">
        <w:rPr>
          <w:color w:val="0070C0"/>
          <w:lang w:val="en-US"/>
        </w:rPr>
        <w:t>PMID: 2411729</w:t>
      </w:r>
    </w:p>
    <w:p w:rsidR="006357EA" w:rsidRPr="006407A4" w:rsidRDefault="006357EA" w:rsidP="002F4224">
      <w:pPr>
        <w:spacing w:line="276" w:lineRule="auto"/>
        <w:rPr>
          <w:lang w:val="en-US"/>
        </w:rPr>
      </w:pPr>
      <w:proofErr w:type="spellStart"/>
      <w:r w:rsidRPr="00092AB4">
        <w:rPr>
          <w:b/>
          <w:bCs/>
          <w:lang w:val="en-US"/>
        </w:rPr>
        <w:t>Ugarova</w:t>
      </w:r>
      <w:proofErr w:type="spellEnd"/>
      <w:r w:rsidRPr="00092AB4">
        <w:rPr>
          <w:b/>
          <w:bCs/>
          <w:lang w:val="en-US"/>
        </w:rPr>
        <w:t xml:space="preserve"> TP</w:t>
      </w:r>
      <w:r w:rsidRPr="006407A4">
        <w:rPr>
          <w:lang w:val="en-US"/>
        </w:rPr>
        <w:t xml:space="preserve">, </w:t>
      </w:r>
      <w:proofErr w:type="spellStart"/>
      <w:r w:rsidRPr="006407A4">
        <w:rPr>
          <w:lang w:val="en-US"/>
        </w:rPr>
        <w:t>Budzynski</w:t>
      </w:r>
      <w:proofErr w:type="spellEnd"/>
      <w:r w:rsidRPr="006407A4">
        <w:rPr>
          <w:lang w:val="en-US"/>
        </w:rPr>
        <w:t xml:space="preserve"> AZ, </w:t>
      </w:r>
      <w:proofErr w:type="spellStart"/>
      <w:r w:rsidRPr="006407A4">
        <w:rPr>
          <w:lang w:val="en-US"/>
        </w:rPr>
        <w:t>Shattil</w:t>
      </w:r>
      <w:proofErr w:type="spellEnd"/>
      <w:r w:rsidRPr="006407A4">
        <w:rPr>
          <w:lang w:val="en-US"/>
        </w:rPr>
        <w:t xml:space="preserve"> SJ, Ruggeri ZM, Ginsberg MH, Plow EF. Conformational changes in fibrinogen elicited by its interaction with platelet membrane glycoprotein GPIIb-IIIa. J Biol Chem. 1993;268(28):21080-7. </w:t>
      </w:r>
      <w:r w:rsidRPr="00092AB4">
        <w:rPr>
          <w:color w:val="0070C0"/>
          <w:lang w:val="en-US"/>
        </w:rPr>
        <w:t>PMID: 7691805</w:t>
      </w:r>
    </w:p>
    <w:p w:rsidR="006357EA" w:rsidRPr="006407A4" w:rsidRDefault="006357EA" w:rsidP="002F4224">
      <w:pPr>
        <w:spacing w:line="276" w:lineRule="auto"/>
        <w:rPr>
          <w:lang w:val="en-US"/>
        </w:rPr>
      </w:pPr>
      <w:r w:rsidRPr="00092AB4">
        <w:rPr>
          <w:b/>
          <w:bCs/>
          <w:lang w:val="en-US"/>
        </w:rPr>
        <w:t xml:space="preserve">van </w:t>
      </w:r>
      <w:proofErr w:type="spellStart"/>
      <w:r w:rsidRPr="00092AB4">
        <w:rPr>
          <w:b/>
          <w:bCs/>
          <w:lang w:val="en-US"/>
        </w:rPr>
        <w:t>Asten</w:t>
      </w:r>
      <w:proofErr w:type="spellEnd"/>
      <w:r w:rsidRPr="00092AB4">
        <w:rPr>
          <w:b/>
          <w:bCs/>
          <w:lang w:val="en-US"/>
        </w:rPr>
        <w:t xml:space="preserve"> I</w:t>
      </w:r>
      <w:r w:rsidRPr="006407A4">
        <w:rPr>
          <w:lang w:val="en-US"/>
        </w:rPr>
        <w:t xml:space="preserve">, </w:t>
      </w:r>
      <w:proofErr w:type="spellStart"/>
      <w:r w:rsidRPr="006407A4">
        <w:rPr>
          <w:lang w:val="en-US"/>
        </w:rPr>
        <w:t>Schutgens</w:t>
      </w:r>
      <w:proofErr w:type="spellEnd"/>
      <w:r w:rsidRPr="006407A4">
        <w:rPr>
          <w:lang w:val="en-US"/>
        </w:rPr>
        <w:t xml:space="preserve"> REG, </w:t>
      </w:r>
      <w:proofErr w:type="spellStart"/>
      <w:r w:rsidRPr="006407A4">
        <w:rPr>
          <w:lang w:val="en-US"/>
        </w:rPr>
        <w:t>Baaij</w:t>
      </w:r>
      <w:proofErr w:type="spellEnd"/>
      <w:r w:rsidRPr="006407A4">
        <w:rPr>
          <w:lang w:val="en-US"/>
        </w:rPr>
        <w:t xml:space="preserve"> M, Zandstra J, </w:t>
      </w:r>
      <w:proofErr w:type="spellStart"/>
      <w:r w:rsidRPr="006407A4">
        <w:rPr>
          <w:lang w:val="en-US"/>
        </w:rPr>
        <w:t>Roest</w:t>
      </w:r>
      <w:proofErr w:type="spellEnd"/>
      <w:r w:rsidRPr="006407A4">
        <w:rPr>
          <w:lang w:val="en-US"/>
        </w:rPr>
        <w:t xml:space="preserve"> M, </w:t>
      </w:r>
      <w:proofErr w:type="spellStart"/>
      <w:r w:rsidRPr="006407A4">
        <w:rPr>
          <w:lang w:val="en-US"/>
        </w:rPr>
        <w:t>Pasterkamp</w:t>
      </w:r>
      <w:proofErr w:type="spellEnd"/>
      <w:r w:rsidRPr="006407A4">
        <w:rPr>
          <w:lang w:val="en-US"/>
        </w:rPr>
        <w:t xml:space="preserve"> G, et al. Validation of flow cytometric analysis of platelet function in patients with a suspected platelet function defect. J </w:t>
      </w:r>
      <w:proofErr w:type="spellStart"/>
      <w:r w:rsidRPr="006407A4">
        <w:rPr>
          <w:lang w:val="en-US"/>
        </w:rPr>
        <w:t>Thromb</w:t>
      </w:r>
      <w:proofErr w:type="spellEnd"/>
      <w:r w:rsidRPr="006407A4">
        <w:rPr>
          <w:lang w:val="en-US"/>
        </w:rPr>
        <w:t xml:space="preserve"> </w:t>
      </w:r>
      <w:proofErr w:type="spellStart"/>
      <w:r w:rsidRPr="006407A4">
        <w:rPr>
          <w:lang w:val="en-US"/>
        </w:rPr>
        <w:t>Haemost</w:t>
      </w:r>
      <w:proofErr w:type="spellEnd"/>
      <w:r w:rsidRPr="006407A4">
        <w:rPr>
          <w:lang w:val="en-US"/>
        </w:rPr>
        <w:t xml:space="preserve">. 2018;16: 689-698. </w:t>
      </w:r>
      <w:r w:rsidR="00092AB4">
        <w:rPr>
          <w:color w:val="0070C0"/>
          <w:lang w:val="en-US"/>
        </w:rPr>
        <w:t>DOI</w:t>
      </w:r>
      <w:r w:rsidRPr="00092AB4">
        <w:rPr>
          <w:color w:val="0070C0"/>
          <w:lang w:val="en-US"/>
        </w:rPr>
        <w:t>: 10.1111/jth.13952. PMID: 29337406</w:t>
      </w:r>
    </w:p>
    <w:p w:rsidR="006357EA" w:rsidRPr="006407A4" w:rsidRDefault="006357EA" w:rsidP="002F4224">
      <w:pPr>
        <w:spacing w:line="276" w:lineRule="auto"/>
        <w:rPr>
          <w:lang w:val="en-US"/>
        </w:rPr>
      </w:pPr>
      <w:r w:rsidRPr="00092AB4">
        <w:rPr>
          <w:b/>
          <w:bCs/>
          <w:lang w:val="en-US"/>
        </w:rPr>
        <w:t xml:space="preserve">van </w:t>
      </w:r>
      <w:proofErr w:type="spellStart"/>
      <w:r w:rsidRPr="00092AB4">
        <w:rPr>
          <w:b/>
          <w:bCs/>
          <w:lang w:val="en-US"/>
        </w:rPr>
        <w:t>Asten</w:t>
      </w:r>
      <w:proofErr w:type="spellEnd"/>
      <w:r w:rsidRPr="00092AB4">
        <w:rPr>
          <w:b/>
          <w:bCs/>
          <w:lang w:val="en-US"/>
        </w:rPr>
        <w:t xml:space="preserve"> I</w:t>
      </w:r>
      <w:r w:rsidRPr="006407A4">
        <w:rPr>
          <w:lang w:val="en-US"/>
        </w:rPr>
        <w:t xml:space="preserve">, </w:t>
      </w:r>
      <w:proofErr w:type="spellStart"/>
      <w:r w:rsidRPr="006407A4">
        <w:rPr>
          <w:lang w:val="en-US"/>
        </w:rPr>
        <w:t>Schutgens</w:t>
      </w:r>
      <w:proofErr w:type="spellEnd"/>
      <w:r w:rsidRPr="006407A4">
        <w:rPr>
          <w:lang w:val="en-US"/>
        </w:rPr>
        <w:t xml:space="preserve"> REG, </w:t>
      </w:r>
      <w:proofErr w:type="spellStart"/>
      <w:r w:rsidRPr="006407A4">
        <w:rPr>
          <w:lang w:val="en-US"/>
        </w:rPr>
        <w:t>Urbanus</w:t>
      </w:r>
      <w:proofErr w:type="spellEnd"/>
      <w:r w:rsidRPr="006407A4">
        <w:rPr>
          <w:lang w:val="en-US"/>
        </w:rPr>
        <w:t xml:space="preserve"> RT. Toward Flow Cytometry Based Platelet Function Diagnostics. </w:t>
      </w:r>
      <w:proofErr w:type="spellStart"/>
      <w:r w:rsidRPr="006407A4">
        <w:rPr>
          <w:lang w:val="en-US"/>
        </w:rPr>
        <w:t>Semin</w:t>
      </w:r>
      <w:proofErr w:type="spellEnd"/>
      <w:r w:rsidRPr="006407A4">
        <w:rPr>
          <w:lang w:val="en-US"/>
        </w:rPr>
        <w:t xml:space="preserve"> </w:t>
      </w:r>
      <w:proofErr w:type="spellStart"/>
      <w:r w:rsidRPr="006407A4">
        <w:rPr>
          <w:lang w:val="en-US"/>
        </w:rPr>
        <w:t>Thromb</w:t>
      </w:r>
      <w:proofErr w:type="spellEnd"/>
      <w:r w:rsidRPr="006407A4">
        <w:rPr>
          <w:lang w:val="en-US"/>
        </w:rPr>
        <w:t xml:space="preserve"> </w:t>
      </w:r>
      <w:proofErr w:type="spellStart"/>
      <w:r w:rsidRPr="006407A4">
        <w:rPr>
          <w:lang w:val="en-US"/>
        </w:rPr>
        <w:t>Hemost</w:t>
      </w:r>
      <w:proofErr w:type="spellEnd"/>
      <w:r w:rsidRPr="006407A4">
        <w:rPr>
          <w:lang w:val="en-US"/>
        </w:rPr>
        <w:t>. 2018;44: 197-205</w:t>
      </w:r>
      <w:r w:rsidRPr="00092AB4">
        <w:rPr>
          <w:color w:val="0070C0"/>
          <w:lang w:val="en-US"/>
        </w:rPr>
        <w:t xml:space="preserve">. </w:t>
      </w:r>
      <w:r w:rsidR="00092AB4">
        <w:rPr>
          <w:color w:val="0070C0"/>
          <w:lang w:val="en-US"/>
        </w:rPr>
        <w:t>DOI</w:t>
      </w:r>
      <w:r w:rsidRPr="00092AB4">
        <w:rPr>
          <w:color w:val="0070C0"/>
          <w:lang w:val="en-US"/>
        </w:rPr>
        <w:t>: 10.1055/s-0038-1636901. PMID: 29554715. Review.</w:t>
      </w:r>
    </w:p>
    <w:p w:rsidR="006357EA" w:rsidRPr="006407A4" w:rsidRDefault="006357EA" w:rsidP="002F4224">
      <w:pPr>
        <w:spacing w:line="276" w:lineRule="auto"/>
        <w:rPr>
          <w:lang w:val="en-US"/>
        </w:rPr>
      </w:pPr>
      <w:r w:rsidRPr="00092AB4">
        <w:rPr>
          <w:b/>
          <w:bCs/>
          <w:lang w:val="en-US"/>
        </w:rPr>
        <w:t>Vassallo RR</w:t>
      </w:r>
      <w:r w:rsidRPr="006407A4">
        <w:rPr>
          <w:lang w:val="en-US"/>
        </w:rPr>
        <w:t xml:space="preserve">, </w:t>
      </w:r>
      <w:proofErr w:type="spellStart"/>
      <w:r w:rsidRPr="006407A4">
        <w:rPr>
          <w:lang w:val="en-US"/>
        </w:rPr>
        <w:t>Kieber</w:t>
      </w:r>
      <w:proofErr w:type="spellEnd"/>
      <w:r w:rsidRPr="006407A4">
        <w:rPr>
          <w:lang w:val="en-US"/>
        </w:rPr>
        <w:t xml:space="preserve">-Emmons T, </w:t>
      </w:r>
      <w:proofErr w:type="spellStart"/>
      <w:r w:rsidRPr="006407A4">
        <w:rPr>
          <w:lang w:val="en-US"/>
        </w:rPr>
        <w:t>Cichowski</w:t>
      </w:r>
      <w:proofErr w:type="spellEnd"/>
      <w:r w:rsidRPr="006407A4">
        <w:rPr>
          <w:lang w:val="en-US"/>
        </w:rPr>
        <w:t xml:space="preserve"> K, Brass LF. Structure-function relationships in the activation of platelet thrombin receptors by receptor-derived peptides. J Biol Chem. 1992;267: 6081-6085. </w:t>
      </w:r>
      <w:r w:rsidRPr="00092AB4">
        <w:rPr>
          <w:color w:val="0070C0"/>
          <w:lang w:val="en-US"/>
        </w:rPr>
        <w:t>PMID: 1313429</w:t>
      </w:r>
    </w:p>
    <w:p w:rsidR="008754D7" w:rsidRDefault="008754D7" w:rsidP="00771D7F">
      <w:pPr>
        <w:pStyle w:val="Ttulo2"/>
        <w:rPr>
          <w:lang w:val="en-US"/>
        </w:rPr>
      </w:pPr>
      <w:r>
        <w:rPr>
          <w:lang w:val="en-US"/>
        </w:rPr>
        <w:br w:type="page"/>
      </w:r>
    </w:p>
    <w:p w:rsidR="00DB1C92" w:rsidRPr="00DB1C92" w:rsidRDefault="00771D7F" w:rsidP="00247B90">
      <w:pPr>
        <w:pStyle w:val="Ttulo3"/>
        <w:rPr>
          <w:lang w:val="en-US"/>
        </w:rPr>
      </w:pPr>
      <w:r w:rsidRPr="00E2326E">
        <w:rPr>
          <w:lang w:val="en-US"/>
        </w:rPr>
        <w:lastRenderedPageBreak/>
        <w:t>ABBREVIATIONS</w:t>
      </w:r>
    </w:p>
    <w:p w:rsidR="0041450E" w:rsidRPr="00884CAB" w:rsidRDefault="0041450E" w:rsidP="00F84CD8">
      <w:pPr>
        <w:spacing w:after="0"/>
        <w:rPr>
          <w:lang w:val="en-US"/>
        </w:rPr>
      </w:pPr>
      <w:r w:rsidRPr="00884CAB">
        <w:rPr>
          <w:lang w:val="en-US"/>
        </w:rPr>
        <w:t>ADP, adenosine diphosphate</w:t>
      </w:r>
    </w:p>
    <w:p w:rsidR="0041450E" w:rsidRPr="00884CAB" w:rsidRDefault="0041450E" w:rsidP="00F84CD8">
      <w:pPr>
        <w:spacing w:after="0"/>
        <w:rPr>
          <w:lang w:val="en-US"/>
        </w:rPr>
      </w:pPr>
      <w:r w:rsidRPr="00884CAB">
        <w:rPr>
          <w:lang w:val="en-US"/>
        </w:rPr>
        <w:t xml:space="preserve">AIBS, activation-induced binding sites </w:t>
      </w:r>
    </w:p>
    <w:p w:rsidR="0041450E" w:rsidRPr="00884CAB" w:rsidRDefault="0041450E" w:rsidP="00F84CD8">
      <w:pPr>
        <w:spacing w:after="0"/>
        <w:rPr>
          <w:lang w:val="en-US"/>
        </w:rPr>
      </w:pPr>
      <w:r w:rsidRPr="00884CAB">
        <w:rPr>
          <w:lang w:val="en-US"/>
        </w:rPr>
        <w:t>BAS, basal conditions (before stimulation)</w:t>
      </w:r>
    </w:p>
    <w:p w:rsidR="0041450E" w:rsidRPr="00884CAB" w:rsidRDefault="0041450E" w:rsidP="00F84CD8">
      <w:pPr>
        <w:spacing w:after="0"/>
        <w:rPr>
          <w:lang w:val="en-US"/>
        </w:rPr>
      </w:pPr>
      <w:r w:rsidRPr="00884CAB">
        <w:rPr>
          <w:lang w:val="en-US"/>
        </w:rPr>
        <w:t>BC, Beckman Coulter, Hialeah, FL, USA</w:t>
      </w:r>
    </w:p>
    <w:p w:rsidR="0041450E" w:rsidRPr="00884CAB" w:rsidRDefault="0041450E" w:rsidP="00F84CD8">
      <w:pPr>
        <w:spacing w:after="0"/>
        <w:rPr>
          <w:lang w:val="en-US"/>
        </w:rPr>
      </w:pPr>
      <w:r w:rsidRPr="00884CAB">
        <w:rPr>
          <w:lang w:val="en-US"/>
        </w:rPr>
        <w:t>BD, Becton Dickinson, San Jose, CA, USA</w:t>
      </w:r>
    </w:p>
    <w:p w:rsidR="0041450E" w:rsidRPr="00884CAB" w:rsidRDefault="0041450E" w:rsidP="00F84CD8">
      <w:pPr>
        <w:spacing w:after="0"/>
        <w:rPr>
          <w:lang w:val="en-US"/>
        </w:rPr>
      </w:pPr>
      <w:r w:rsidRPr="00884CAB">
        <w:rPr>
          <w:lang w:val="en-US"/>
        </w:rPr>
        <w:t>bFG, bound fibrinogen</w:t>
      </w:r>
    </w:p>
    <w:p w:rsidR="0041450E" w:rsidRPr="00884CAB" w:rsidRDefault="0041450E" w:rsidP="00F84CD8">
      <w:pPr>
        <w:spacing w:after="0"/>
        <w:rPr>
          <w:lang w:val="en-US"/>
        </w:rPr>
      </w:pPr>
      <w:r w:rsidRPr="00884CAB">
        <w:rPr>
          <w:lang w:val="en-US"/>
        </w:rPr>
        <w:t>BSA, bovine serum albumin</w:t>
      </w:r>
    </w:p>
    <w:p w:rsidR="0041450E" w:rsidRPr="00884CAB" w:rsidRDefault="0041450E" w:rsidP="00F84CD8">
      <w:pPr>
        <w:spacing w:after="0"/>
        <w:rPr>
          <w:lang w:val="en-US"/>
        </w:rPr>
      </w:pPr>
      <w:r w:rsidRPr="00884CAB">
        <w:rPr>
          <w:lang w:val="en-US"/>
        </w:rPr>
        <w:t>CLC, Chrono-Log Corporation, Havertown, PA, USA</w:t>
      </w:r>
    </w:p>
    <w:p w:rsidR="0041450E" w:rsidRPr="00884CAB" w:rsidRDefault="0041450E" w:rsidP="00F84CD8">
      <w:pPr>
        <w:spacing w:after="0"/>
        <w:rPr>
          <w:lang w:val="en-US"/>
        </w:rPr>
      </w:pPr>
      <w:r w:rsidRPr="00884CAB">
        <w:rPr>
          <w:lang w:val="en-US"/>
        </w:rPr>
        <w:t xml:space="preserve">DK, </w:t>
      </w:r>
      <w:proofErr w:type="spellStart"/>
      <w:r w:rsidRPr="00884CAB">
        <w:rPr>
          <w:lang w:val="en-US"/>
        </w:rPr>
        <w:t>Dako</w:t>
      </w:r>
      <w:proofErr w:type="spellEnd"/>
      <w:r w:rsidRPr="00884CAB">
        <w:rPr>
          <w:lang w:val="en-US"/>
        </w:rPr>
        <w:t xml:space="preserve">, </w:t>
      </w:r>
      <w:proofErr w:type="spellStart"/>
      <w:r w:rsidRPr="00884CAB">
        <w:rPr>
          <w:lang w:val="en-US"/>
        </w:rPr>
        <w:t>Glostrup</w:t>
      </w:r>
      <w:proofErr w:type="spellEnd"/>
      <w:r w:rsidRPr="00884CAB">
        <w:rPr>
          <w:lang w:val="en-US"/>
        </w:rPr>
        <w:t>, Denmark</w:t>
      </w:r>
    </w:p>
    <w:p w:rsidR="0041450E" w:rsidRPr="00884CAB" w:rsidRDefault="0041450E" w:rsidP="00F84CD8">
      <w:pPr>
        <w:spacing w:after="0"/>
        <w:rPr>
          <w:lang w:val="en-US"/>
        </w:rPr>
      </w:pPr>
      <w:r w:rsidRPr="00884CAB">
        <w:rPr>
          <w:lang w:val="en-US"/>
        </w:rPr>
        <w:t>EDTA, ethylene</w:t>
      </w:r>
      <w:r w:rsidR="0038576F">
        <w:rPr>
          <w:lang w:val="en-US"/>
        </w:rPr>
        <w:t xml:space="preserve"> </w:t>
      </w:r>
      <w:r w:rsidRPr="00884CAB">
        <w:rPr>
          <w:lang w:val="en-US"/>
        </w:rPr>
        <w:t>diamine</w:t>
      </w:r>
      <w:r w:rsidR="0038576F">
        <w:rPr>
          <w:lang w:val="en-US"/>
        </w:rPr>
        <w:t xml:space="preserve"> </w:t>
      </w:r>
      <w:r w:rsidRPr="00884CAB">
        <w:rPr>
          <w:lang w:val="en-US"/>
        </w:rPr>
        <w:t>tetracetic acid</w:t>
      </w:r>
    </w:p>
    <w:p w:rsidR="0041450E" w:rsidRPr="00884CAB" w:rsidRDefault="0041450E" w:rsidP="00F84CD8">
      <w:pPr>
        <w:spacing w:after="0"/>
        <w:rPr>
          <w:lang w:val="en-US"/>
        </w:rPr>
      </w:pPr>
      <w:r w:rsidRPr="00884CAB">
        <w:rPr>
          <w:lang w:val="en-US"/>
        </w:rPr>
        <w:t>FCM, flow cytometry</w:t>
      </w:r>
    </w:p>
    <w:p w:rsidR="0041450E" w:rsidRPr="00884CAB" w:rsidRDefault="0041450E" w:rsidP="00F84CD8">
      <w:pPr>
        <w:spacing w:after="0"/>
        <w:rPr>
          <w:lang w:val="en-US"/>
        </w:rPr>
      </w:pPr>
      <w:r w:rsidRPr="00884CAB">
        <w:rPr>
          <w:lang w:val="en-US"/>
        </w:rPr>
        <w:t>FG, fibrinogen</w:t>
      </w:r>
    </w:p>
    <w:p w:rsidR="0041450E" w:rsidRPr="00884CAB" w:rsidRDefault="0041450E" w:rsidP="00F84CD8">
      <w:pPr>
        <w:spacing w:after="0"/>
        <w:rPr>
          <w:lang w:val="en-US"/>
        </w:rPr>
      </w:pPr>
      <w:r w:rsidRPr="00884CAB">
        <w:rPr>
          <w:lang w:val="en-US"/>
        </w:rPr>
        <w:t>FITC, fluorescein isothiocyanate</w:t>
      </w:r>
    </w:p>
    <w:p w:rsidR="0041450E" w:rsidRPr="00884CAB" w:rsidRDefault="0041450E" w:rsidP="00F84CD8">
      <w:pPr>
        <w:spacing w:after="0"/>
        <w:rPr>
          <w:lang w:val="en-US"/>
        </w:rPr>
      </w:pPr>
      <w:r w:rsidRPr="00884CAB">
        <w:rPr>
          <w:lang w:val="en-US"/>
        </w:rPr>
        <w:t>FSC, forward scatter</w:t>
      </w:r>
    </w:p>
    <w:p w:rsidR="0041450E" w:rsidRPr="00884CAB" w:rsidRDefault="0041450E" w:rsidP="00F84CD8">
      <w:pPr>
        <w:spacing w:after="0"/>
        <w:rPr>
          <w:lang w:val="en-US"/>
        </w:rPr>
      </w:pPr>
      <w:r w:rsidRPr="00884CAB">
        <w:rPr>
          <w:lang w:val="en-US"/>
        </w:rPr>
        <w:t>GP, glycoprotein</w:t>
      </w:r>
    </w:p>
    <w:p w:rsidR="0041450E" w:rsidRDefault="0041450E" w:rsidP="00F84CD8">
      <w:pPr>
        <w:spacing w:after="0"/>
        <w:rPr>
          <w:lang w:val="en-US"/>
        </w:rPr>
      </w:pPr>
      <w:r w:rsidRPr="00884CAB">
        <w:rPr>
          <w:lang w:val="en-US"/>
        </w:rPr>
        <w:t>GTLS, Glanzmann´s Thrombasthenia like syndrome</w:t>
      </w:r>
    </w:p>
    <w:p w:rsidR="00F84CD8" w:rsidRPr="00884CAB" w:rsidRDefault="00F84CD8" w:rsidP="00F84CD8">
      <w:pPr>
        <w:spacing w:after="0"/>
        <w:rPr>
          <w:lang w:val="en-US"/>
        </w:rPr>
      </w:pPr>
      <w:r>
        <w:rPr>
          <w:lang w:val="en-US"/>
        </w:rPr>
        <w:t>IOT, Immunotech</w:t>
      </w:r>
    </w:p>
    <w:p w:rsidR="0041450E" w:rsidRPr="00884CAB" w:rsidRDefault="0041450E" w:rsidP="00F84CD8">
      <w:pPr>
        <w:spacing w:after="0"/>
        <w:rPr>
          <w:lang w:val="en-US"/>
        </w:rPr>
      </w:pPr>
      <w:r w:rsidRPr="00884CAB">
        <w:rPr>
          <w:lang w:val="en-US"/>
        </w:rPr>
        <w:t>LIBS, ligand-induced binding sites (on the GPIIb/IIIa receptor)</w:t>
      </w:r>
    </w:p>
    <w:p w:rsidR="0041450E" w:rsidRPr="00884CAB" w:rsidRDefault="0041450E" w:rsidP="00F84CD8">
      <w:pPr>
        <w:spacing w:after="0"/>
        <w:rPr>
          <w:lang w:val="en-US"/>
        </w:rPr>
      </w:pPr>
      <w:r w:rsidRPr="00884CAB">
        <w:rPr>
          <w:lang w:val="en-US"/>
        </w:rPr>
        <w:t>mAb, monoclonal antibody</w:t>
      </w:r>
    </w:p>
    <w:p w:rsidR="0041450E" w:rsidRDefault="0041450E" w:rsidP="00F84CD8">
      <w:pPr>
        <w:spacing w:after="0"/>
        <w:rPr>
          <w:lang w:val="en-US"/>
        </w:rPr>
      </w:pPr>
      <w:r w:rsidRPr="00884CAB">
        <w:rPr>
          <w:lang w:val="en-US"/>
        </w:rPr>
        <w:t>MFI, median fluorescence intensity</w:t>
      </w:r>
    </w:p>
    <w:p w:rsidR="00820B1B" w:rsidRPr="00884CAB" w:rsidRDefault="00820B1B" w:rsidP="00F84CD8">
      <w:pPr>
        <w:spacing w:after="0"/>
        <w:rPr>
          <w:lang w:val="en-US"/>
        </w:rPr>
      </w:pPr>
      <w:r>
        <w:rPr>
          <w:lang w:val="en-US"/>
        </w:rPr>
        <w:t>NV, normal values</w:t>
      </w:r>
    </w:p>
    <w:p w:rsidR="0041450E" w:rsidRPr="00884CAB" w:rsidRDefault="0041450E" w:rsidP="00F84CD8">
      <w:pPr>
        <w:spacing w:after="0"/>
        <w:rPr>
          <w:lang w:val="en-US"/>
        </w:rPr>
      </w:pPr>
      <w:r w:rsidRPr="00884CAB">
        <w:rPr>
          <w:lang w:val="en-US"/>
        </w:rPr>
        <w:t>PAI, platelet activation index</w:t>
      </w:r>
    </w:p>
    <w:p w:rsidR="0041450E" w:rsidRPr="00884CAB" w:rsidRDefault="0041450E" w:rsidP="00F84CD8">
      <w:pPr>
        <w:spacing w:after="0"/>
        <w:rPr>
          <w:lang w:val="en-US"/>
        </w:rPr>
      </w:pPr>
      <w:r w:rsidRPr="00884CAB">
        <w:rPr>
          <w:lang w:val="en-US"/>
        </w:rPr>
        <w:t xml:space="preserve">PAI/ADP/bFG, PAI upon stimulation with ADP, </w:t>
      </w:r>
      <w:r w:rsidR="00DD763B">
        <w:rPr>
          <w:lang w:val="en-US"/>
        </w:rPr>
        <w:t xml:space="preserve">as </w:t>
      </w:r>
      <w:r w:rsidRPr="00884CAB">
        <w:rPr>
          <w:lang w:val="en-US"/>
        </w:rPr>
        <w:t>evaluated with anti-b</w:t>
      </w:r>
      <w:r w:rsidR="00DD763B">
        <w:rPr>
          <w:lang w:val="en-US"/>
        </w:rPr>
        <w:t>FG</w:t>
      </w:r>
      <w:r w:rsidRPr="00884CAB">
        <w:rPr>
          <w:lang w:val="en-US"/>
        </w:rPr>
        <w:t xml:space="preserve"> monoclonal antibody</w:t>
      </w:r>
    </w:p>
    <w:p w:rsidR="0041450E" w:rsidRPr="00884CAB" w:rsidRDefault="0041450E" w:rsidP="00F84CD8">
      <w:pPr>
        <w:spacing w:after="0"/>
        <w:rPr>
          <w:lang w:val="en-US"/>
        </w:rPr>
      </w:pPr>
      <w:r w:rsidRPr="00884CAB">
        <w:rPr>
          <w:lang w:val="en-US"/>
        </w:rPr>
        <w:t>PAI/ADP/PAC-1, PAI upon stimulation with ADP, as evaluated with anti-PAC-1 monoclonal antibody</w:t>
      </w:r>
    </w:p>
    <w:p w:rsidR="0041450E" w:rsidRPr="00884CAB" w:rsidRDefault="0041450E" w:rsidP="00F84CD8">
      <w:pPr>
        <w:spacing w:after="0"/>
        <w:rPr>
          <w:lang w:val="en-US"/>
        </w:rPr>
      </w:pPr>
      <w:r w:rsidRPr="00884CAB">
        <w:rPr>
          <w:lang w:val="en-US"/>
        </w:rPr>
        <w:t>PAI/BAS/bFG, PAI at basal conditions, as evaluated with anti-b</w:t>
      </w:r>
      <w:r>
        <w:rPr>
          <w:lang w:val="en-US"/>
        </w:rPr>
        <w:t>FG</w:t>
      </w:r>
      <w:r w:rsidRPr="00884CAB">
        <w:rPr>
          <w:lang w:val="en-US"/>
        </w:rPr>
        <w:t xml:space="preserve"> monoclonal antibody</w:t>
      </w:r>
    </w:p>
    <w:p w:rsidR="0041450E" w:rsidRPr="00884CAB" w:rsidRDefault="0041450E" w:rsidP="00F84CD8">
      <w:pPr>
        <w:spacing w:after="0"/>
        <w:rPr>
          <w:lang w:val="en-US"/>
        </w:rPr>
      </w:pPr>
      <w:r w:rsidRPr="00884CAB">
        <w:rPr>
          <w:lang w:val="en-US"/>
        </w:rPr>
        <w:t>PAI/BAS/PAC-1, PAI at basal conditions, as evaluated with anti-PAC-1 monoclonal antibody</w:t>
      </w:r>
    </w:p>
    <w:p w:rsidR="0041450E" w:rsidRPr="00884CAB" w:rsidRDefault="0041450E" w:rsidP="00F84CD8">
      <w:pPr>
        <w:spacing w:after="0"/>
        <w:rPr>
          <w:lang w:val="en-US"/>
        </w:rPr>
      </w:pPr>
      <w:r w:rsidRPr="00884CAB">
        <w:rPr>
          <w:lang w:val="en-US"/>
        </w:rPr>
        <w:t>PAI/TRAP-6/</w:t>
      </w:r>
      <w:r w:rsidR="00FA5021">
        <w:rPr>
          <w:lang w:val="en-US"/>
        </w:rPr>
        <w:t>b</w:t>
      </w:r>
      <w:r w:rsidRPr="00884CAB">
        <w:rPr>
          <w:lang w:val="en-US"/>
        </w:rPr>
        <w:t>FG, PAI upon stimulation with TRAP-6, as evaluated with anti</w:t>
      </w:r>
      <w:r>
        <w:rPr>
          <w:lang w:val="en-US"/>
        </w:rPr>
        <w:t>-bFG</w:t>
      </w:r>
      <w:r w:rsidRPr="00884CAB">
        <w:rPr>
          <w:lang w:val="en-US"/>
        </w:rPr>
        <w:t xml:space="preserve"> monoclonal antibody</w:t>
      </w:r>
    </w:p>
    <w:p w:rsidR="0041450E" w:rsidRPr="00884CAB" w:rsidRDefault="0041450E" w:rsidP="00F84CD8">
      <w:pPr>
        <w:spacing w:after="0"/>
        <w:rPr>
          <w:lang w:val="en-US"/>
        </w:rPr>
      </w:pPr>
      <w:r w:rsidRPr="00884CAB">
        <w:rPr>
          <w:lang w:val="en-US"/>
        </w:rPr>
        <w:t>PAI/TRAP-6/PAC-1, PAI upon stimulation with TRAP-6, as evaluated with anti-PAC-1 monoclonal antibody</w:t>
      </w:r>
    </w:p>
    <w:p w:rsidR="0041450E" w:rsidRPr="00884CAB" w:rsidRDefault="0041450E" w:rsidP="00F84CD8">
      <w:pPr>
        <w:spacing w:after="0"/>
        <w:rPr>
          <w:lang w:val="en-US"/>
        </w:rPr>
      </w:pPr>
      <w:r w:rsidRPr="00884CAB">
        <w:rPr>
          <w:lang w:val="en-US"/>
        </w:rPr>
        <w:t>PB, peripheral blood</w:t>
      </w:r>
    </w:p>
    <w:p w:rsidR="0041450E" w:rsidRPr="00884CAB" w:rsidRDefault="0041450E" w:rsidP="00F84CD8">
      <w:pPr>
        <w:spacing w:after="0"/>
        <w:rPr>
          <w:lang w:val="en-US"/>
        </w:rPr>
      </w:pPr>
      <w:r w:rsidRPr="00884CAB">
        <w:rPr>
          <w:lang w:val="en-US"/>
        </w:rPr>
        <w:t>PBS, phosphate buffered saline</w:t>
      </w:r>
    </w:p>
    <w:p w:rsidR="0041450E" w:rsidRPr="00884CAB" w:rsidRDefault="0041450E" w:rsidP="00F84CD8">
      <w:pPr>
        <w:spacing w:after="0"/>
        <w:rPr>
          <w:lang w:val="en-US"/>
        </w:rPr>
      </w:pPr>
      <w:r w:rsidRPr="00884CAB">
        <w:rPr>
          <w:lang w:val="en-US"/>
        </w:rPr>
        <w:t>PBS-BSA</w:t>
      </w:r>
      <w:r w:rsidR="00C31D35">
        <w:rPr>
          <w:lang w:val="en-US"/>
        </w:rPr>
        <w:t>(0.2%)</w:t>
      </w:r>
      <w:r w:rsidRPr="00884CAB">
        <w:rPr>
          <w:lang w:val="en-US"/>
        </w:rPr>
        <w:t>, PBS containing 0.2% (w/v) of bovine serum albumin</w:t>
      </w:r>
    </w:p>
    <w:p w:rsidR="00C31D35" w:rsidRPr="00884CAB" w:rsidRDefault="00C31D35" w:rsidP="00F84CD8">
      <w:pPr>
        <w:spacing w:after="0"/>
        <w:rPr>
          <w:lang w:val="en-US"/>
        </w:rPr>
      </w:pPr>
      <w:r w:rsidRPr="00884CAB">
        <w:rPr>
          <w:lang w:val="en-US"/>
        </w:rPr>
        <w:t>PBS-BSA</w:t>
      </w:r>
      <w:r>
        <w:rPr>
          <w:lang w:val="en-US"/>
        </w:rPr>
        <w:t>(0.2%)-EDTA(9mM)</w:t>
      </w:r>
      <w:r w:rsidRPr="00884CAB">
        <w:rPr>
          <w:lang w:val="en-US"/>
        </w:rPr>
        <w:t>, PBS containing 0.2% (w/v) of bovine serum albumin</w:t>
      </w:r>
      <w:r>
        <w:rPr>
          <w:lang w:val="en-US"/>
        </w:rPr>
        <w:t xml:space="preserve"> and EDTA 9 </w:t>
      </w:r>
      <w:proofErr w:type="spellStart"/>
      <w:r>
        <w:rPr>
          <w:lang w:val="en-US"/>
        </w:rPr>
        <w:t>mM.</w:t>
      </w:r>
      <w:proofErr w:type="spellEnd"/>
      <w:r>
        <w:rPr>
          <w:lang w:val="en-US"/>
        </w:rPr>
        <w:t xml:space="preserve"> </w:t>
      </w:r>
    </w:p>
    <w:p w:rsidR="0041450E" w:rsidRPr="00884CAB" w:rsidRDefault="0041450E" w:rsidP="00F84CD8">
      <w:pPr>
        <w:spacing w:after="0"/>
        <w:rPr>
          <w:lang w:val="en-US"/>
        </w:rPr>
      </w:pPr>
      <w:r w:rsidRPr="00884CAB">
        <w:rPr>
          <w:lang w:val="en-US"/>
        </w:rPr>
        <w:t>PE, phycoerythrin</w:t>
      </w:r>
    </w:p>
    <w:p w:rsidR="0041450E" w:rsidRPr="00884CAB" w:rsidRDefault="0041450E" w:rsidP="00F84CD8">
      <w:pPr>
        <w:spacing w:after="0"/>
        <w:rPr>
          <w:lang w:val="en-US"/>
        </w:rPr>
      </w:pPr>
      <w:r w:rsidRPr="00884CAB">
        <w:rPr>
          <w:lang w:val="en-US"/>
        </w:rPr>
        <w:t>PLT, platelet</w:t>
      </w:r>
    </w:p>
    <w:p w:rsidR="0041450E" w:rsidRPr="00884CAB" w:rsidRDefault="0041450E" w:rsidP="00F84CD8">
      <w:pPr>
        <w:spacing w:after="0"/>
        <w:rPr>
          <w:lang w:val="en-US"/>
        </w:rPr>
      </w:pPr>
      <w:r w:rsidRPr="00884CAB">
        <w:rPr>
          <w:lang w:val="en-US"/>
        </w:rPr>
        <w:t>RIBS, receptor induced binding sites (on the GPIIb/IIIa receptor ligand, fibrinogen)</w:t>
      </w:r>
    </w:p>
    <w:p w:rsidR="0041450E" w:rsidRPr="00884CAB" w:rsidRDefault="0041450E" w:rsidP="00F84CD8">
      <w:pPr>
        <w:spacing w:after="0"/>
        <w:rPr>
          <w:lang w:val="en-US"/>
        </w:rPr>
      </w:pPr>
      <w:r w:rsidRPr="00884CAB">
        <w:rPr>
          <w:lang w:val="en-US"/>
        </w:rPr>
        <w:t>SSC, sideward scatter</w:t>
      </w:r>
    </w:p>
    <w:p w:rsidR="006C2175" w:rsidRDefault="0041450E" w:rsidP="00F84CD8">
      <w:pPr>
        <w:spacing w:after="0"/>
        <w:rPr>
          <w:lang w:val="en-US"/>
        </w:rPr>
      </w:pPr>
      <w:r w:rsidRPr="00884CAB">
        <w:rPr>
          <w:lang w:val="en-US"/>
        </w:rPr>
        <w:t>TRAP-6, protease activated receptor (PAR)-1 agonist thrombin receptor activator peptide</w:t>
      </w:r>
    </w:p>
    <w:p w:rsidR="008754D7" w:rsidRDefault="008754D7" w:rsidP="008754D7">
      <w:pPr>
        <w:pStyle w:val="Ttulo2"/>
        <w:rPr>
          <w:lang w:val="en-US"/>
        </w:rPr>
      </w:pPr>
      <w:r>
        <w:rPr>
          <w:lang w:val="en-US"/>
        </w:rPr>
        <w:br w:type="page"/>
      </w:r>
    </w:p>
    <w:p w:rsidR="00C741F7" w:rsidRPr="00C741F7" w:rsidRDefault="008754D7" w:rsidP="00247B90">
      <w:pPr>
        <w:pStyle w:val="Ttulo3"/>
        <w:rPr>
          <w:noProof/>
          <w:lang w:val="en-US"/>
        </w:rPr>
      </w:pPr>
      <w:r>
        <w:rPr>
          <w:lang w:val="en-US"/>
        </w:rPr>
        <w:lastRenderedPageBreak/>
        <w:t>TECHNICAL SHEETS (MABS)</w:t>
      </w:r>
    </w:p>
    <w:p w:rsidR="00450478" w:rsidRPr="0083261C" w:rsidRDefault="00450478" w:rsidP="00450478">
      <w:pPr>
        <w:pStyle w:val="PargrafodaLista"/>
        <w:numPr>
          <w:ilvl w:val="0"/>
          <w:numId w:val="17"/>
        </w:numPr>
        <w:rPr>
          <w:bCs/>
          <w:lang w:val="en-US"/>
        </w:rPr>
      </w:pPr>
      <w:r w:rsidRPr="0083261C">
        <w:rPr>
          <w:lang w:val="en-US"/>
        </w:rPr>
        <w:t>PE-conjugated mouse anti-human CD42b (GPIb) (clone AN51</w:t>
      </w:r>
      <w:r>
        <w:rPr>
          <w:lang w:val="en-US"/>
        </w:rPr>
        <w:t>, IgG2a/k; DK, Ref.</w:t>
      </w:r>
      <w:r w:rsidRPr="0083261C">
        <w:rPr>
          <w:lang w:val="en-US"/>
        </w:rPr>
        <w:t xml:space="preserve"> R7014)</w:t>
      </w:r>
    </w:p>
    <w:p w:rsidR="00450478" w:rsidRPr="00C316CF" w:rsidRDefault="00450478" w:rsidP="00450478">
      <w:pPr>
        <w:pStyle w:val="PargrafodaLista"/>
        <w:numPr>
          <w:ilvl w:val="0"/>
          <w:numId w:val="17"/>
        </w:numPr>
        <w:rPr>
          <w:bCs/>
          <w:lang w:val="en-US"/>
        </w:rPr>
      </w:pPr>
      <w:r w:rsidRPr="00C316CF">
        <w:rPr>
          <w:lang w:val="en-US"/>
        </w:rPr>
        <w:t>FITC-conjugated mouse anti-human CD41a (GPIIbIIIa) (clone HIP8,</w:t>
      </w:r>
      <w:r>
        <w:rPr>
          <w:lang w:val="en-US"/>
        </w:rPr>
        <w:t xml:space="preserve"> IgG1/k;</w:t>
      </w:r>
      <w:r w:rsidRPr="00C316CF">
        <w:rPr>
          <w:lang w:val="en-US"/>
        </w:rPr>
        <w:t xml:space="preserve"> </w:t>
      </w:r>
      <w:r>
        <w:rPr>
          <w:lang w:val="en-US"/>
        </w:rPr>
        <w:t xml:space="preserve">BD, </w:t>
      </w:r>
      <w:r w:rsidRPr="00C316CF">
        <w:rPr>
          <w:lang w:val="en-US"/>
        </w:rPr>
        <w:t>Ref. 333147)</w:t>
      </w:r>
    </w:p>
    <w:p w:rsidR="00546C32" w:rsidRPr="00546C32" w:rsidRDefault="00450478" w:rsidP="00546C32">
      <w:pPr>
        <w:pStyle w:val="PargrafodaLista"/>
        <w:numPr>
          <w:ilvl w:val="0"/>
          <w:numId w:val="17"/>
        </w:numPr>
        <w:rPr>
          <w:bCs/>
          <w:lang w:val="en-US"/>
        </w:rPr>
      </w:pPr>
      <w:r w:rsidRPr="00546C32">
        <w:rPr>
          <w:lang w:val="en-US"/>
        </w:rPr>
        <w:t xml:space="preserve">FITC-conjugated mouse anti-human CD61 (GPIIIa) (clone RUU-PL7F12, IgG1/k; BD, Ref. 347407) </w:t>
      </w:r>
    </w:p>
    <w:p w:rsidR="00450478" w:rsidRPr="00546C32" w:rsidRDefault="00890C21" w:rsidP="00546C32">
      <w:pPr>
        <w:pStyle w:val="PargrafodaLista"/>
        <w:numPr>
          <w:ilvl w:val="0"/>
          <w:numId w:val="17"/>
        </w:numPr>
        <w:rPr>
          <w:bCs/>
          <w:lang w:val="en-US"/>
        </w:rPr>
      </w:pPr>
      <w:r>
        <w:rPr>
          <w:lang w:val="en-US"/>
        </w:rPr>
        <w:t>PE</w:t>
      </w:r>
      <w:r w:rsidR="00546C32" w:rsidRPr="00546C32">
        <w:rPr>
          <w:lang w:val="en-US"/>
        </w:rPr>
        <w:t xml:space="preserve">-conjugated mouse anti-human </w:t>
      </w:r>
      <w:r w:rsidR="00450478" w:rsidRPr="00546C32">
        <w:rPr>
          <w:lang w:val="en-US"/>
        </w:rPr>
        <w:t>CD62P</w:t>
      </w:r>
      <w:r w:rsidR="00546C32" w:rsidRPr="00546C32">
        <w:rPr>
          <w:lang w:val="en-US"/>
        </w:rPr>
        <w:t xml:space="preserve"> (P-Selectin) (clone </w:t>
      </w:r>
      <w:proofErr w:type="spellStart"/>
      <w:r w:rsidR="00546C32" w:rsidRPr="00546C32">
        <w:rPr>
          <w:lang w:val="en-US"/>
        </w:rPr>
        <w:t>CLBThromb</w:t>
      </w:r>
      <w:proofErr w:type="spellEnd"/>
      <w:r w:rsidR="00546C32" w:rsidRPr="00546C32">
        <w:rPr>
          <w:lang w:val="en-US"/>
        </w:rPr>
        <w:t>/6; IgG1; BC Immunotech, Ref. IM1759)</w:t>
      </w:r>
    </w:p>
    <w:p w:rsidR="00450478" w:rsidRPr="0083261C" w:rsidRDefault="00450478" w:rsidP="00450478">
      <w:pPr>
        <w:pStyle w:val="PargrafodaLista"/>
        <w:numPr>
          <w:ilvl w:val="0"/>
          <w:numId w:val="17"/>
        </w:numPr>
        <w:rPr>
          <w:bCs/>
          <w:lang w:val="en-US"/>
        </w:rPr>
      </w:pPr>
      <w:r w:rsidRPr="0083261C">
        <w:rPr>
          <w:lang w:val="en-US"/>
        </w:rPr>
        <w:t>FITC-conjugated mouse anti-human PAC-1 (clone PAC-1</w:t>
      </w:r>
      <w:r>
        <w:rPr>
          <w:lang w:val="en-US"/>
        </w:rPr>
        <w:t>;</w:t>
      </w:r>
      <w:r w:rsidRPr="0083261C">
        <w:rPr>
          <w:lang w:val="en-US"/>
        </w:rPr>
        <w:t xml:space="preserve"> </w:t>
      </w:r>
      <w:r>
        <w:rPr>
          <w:lang w:val="en-US"/>
        </w:rPr>
        <w:t xml:space="preserve">IgM/k; </w:t>
      </w:r>
      <w:r w:rsidRPr="0083261C">
        <w:rPr>
          <w:lang w:val="en-US"/>
        </w:rPr>
        <w:t>B</w:t>
      </w:r>
      <w:r>
        <w:rPr>
          <w:lang w:val="en-US"/>
        </w:rPr>
        <w:t>D,</w:t>
      </w:r>
      <w:r w:rsidRPr="0083261C">
        <w:rPr>
          <w:lang w:val="en-US"/>
        </w:rPr>
        <w:t xml:space="preserve"> </w:t>
      </w:r>
      <w:r>
        <w:rPr>
          <w:lang w:val="en-US"/>
        </w:rPr>
        <w:t>Ref.</w:t>
      </w:r>
      <w:r w:rsidRPr="0083261C">
        <w:rPr>
          <w:lang w:val="en-US"/>
        </w:rPr>
        <w:t xml:space="preserve"> 340507) </w:t>
      </w:r>
    </w:p>
    <w:p w:rsidR="00450478" w:rsidRPr="00886B7F" w:rsidRDefault="00450478" w:rsidP="00593F87">
      <w:pPr>
        <w:pStyle w:val="PargrafodaLista"/>
        <w:numPr>
          <w:ilvl w:val="0"/>
          <w:numId w:val="17"/>
        </w:numPr>
        <w:rPr>
          <w:bCs/>
          <w:lang w:val="en-US"/>
        </w:rPr>
      </w:pPr>
      <w:r w:rsidRPr="0083261C">
        <w:rPr>
          <w:lang w:val="en-US"/>
        </w:rPr>
        <w:t xml:space="preserve">FITC-conjugated mouse anti-human bound fibrinogen (clone 9F9, </w:t>
      </w:r>
      <w:r>
        <w:rPr>
          <w:lang w:val="en-US"/>
        </w:rPr>
        <w:t xml:space="preserve">IgG1/k; </w:t>
      </w:r>
      <w:proofErr w:type="spellStart"/>
      <w:r w:rsidRPr="0083261C">
        <w:rPr>
          <w:lang w:val="en-US"/>
        </w:rPr>
        <w:t>Biocytex</w:t>
      </w:r>
      <w:proofErr w:type="spellEnd"/>
      <w:r>
        <w:rPr>
          <w:lang w:val="en-US"/>
        </w:rPr>
        <w:t>,</w:t>
      </w:r>
      <w:r w:rsidRPr="0083261C">
        <w:rPr>
          <w:lang w:val="en-US"/>
        </w:rPr>
        <w:t xml:space="preserve"> </w:t>
      </w:r>
      <w:r>
        <w:rPr>
          <w:lang w:val="en-US"/>
        </w:rPr>
        <w:t>Ref.</w:t>
      </w:r>
      <w:r w:rsidRPr="0083261C">
        <w:rPr>
          <w:lang w:val="en-US"/>
        </w:rPr>
        <w:t xml:space="preserve"> 5009-F100T). </w:t>
      </w:r>
    </w:p>
    <w:p w:rsidR="00886B7F" w:rsidRPr="00C741F7" w:rsidRDefault="00886B7F" w:rsidP="00886B7F">
      <w:pPr>
        <w:pStyle w:val="PargrafodaLista"/>
        <w:numPr>
          <w:ilvl w:val="0"/>
          <w:numId w:val="17"/>
        </w:numPr>
        <w:rPr>
          <w:bCs/>
          <w:lang w:val="en-US"/>
        </w:rPr>
      </w:pPr>
      <w:r>
        <w:rPr>
          <w:lang w:val="en-US"/>
        </w:rPr>
        <w:t xml:space="preserve">Platelet Fibrinogen KIT (bFG) </w:t>
      </w:r>
      <w:r w:rsidRPr="00D30220">
        <w:rPr>
          <w:lang w:val="en-US"/>
        </w:rPr>
        <w:t>(</w:t>
      </w:r>
      <w:proofErr w:type="spellStart"/>
      <w:r>
        <w:rPr>
          <w:lang w:val="en-US"/>
        </w:rPr>
        <w:t>Biocytex</w:t>
      </w:r>
      <w:proofErr w:type="spellEnd"/>
      <w:r>
        <w:rPr>
          <w:lang w:val="en-US"/>
        </w:rPr>
        <w:t>, Marseille, France; Ref.</w:t>
      </w:r>
      <w:r w:rsidRPr="00D30220">
        <w:rPr>
          <w:lang w:val="en-US"/>
        </w:rPr>
        <w:t xml:space="preserve"> 70</w:t>
      </w:r>
      <w:r>
        <w:rPr>
          <w:lang w:val="en-US"/>
        </w:rPr>
        <w:t>12</w:t>
      </w:r>
      <w:r w:rsidRPr="00D30220">
        <w:rPr>
          <w:lang w:val="en-US"/>
        </w:rPr>
        <w:t>)</w:t>
      </w:r>
    </w:p>
    <w:p w:rsidR="00C741F7" w:rsidRPr="00C741F7" w:rsidRDefault="00C741F7" w:rsidP="00593F87">
      <w:pPr>
        <w:pStyle w:val="PargrafodaLista"/>
        <w:numPr>
          <w:ilvl w:val="0"/>
          <w:numId w:val="17"/>
        </w:numPr>
        <w:rPr>
          <w:bCs/>
          <w:lang w:val="en-US"/>
        </w:rPr>
      </w:pPr>
      <w:r w:rsidRPr="00D30220">
        <w:rPr>
          <w:lang w:val="en-US"/>
        </w:rPr>
        <w:t xml:space="preserve">Platelet </w:t>
      </w:r>
      <w:proofErr w:type="spellStart"/>
      <w:r w:rsidRPr="00D30220">
        <w:rPr>
          <w:lang w:val="en-US"/>
        </w:rPr>
        <w:t>Gp</w:t>
      </w:r>
      <w:proofErr w:type="spellEnd"/>
      <w:r w:rsidRPr="00D30220">
        <w:rPr>
          <w:lang w:val="en-US"/>
        </w:rPr>
        <w:t xml:space="preserve"> Screen </w:t>
      </w:r>
      <w:r w:rsidR="00886B7F">
        <w:rPr>
          <w:lang w:val="en-US"/>
        </w:rPr>
        <w:t>KIT (CD61/GPIIIa, CD42b/GPIb, CD49b/</w:t>
      </w:r>
      <w:proofErr w:type="spellStart"/>
      <w:r w:rsidR="00886B7F">
        <w:rPr>
          <w:lang w:val="en-US"/>
        </w:rPr>
        <w:t>GPIa</w:t>
      </w:r>
      <w:proofErr w:type="spellEnd"/>
      <w:r w:rsidR="00886B7F">
        <w:rPr>
          <w:lang w:val="en-US"/>
        </w:rPr>
        <w:t xml:space="preserve">) </w:t>
      </w:r>
      <w:r w:rsidRPr="00D30220">
        <w:rPr>
          <w:lang w:val="en-US"/>
        </w:rPr>
        <w:t>(</w:t>
      </w:r>
      <w:proofErr w:type="spellStart"/>
      <w:r>
        <w:rPr>
          <w:lang w:val="en-US"/>
        </w:rPr>
        <w:t>Biocytex</w:t>
      </w:r>
      <w:proofErr w:type="spellEnd"/>
      <w:r>
        <w:rPr>
          <w:lang w:val="en-US"/>
        </w:rPr>
        <w:t>, Marseille, France; Ref.</w:t>
      </w:r>
      <w:r w:rsidRPr="00D30220">
        <w:rPr>
          <w:lang w:val="en-US"/>
        </w:rPr>
        <w:t xml:space="preserve"> 7008)</w:t>
      </w:r>
    </w:p>
    <w:p w:rsidR="00593F87" w:rsidRPr="00593E82" w:rsidRDefault="00C741F7" w:rsidP="0041450E">
      <w:pPr>
        <w:pStyle w:val="PargrafodaLista"/>
        <w:numPr>
          <w:ilvl w:val="0"/>
          <w:numId w:val="17"/>
        </w:numPr>
        <w:spacing w:after="0" w:line="240" w:lineRule="auto"/>
        <w:rPr>
          <w:rFonts w:ascii="Arial Narrow" w:hAnsi="Arial Narrow"/>
          <w:szCs w:val="20"/>
          <w:lang w:val="en-US"/>
        </w:rPr>
      </w:pPr>
      <w:r w:rsidRPr="00593E82">
        <w:rPr>
          <w:lang w:val="en-US"/>
        </w:rPr>
        <w:t xml:space="preserve">Platelet </w:t>
      </w:r>
      <w:proofErr w:type="spellStart"/>
      <w:r w:rsidRPr="00593E82">
        <w:rPr>
          <w:lang w:val="en-US"/>
        </w:rPr>
        <w:t>Gp</w:t>
      </w:r>
      <w:proofErr w:type="spellEnd"/>
      <w:r w:rsidRPr="00593E82">
        <w:rPr>
          <w:lang w:val="en-US"/>
        </w:rPr>
        <w:t>/Receptors</w:t>
      </w:r>
      <w:r w:rsidR="00886B7F" w:rsidRPr="00593E82">
        <w:rPr>
          <w:lang w:val="en-US"/>
        </w:rPr>
        <w:t xml:space="preserve"> KIT (CD41/GPIIb, CD42b/GPIb, CD62P/GMP-140)</w:t>
      </w:r>
      <w:r w:rsidRPr="00593E82">
        <w:rPr>
          <w:lang w:val="en-US"/>
        </w:rPr>
        <w:t xml:space="preserve"> (</w:t>
      </w:r>
      <w:proofErr w:type="spellStart"/>
      <w:r w:rsidRPr="00593E82">
        <w:rPr>
          <w:lang w:val="en-US"/>
        </w:rPr>
        <w:t>Biocytex</w:t>
      </w:r>
      <w:proofErr w:type="spellEnd"/>
      <w:r w:rsidRPr="00593E82">
        <w:rPr>
          <w:lang w:val="en-US"/>
        </w:rPr>
        <w:t xml:space="preserve"> (Marseille, France; Ref. 7004)</w:t>
      </w:r>
      <w:r w:rsidR="00593E82" w:rsidRPr="00593E82">
        <w:rPr>
          <w:lang w:val="en-US"/>
        </w:rPr>
        <w:t>.</w:t>
      </w:r>
    </w:p>
    <w:sectPr w:rsidR="00593F87" w:rsidRPr="00593E82" w:rsidSect="00E65C68">
      <w:headerReference w:type="default" r:id="rId30"/>
      <w:footerReference w:type="default" r:id="rId31"/>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2AA" w:rsidRDefault="00EA62AA" w:rsidP="00E65C68">
      <w:pPr>
        <w:spacing w:after="0" w:line="240" w:lineRule="auto"/>
      </w:pPr>
      <w:r>
        <w:separator/>
      </w:r>
    </w:p>
  </w:endnote>
  <w:endnote w:type="continuationSeparator" w:id="0">
    <w:p w:rsidR="00EA62AA" w:rsidRDefault="00EA62AA" w:rsidP="00E6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507583"/>
      <w:docPartObj>
        <w:docPartGallery w:val="Page Numbers (Bottom of Page)"/>
        <w:docPartUnique/>
      </w:docPartObj>
    </w:sdtPr>
    <w:sdtEndPr>
      <w:rPr>
        <w:noProof/>
      </w:rPr>
    </w:sdtEndPr>
    <w:sdtContent>
      <w:p w:rsidR="00BB5CC4" w:rsidRDefault="00BB5CC4" w:rsidP="00105620">
        <w:pPr>
          <w:pStyle w:val="Rodap"/>
          <w:pBdr>
            <w:top w:val="single" w:sz="4" w:space="1" w:color="auto"/>
          </w:pBdr>
          <w:spacing w:before="240"/>
          <w:jc w:val="center"/>
        </w:pPr>
        <w:r>
          <w:t>Centro Hospitalar Universitário do Porto, Serviço de Hematologia, Laboratório de Citometria, Porto, Portugal</w:t>
        </w:r>
      </w:p>
      <w:p w:rsidR="00BB5CC4" w:rsidRPr="005C33BA" w:rsidRDefault="004B4DD0" w:rsidP="005C33BA">
        <w:pPr>
          <w:pStyle w:val="Rodap"/>
          <w:pBdr>
            <w:top w:val="single" w:sz="4" w:space="1" w:color="auto"/>
          </w:pBdr>
          <w:jc w:val="center"/>
          <w:rPr>
            <w:lang w:val="en-US"/>
          </w:rPr>
        </w:pPr>
        <w:r w:rsidRPr="004B4DD0">
          <w:rPr>
            <w:lang w:val="en-US"/>
          </w:rPr>
          <w:t>Version 2020-02-09</w:t>
        </w:r>
        <w:r w:rsidR="005C33BA">
          <w:rPr>
            <w:lang w:val="en-US"/>
          </w:rPr>
          <w:t xml:space="preserve">                                                                                                                       </w:t>
        </w:r>
        <w:r w:rsidR="00BB5CC4">
          <w:fldChar w:fldCharType="begin"/>
        </w:r>
        <w:r w:rsidR="00BB5CC4">
          <w:instrText xml:space="preserve"> PAGE   \* MERGEFORMAT </w:instrText>
        </w:r>
        <w:r w:rsidR="00BB5CC4">
          <w:fldChar w:fldCharType="separate"/>
        </w:r>
        <w:r w:rsidR="00BB5CC4">
          <w:rPr>
            <w:noProof/>
          </w:rPr>
          <w:t>2</w:t>
        </w:r>
        <w:r w:rsidR="00BB5CC4">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2AA" w:rsidRDefault="00EA62AA" w:rsidP="00E65C68">
      <w:pPr>
        <w:spacing w:after="0" w:line="240" w:lineRule="auto"/>
      </w:pPr>
      <w:r>
        <w:separator/>
      </w:r>
    </w:p>
  </w:footnote>
  <w:footnote w:type="continuationSeparator" w:id="0">
    <w:p w:rsidR="00EA62AA" w:rsidRDefault="00EA62AA" w:rsidP="00E65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3BA" w:rsidRPr="005C33BA" w:rsidRDefault="005C33BA" w:rsidP="005C33BA">
    <w:pPr>
      <w:pStyle w:val="Cabealho"/>
      <w:pBdr>
        <w:bottom w:val="single" w:sz="4" w:space="1" w:color="auto"/>
      </w:pBdr>
      <w:jc w:val="center"/>
      <w:rPr>
        <w:sz w:val="16"/>
        <w:szCs w:val="16"/>
        <w:lang w:val="en-US"/>
      </w:rPr>
    </w:pPr>
    <w:r w:rsidRPr="005C33BA">
      <w:rPr>
        <w:sz w:val="16"/>
        <w:szCs w:val="16"/>
        <w:lang w:val="en-GB"/>
      </w:rPr>
      <w:t xml:space="preserve">FLOW CYTOMETRY PROTOCOLS FOR THE STUDY OF PATIENTS SUSPECTED OF HAVING GTLS / </w:t>
    </w:r>
    <w:r w:rsidRPr="005C33BA">
      <w:rPr>
        <w:rFonts w:cs="Arial"/>
        <w:iCs/>
        <w:sz w:val="16"/>
        <w:szCs w:val="16"/>
        <w:lang w:val="en-US"/>
      </w:rPr>
      <w:t>ITGA2B/ITGB3</w:t>
    </w:r>
    <w:r w:rsidRPr="005C33BA">
      <w:rPr>
        <w:rFonts w:cs="Arial"/>
        <w:sz w:val="16"/>
        <w:szCs w:val="16"/>
        <w:lang w:val="en-US"/>
      </w:rPr>
      <w:t>-RELATED THROMBOCYTOPENIA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0F24"/>
    <w:multiLevelType w:val="hybridMultilevel"/>
    <w:tmpl w:val="2330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A14A2"/>
    <w:multiLevelType w:val="hybridMultilevel"/>
    <w:tmpl w:val="9DB6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A5C28"/>
    <w:multiLevelType w:val="hybridMultilevel"/>
    <w:tmpl w:val="6FE4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A2038"/>
    <w:multiLevelType w:val="hybridMultilevel"/>
    <w:tmpl w:val="AC82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F5D0E"/>
    <w:multiLevelType w:val="hybridMultilevel"/>
    <w:tmpl w:val="427E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75F11"/>
    <w:multiLevelType w:val="hybridMultilevel"/>
    <w:tmpl w:val="69C408C8"/>
    <w:lvl w:ilvl="0" w:tplc="B07C2CFE">
      <w:start w:val="1"/>
      <w:numFmt w:val="lowerRoman"/>
      <w:lvlText w:val="(%1)"/>
      <w:lvlJc w:val="left"/>
      <w:pPr>
        <w:ind w:left="720" w:hanging="72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23CB617B"/>
    <w:multiLevelType w:val="hybridMultilevel"/>
    <w:tmpl w:val="7D98A97E"/>
    <w:lvl w:ilvl="0" w:tplc="0816000F">
      <w:start w:val="1"/>
      <w:numFmt w:val="decimal"/>
      <w:lvlText w:val="%1."/>
      <w:lvlJc w:val="left"/>
      <w:pPr>
        <w:ind w:left="360" w:hanging="360"/>
      </w:pPr>
      <w:rPr>
        <w:rFont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 w15:restartNumberingAfterBreak="0">
    <w:nsid w:val="26750D53"/>
    <w:multiLevelType w:val="hybridMultilevel"/>
    <w:tmpl w:val="BE8EE104"/>
    <w:lvl w:ilvl="0" w:tplc="0CB6F39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9B955D6"/>
    <w:multiLevelType w:val="hybridMultilevel"/>
    <w:tmpl w:val="290E4CD2"/>
    <w:lvl w:ilvl="0" w:tplc="7CCAE370">
      <w:start w:val="1"/>
      <w:numFmt w:val="decimal"/>
      <w:lvlText w:val="UR%1."/>
      <w:lvlJc w:val="left"/>
      <w:pPr>
        <w:ind w:left="360" w:hanging="360"/>
      </w:pPr>
      <w:rPr>
        <w:rFonts w:hint="default"/>
        <w:sz w:val="2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 w15:restartNumberingAfterBreak="0">
    <w:nsid w:val="36C557FC"/>
    <w:multiLevelType w:val="hybridMultilevel"/>
    <w:tmpl w:val="72280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83D27"/>
    <w:multiLevelType w:val="hybridMultilevel"/>
    <w:tmpl w:val="5EFC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1591F"/>
    <w:multiLevelType w:val="hybridMultilevel"/>
    <w:tmpl w:val="69F6A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846CA"/>
    <w:multiLevelType w:val="hybridMultilevel"/>
    <w:tmpl w:val="9A4CE03C"/>
    <w:lvl w:ilvl="0" w:tplc="F28C7B74">
      <w:start w:val="4"/>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3" w15:restartNumberingAfterBreak="0">
    <w:nsid w:val="4EDD2B2F"/>
    <w:multiLevelType w:val="hybridMultilevel"/>
    <w:tmpl w:val="B002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7109D"/>
    <w:multiLevelType w:val="hybridMultilevel"/>
    <w:tmpl w:val="394C616A"/>
    <w:lvl w:ilvl="0" w:tplc="94201122">
      <w:start w:val="1"/>
      <w:numFmt w:val="decimal"/>
      <w:lvlText w:val="UR%1."/>
      <w:lvlJc w:val="left"/>
      <w:pPr>
        <w:ind w:left="360" w:hanging="360"/>
      </w:pPr>
      <w:rPr>
        <w:rFonts w:hint="default"/>
        <w:sz w:val="2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 w15:restartNumberingAfterBreak="0">
    <w:nsid w:val="53750712"/>
    <w:multiLevelType w:val="hybridMultilevel"/>
    <w:tmpl w:val="E9F2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61457E"/>
    <w:multiLevelType w:val="hybridMultilevel"/>
    <w:tmpl w:val="68C85BF4"/>
    <w:lvl w:ilvl="0" w:tplc="AC9C512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E44D72"/>
    <w:multiLevelType w:val="hybridMultilevel"/>
    <w:tmpl w:val="695C7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240A12"/>
    <w:multiLevelType w:val="hybridMultilevel"/>
    <w:tmpl w:val="30B4D9C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679F1E73"/>
    <w:multiLevelType w:val="hybridMultilevel"/>
    <w:tmpl w:val="A1A4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DC1DDF"/>
    <w:multiLevelType w:val="hybridMultilevel"/>
    <w:tmpl w:val="761EDC9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69483263"/>
    <w:multiLevelType w:val="hybridMultilevel"/>
    <w:tmpl w:val="8556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54A9F"/>
    <w:multiLevelType w:val="hybridMultilevel"/>
    <w:tmpl w:val="7D98A97E"/>
    <w:lvl w:ilvl="0" w:tplc="0816000F">
      <w:start w:val="1"/>
      <w:numFmt w:val="decimal"/>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6DC4516F"/>
    <w:multiLevelType w:val="hybridMultilevel"/>
    <w:tmpl w:val="CB74CE18"/>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4" w15:restartNumberingAfterBreak="0">
    <w:nsid w:val="74FA69A9"/>
    <w:multiLevelType w:val="hybridMultilevel"/>
    <w:tmpl w:val="761EDC9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753718D9"/>
    <w:multiLevelType w:val="hybridMultilevel"/>
    <w:tmpl w:val="DA92A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9B5B73"/>
    <w:multiLevelType w:val="hybridMultilevel"/>
    <w:tmpl w:val="63E0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5"/>
  </w:num>
  <w:num w:numId="4">
    <w:abstractNumId w:val="18"/>
  </w:num>
  <w:num w:numId="5">
    <w:abstractNumId w:val="14"/>
  </w:num>
  <w:num w:numId="6">
    <w:abstractNumId w:val="8"/>
  </w:num>
  <w:num w:numId="7">
    <w:abstractNumId w:val="6"/>
  </w:num>
  <w:num w:numId="8">
    <w:abstractNumId w:val="23"/>
  </w:num>
  <w:num w:numId="9">
    <w:abstractNumId w:val="22"/>
  </w:num>
  <w:num w:numId="10">
    <w:abstractNumId w:val="20"/>
  </w:num>
  <w:num w:numId="11">
    <w:abstractNumId w:val="12"/>
  </w:num>
  <w:num w:numId="12">
    <w:abstractNumId w:val="10"/>
  </w:num>
  <w:num w:numId="13">
    <w:abstractNumId w:val="15"/>
  </w:num>
  <w:num w:numId="14">
    <w:abstractNumId w:val="1"/>
  </w:num>
  <w:num w:numId="15">
    <w:abstractNumId w:val="19"/>
  </w:num>
  <w:num w:numId="16">
    <w:abstractNumId w:val="13"/>
  </w:num>
  <w:num w:numId="17">
    <w:abstractNumId w:val="25"/>
  </w:num>
  <w:num w:numId="18">
    <w:abstractNumId w:val="0"/>
  </w:num>
  <w:num w:numId="19">
    <w:abstractNumId w:val="21"/>
  </w:num>
  <w:num w:numId="20">
    <w:abstractNumId w:val="3"/>
  </w:num>
  <w:num w:numId="21">
    <w:abstractNumId w:val="4"/>
  </w:num>
  <w:num w:numId="22">
    <w:abstractNumId w:val="11"/>
  </w:num>
  <w:num w:numId="23">
    <w:abstractNumId w:val="26"/>
  </w:num>
  <w:num w:numId="24">
    <w:abstractNumId w:val="9"/>
  </w:num>
  <w:num w:numId="25">
    <w:abstractNumId w:val="2"/>
  </w:num>
  <w:num w:numId="26">
    <w:abstractNumId w:val="1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C92"/>
    <w:rsid w:val="000121BA"/>
    <w:rsid w:val="00014B26"/>
    <w:rsid w:val="000223CD"/>
    <w:rsid w:val="00045EFD"/>
    <w:rsid w:val="00051ABF"/>
    <w:rsid w:val="00084CAD"/>
    <w:rsid w:val="00092AB4"/>
    <w:rsid w:val="00093307"/>
    <w:rsid w:val="00093467"/>
    <w:rsid w:val="00096AE9"/>
    <w:rsid w:val="000A04AA"/>
    <w:rsid w:val="000E113D"/>
    <w:rsid w:val="00105620"/>
    <w:rsid w:val="00116B0E"/>
    <w:rsid w:val="00134D3B"/>
    <w:rsid w:val="0013685F"/>
    <w:rsid w:val="001639D2"/>
    <w:rsid w:val="00163C54"/>
    <w:rsid w:val="00164771"/>
    <w:rsid w:val="00167861"/>
    <w:rsid w:val="0019341E"/>
    <w:rsid w:val="001A1181"/>
    <w:rsid w:val="001A15F9"/>
    <w:rsid w:val="001A23D0"/>
    <w:rsid w:val="001A2522"/>
    <w:rsid w:val="001B03C3"/>
    <w:rsid w:val="001D2587"/>
    <w:rsid w:val="001E7429"/>
    <w:rsid w:val="001F331F"/>
    <w:rsid w:val="001F5412"/>
    <w:rsid w:val="00212EA2"/>
    <w:rsid w:val="0022482D"/>
    <w:rsid w:val="00232AA0"/>
    <w:rsid w:val="00247B90"/>
    <w:rsid w:val="00262C99"/>
    <w:rsid w:val="00290950"/>
    <w:rsid w:val="0029742A"/>
    <w:rsid w:val="002E4692"/>
    <w:rsid w:val="002F4224"/>
    <w:rsid w:val="002F4324"/>
    <w:rsid w:val="003007E7"/>
    <w:rsid w:val="0032337B"/>
    <w:rsid w:val="00363388"/>
    <w:rsid w:val="003719D3"/>
    <w:rsid w:val="0038576F"/>
    <w:rsid w:val="00387331"/>
    <w:rsid w:val="003B21E0"/>
    <w:rsid w:val="003B5F8C"/>
    <w:rsid w:val="003F2EE6"/>
    <w:rsid w:val="003F39B6"/>
    <w:rsid w:val="003F5AF2"/>
    <w:rsid w:val="0041450E"/>
    <w:rsid w:val="00414D27"/>
    <w:rsid w:val="00415086"/>
    <w:rsid w:val="00426FC1"/>
    <w:rsid w:val="00427B77"/>
    <w:rsid w:val="00430DA8"/>
    <w:rsid w:val="0043661C"/>
    <w:rsid w:val="00450478"/>
    <w:rsid w:val="00452247"/>
    <w:rsid w:val="0045620F"/>
    <w:rsid w:val="00461CD8"/>
    <w:rsid w:val="004701BF"/>
    <w:rsid w:val="00483140"/>
    <w:rsid w:val="004A5F2F"/>
    <w:rsid w:val="004B4892"/>
    <w:rsid w:val="004B4DD0"/>
    <w:rsid w:val="00501A9C"/>
    <w:rsid w:val="00501E6D"/>
    <w:rsid w:val="0050485A"/>
    <w:rsid w:val="005055DA"/>
    <w:rsid w:val="00526F22"/>
    <w:rsid w:val="00531930"/>
    <w:rsid w:val="00545471"/>
    <w:rsid w:val="00546C32"/>
    <w:rsid w:val="0058275A"/>
    <w:rsid w:val="00593E82"/>
    <w:rsid w:val="00593F87"/>
    <w:rsid w:val="00596AFA"/>
    <w:rsid w:val="005A2F82"/>
    <w:rsid w:val="005A4A5A"/>
    <w:rsid w:val="005C33BA"/>
    <w:rsid w:val="005C7657"/>
    <w:rsid w:val="005D3446"/>
    <w:rsid w:val="005D7D8B"/>
    <w:rsid w:val="005E24F4"/>
    <w:rsid w:val="005F65E2"/>
    <w:rsid w:val="00605BAD"/>
    <w:rsid w:val="006357EA"/>
    <w:rsid w:val="00635A0B"/>
    <w:rsid w:val="00640279"/>
    <w:rsid w:val="006407A4"/>
    <w:rsid w:val="00645180"/>
    <w:rsid w:val="006553E4"/>
    <w:rsid w:val="0067712C"/>
    <w:rsid w:val="00686B5D"/>
    <w:rsid w:val="006A7720"/>
    <w:rsid w:val="006B6C5B"/>
    <w:rsid w:val="006C2175"/>
    <w:rsid w:val="006C49E1"/>
    <w:rsid w:val="006C5BBF"/>
    <w:rsid w:val="006D2EB1"/>
    <w:rsid w:val="006E6567"/>
    <w:rsid w:val="006F4CA5"/>
    <w:rsid w:val="006F718E"/>
    <w:rsid w:val="00702ACD"/>
    <w:rsid w:val="007162B3"/>
    <w:rsid w:val="00742DC5"/>
    <w:rsid w:val="00760D1B"/>
    <w:rsid w:val="00771D7F"/>
    <w:rsid w:val="007941E9"/>
    <w:rsid w:val="007A18BD"/>
    <w:rsid w:val="007B05E4"/>
    <w:rsid w:val="007B0C4F"/>
    <w:rsid w:val="007B0EF5"/>
    <w:rsid w:val="007B43BE"/>
    <w:rsid w:val="007C216B"/>
    <w:rsid w:val="007D26DA"/>
    <w:rsid w:val="00807D65"/>
    <w:rsid w:val="008125E3"/>
    <w:rsid w:val="00820B1B"/>
    <w:rsid w:val="00825B2D"/>
    <w:rsid w:val="008446D0"/>
    <w:rsid w:val="00857C13"/>
    <w:rsid w:val="00863FB1"/>
    <w:rsid w:val="008754D7"/>
    <w:rsid w:val="00886B7F"/>
    <w:rsid w:val="00890C21"/>
    <w:rsid w:val="008A54E8"/>
    <w:rsid w:val="008C499D"/>
    <w:rsid w:val="008C58A1"/>
    <w:rsid w:val="008D42EC"/>
    <w:rsid w:val="008F7D91"/>
    <w:rsid w:val="00904BE5"/>
    <w:rsid w:val="00936DB0"/>
    <w:rsid w:val="009627E7"/>
    <w:rsid w:val="00967A61"/>
    <w:rsid w:val="00974152"/>
    <w:rsid w:val="00976997"/>
    <w:rsid w:val="009877DA"/>
    <w:rsid w:val="009A6ADC"/>
    <w:rsid w:val="009D42E4"/>
    <w:rsid w:val="009E1897"/>
    <w:rsid w:val="009E7CD3"/>
    <w:rsid w:val="009F4D3F"/>
    <w:rsid w:val="00A50434"/>
    <w:rsid w:val="00A62277"/>
    <w:rsid w:val="00A64AC6"/>
    <w:rsid w:val="00A66065"/>
    <w:rsid w:val="00A8365D"/>
    <w:rsid w:val="00A96D02"/>
    <w:rsid w:val="00AD5C4C"/>
    <w:rsid w:val="00AE4B61"/>
    <w:rsid w:val="00B0773B"/>
    <w:rsid w:val="00B26676"/>
    <w:rsid w:val="00B420F9"/>
    <w:rsid w:val="00B646DF"/>
    <w:rsid w:val="00B75C59"/>
    <w:rsid w:val="00B82C3A"/>
    <w:rsid w:val="00BA50B1"/>
    <w:rsid w:val="00BA6F36"/>
    <w:rsid w:val="00BB5CC4"/>
    <w:rsid w:val="00BC62CC"/>
    <w:rsid w:val="00BD2693"/>
    <w:rsid w:val="00BE185D"/>
    <w:rsid w:val="00BE5122"/>
    <w:rsid w:val="00BE7815"/>
    <w:rsid w:val="00BF092F"/>
    <w:rsid w:val="00BF6EF8"/>
    <w:rsid w:val="00BF7D1C"/>
    <w:rsid w:val="00C223DA"/>
    <w:rsid w:val="00C276CA"/>
    <w:rsid w:val="00C316CF"/>
    <w:rsid w:val="00C31D35"/>
    <w:rsid w:val="00C33F0B"/>
    <w:rsid w:val="00C52C3C"/>
    <w:rsid w:val="00C65100"/>
    <w:rsid w:val="00C65F6B"/>
    <w:rsid w:val="00C741F7"/>
    <w:rsid w:val="00CA09E9"/>
    <w:rsid w:val="00CC0F95"/>
    <w:rsid w:val="00CD07AD"/>
    <w:rsid w:val="00CD41E1"/>
    <w:rsid w:val="00CD56CB"/>
    <w:rsid w:val="00CD7F49"/>
    <w:rsid w:val="00D2742E"/>
    <w:rsid w:val="00D330C7"/>
    <w:rsid w:val="00D36F2E"/>
    <w:rsid w:val="00D42A7C"/>
    <w:rsid w:val="00D47983"/>
    <w:rsid w:val="00D62760"/>
    <w:rsid w:val="00D71ED7"/>
    <w:rsid w:val="00D92187"/>
    <w:rsid w:val="00DB1C92"/>
    <w:rsid w:val="00DC2C22"/>
    <w:rsid w:val="00DD763B"/>
    <w:rsid w:val="00DE026A"/>
    <w:rsid w:val="00DE3567"/>
    <w:rsid w:val="00E2774E"/>
    <w:rsid w:val="00E317D5"/>
    <w:rsid w:val="00E65C68"/>
    <w:rsid w:val="00EA62AA"/>
    <w:rsid w:val="00F06C7B"/>
    <w:rsid w:val="00F14258"/>
    <w:rsid w:val="00F15F1B"/>
    <w:rsid w:val="00F26FFC"/>
    <w:rsid w:val="00F463C2"/>
    <w:rsid w:val="00F84CD8"/>
    <w:rsid w:val="00F94BFC"/>
    <w:rsid w:val="00FA5021"/>
    <w:rsid w:val="00FB2465"/>
    <w:rsid w:val="00FC5CD0"/>
    <w:rsid w:val="00FC5D1C"/>
    <w:rsid w:val="00FC629A"/>
    <w:rsid w:val="00FD3A58"/>
    <w:rsid w:val="00FD3C3F"/>
    <w:rsid w:val="00FE41FE"/>
    <w:rsid w:val="00FE5CFA"/>
  </w:rsids>
  <m:mathPr>
    <m:mathFont m:val="Cambria Math"/>
    <m:brkBin m:val="before"/>
    <m:brkBinSub m:val="--"/>
    <m:smallFrac m:val="0"/>
    <m:dispDef/>
    <m:lMargin m:val="0"/>
    <m:rMargin m:val="0"/>
    <m:defJc m:val="centerGroup"/>
    <m:wrapIndent m:val="1440"/>
    <m:intLim m:val="subSup"/>
    <m:naryLim m:val="undOvr"/>
  </m:mathPr>
  <w:themeFontLang w:val="pt-PT"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A1329"/>
  <w15:chartTrackingRefBased/>
  <w15:docId w15:val="{E9814E13-73CA-48C4-B7EA-56DAA8E0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30C7"/>
    <w:pPr>
      <w:spacing w:line="360" w:lineRule="auto"/>
      <w:jc w:val="both"/>
    </w:pPr>
    <w:rPr>
      <w:rFonts w:ascii="Arial" w:hAnsi="Arial"/>
      <w:sz w:val="20"/>
      <w:lang w:bidi="ar-SA"/>
    </w:rPr>
  </w:style>
  <w:style w:type="paragraph" w:styleId="Ttulo1">
    <w:name w:val="heading 1"/>
    <w:basedOn w:val="Normal"/>
    <w:next w:val="Normal"/>
    <w:link w:val="Ttulo1Carter"/>
    <w:uiPriority w:val="9"/>
    <w:qFormat/>
    <w:rsid w:val="00DB1C92"/>
    <w:pPr>
      <w:keepNext/>
      <w:keepLines/>
      <w:spacing w:before="240" w:after="240"/>
      <w:outlineLvl w:val="0"/>
    </w:pPr>
    <w:rPr>
      <w:rFonts w:asciiTheme="majorHAnsi" w:eastAsiaTheme="majorEastAsia" w:hAnsiTheme="majorHAnsi" w:cstheme="majorBidi"/>
      <w:b/>
      <w:color w:val="000000" w:themeColor="text1"/>
      <w:sz w:val="32"/>
      <w:szCs w:val="32"/>
    </w:rPr>
  </w:style>
  <w:style w:type="paragraph" w:styleId="Ttulo2">
    <w:name w:val="heading 2"/>
    <w:basedOn w:val="Normal"/>
    <w:next w:val="Normal"/>
    <w:link w:val="Ttulo2Carter"/>
    <w:uiPriority w:val="9"/>
    <w:unhideWhenUsed/>
    <w:qFormat/>
    <w:rsid w:val="00DB1C92"/>
    <w:pPr>
      <w:keepNext/>
      <w:keepLines/>
      <w:spacing w:before="240" w:after="240"/>
      <w:outlineLvl w:val="1"/>
    </w:pPr>
    <w:rPr>
      <w:rFonts w:eastAsiaTheme="majorEastAsia" w:cstheme="majorBidi"/>
      <w:b/>
      <w:color w:val="000000" w:themeColor="text1"/>
      <w:sz w:val="22"/>
      <w:szCs w:val="26"/>
    </w:rPr>
  </w:style>
  <w:style w:type="paragraph" w:styleId="Ttulo3">
    <w:name w:val="heading 3"/>
    <w:basedOn w:val="Normal"/>
    <w:next w:val="Normal"/>
    <w:link w:val="Ttulo3Carter"/>
    <w:uiPriority w:val="9"/>
    <w:unhideWhenUsed/>
    <w:qFormat/>
    <w:rsid w:val="00DB1C92"/>
    <w:pPr>
      <w:keepNext/>
      <w:keepLines/>
      <w:spacing w:before="240" w:after="240"/>
      <w:outlineLvl w:val="2"/>
    </w:pPr>
    <w:rPr>
      <w:rFonts w:eastAsiaTheme="majorEastAsia" w:cstheme="majorBidi"/>
      <w:b/>
      <w:color w:val="000000" w:themeColor="text1"/>
      <w:szCs w:val="24"/>
    </w:rPr>
  </w:style>
  <w:style w:type="paragraph" w:styleId="Ttulo4">
    <w:name w:val="heading 4"/>
    <w:basedOn w:val="Normal"/>
    <w:next w:val="Normal"/>
    <w:link w:val="Ttulo4Carter"/>
    <w:uiPriority w:val="9"/>
    <w:unhideWhenUsed/>
    <w:qFormat/>
    <w:rsid w:val="00247B90"/>
    <w:pPr>
      <w:keepNext/>
      <w:keepLines/>
      <w:spacing w:before="240" w:after="0"/>
      <w:outlineLvl w:val="3"/>
    </w:pPr>
    <w:rPr>
      <w:rFonts w:eastAsiaTheme="majorEastAsia" w:cstheme="majorBidi"/>
      <w:b/>
      <w:iCs/>
      <w:color w:val="000000" w:themeColor="text1"/>
    </w:rPr>
  </w:style>
  <w:style w:type="paragraph" w:styleId="Ttulo5">
    <w:name w:val="heading 5"/>
    <w:basedOn w:val="Normal"/>
    <w:next w:val="Normal"/>
    <w:link w:val="Ttulo5Carter"/>
    <w:uiPriority w:val="9"/>
    <w:unhideWhenUsed/>
    <w:qFormat/>
    <w:rsid w:val="00DB1C92"/>
    <w:pPr>
      <w:keepNext/>
      <w:keepLines/>
      <w:spacing w:before="240" w:after="120"/>
      <w:outlineLvl w:val="4"/>
    </w:pPr>
    <w:rPr>
      <w:rFonts w:eastAsiaTheme="majorEastAsia" w:cstheme="majorBidi"/>
      <w:i/>
      <w:color w:val="000000" w:themeColor="text1"/>
    </w:rPr>
  </w:style>
  <w:style w:type="paragraph" w:styleId="Ttulo6">
    <w:name w:val="heading 6"/>
    <w:basedOn w:val="Normal"/>
    <w:next w:val="Normal"/>
    <w:link w:val="Ttulo6Carter"/>
    <w:uiPriority w:val="9"/>
    <w:unhideWhenUsed/>
    <w:qFormat/>
    <w:rsid w:val="00DB1C92"/>
    <w:pPr>
      <w:keepNext/>
      <w:keepLines/>
      <w:spacing w:before="40" w:after="0"/>
      <w:outlineLvl w:val="5"/>
    </w:pPr>
    <w:rPr>
      <w:rFonts w:eastAsiaTheme="majorEastAsia" w:cstheme="majorBidi"/>
      <w:color w:val="000000" w:themeColor="text1"/>
      <w:u w:val="singl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DB1C92"/>
    <w:rPr>
      <w:rFonts w:asciiTheme="majorHAnsi" w:eastAsiaTheme="majorEastAsia" w:hAnsiTheme="majorHAnsi" w:cstheme="majorBidi"/>
      <w:b/>
      <w:color w:val="000000" w:themeColor="text1"/>
      <w:sz w:val="32"/>
      <w:szCs w:val="32"/>
      <w:lang w:bidi="ar-SA"/>
    </w:rPr>
  </w:style>
  <w:style w:type="character" w:customStyle="1" w:styleId="Ttulo2Carter">
    <w:name w:val="Título 2 Caráter"/>
    <w:basedOn w:val="Tipodeletrapredefinidodopargrafo"/>
    <w:link w:val="Ttulo2"/>
    <w:uiPriority w:val="9"/>
    <w:rsid w:val="00DB1C92"/>
    <w:rPr>
      <w:rFonts w:ascii="Arial" w:eastAsiaTheme="majorEastAsia" w:hAnsi="Arial" w:cstheme="majorBidi"/>
      <w:b/>
      <w:color w:val="000000" w:themeColor="text1"/>
      <w:szCs w:val="26"/>
      <w:lang w:bidi="ar-SA"/>
    </w:rPr>
  </w:style>
  <w:style w:type="character" w:customStyle="1" w:styleId="Ttulo3Carter">
    <w:name w:val="Título 3 Caráter"/>
    <w:basedOn w:val="Tipodeletrapredefinidodopargrafo"/>
    <w:link w:val="Ttulo3"/>
    <w:uiPriority w:val="9"/>
    <w:rsid w:val="00DB1C92"/>
    <w:rPr>
      <w:rFonts w:ascii="Arial" w:eastAsiaTheme="majorEastAsia" w:hAnsi="Arial" w:cstheme="majorBidi"/>
      <w:b/>
      <w:color w:val="000000" w:themeColor="text1"/>
      <w:sz w:val="20"/>
      <w:szCs w:val="24"/>
      <w:lang w:bidi="ar-SA"/>
    </w:rPr>
  </w:style>
  <w:style w:type="character" w:customStyle="1" w:styleId="Ttulo4Carter">
    <w:name w:val="Título 4 Caráter"/>
    <w:basedOn w:val="Tipodeletrapredefinidodopargrafo"/>
    <w:link w:val="Ttulo4"/>
    <w:uiPriority w:val="9"/>
    <w:rsid w:val="00247B90"/>
    <w:rPr>
      <w:rFonts w:ascii="Arial" w:eastAsiaTheme="majorEastAsia" w:hAnsi="Arial" w:cstheme="majorBidi"/>
      <w:b/>
      <w:iCs/>
      <w:color w:val="000000" w:themeColor="text1"/>
      <w:sz w:val="20"/>
      <w:lang w:bidi="ar-SA"/>
    </w:rPr>
  </w:style>
  <w:style w:type="character" w:customStyle="1" w:styleId="Ttulo5Carter">
    <w:name w:val="Título 5 Caráter"/>
    <w:basedOn w:val="Tipodeletrapredefinidodopargrafo"/>
    <w:link w:val="Ttulo5"/>
    <w:uiPriority w:val="9"/>
    <w:rsid w:val="00DB1C92"/>
    <w:rPr>
      <w:rFonts w:ascii="Arial" w:eastAsiaTheme="majorEastAsia" w:hAnsi="Arial" w:cstheme="majorBidi"/>
      <w:i/>
      <w:color w:val="000000" w:themeColor="text1"/>
      <w:sz w:val="20"/>
      <w:lang w:bidi="ar-SA"/>
    </w:rPr>
  </w:style>
  <w:style w:type="character" w:customStyle="1" w:styleId="Ttulo6Carter">
    <w:name w:val="Título 6 Caráter"/>
    <w:basedOn w:val="Tipodeletrapredefinidodopargrafo"/>
    <w:link w:val="Ttulo6"/>
    <w:uiPriority w:val="9"/>
    <w:rsid w:val="00DB1C92"/>
    <w:rPr>
      <w:rFonts w:ascii="Arial" w:eastAsiaTheme="majorEastAsia" w:hAnsi="Arial" w:cstheme="majorBidi"/>
      <w:color w:val="000000" w:themeColor="text1"/>
      <w:sz w:val="20"/>
      <w:u w:val="single"/>
      <w:lang w:bidi="ar-SA"/>
    </w:rPr>
  </w:style>
  <w:style w:type="table" w:styleId="TabelacomGrelha">
    <w:name w:val="Table Grid"/>
    <w:basedOn w:val="Tabelanormal"/>
    <w:uiPriority w:val="39"/>
    <w:rsid w:val="00DB1C92"/>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DB1C92"/>
    <w:rPr>
      <w:color w:val="0563C1" w:themeColor="hyperlink"/>
      <w:u w:val="single"/>
    </w:rPr>
  </w:style>
  <w:style w:type="paragraph" w:styleId="PargrafodaLista">
    <w:name w:val="List Paragraph"/>
    <w:basedOn w:val="Normal"/>
    <w:uiPriority w:val="34"/>
    <w:qFormat/>
    <w:rsid w:val="00DB1C92"/>
    <w:pPr>
      <w:ind w:left="720"/>
      <w:contextualSpacing/>
    </w:pPr>
  </w:style>
  <w:style w:type="character" w:customStyle="1" w:styleId="highlight">
    <w:name w:val="highlight"/>
    <w:basedOn w:val="Tipodeletrapredefinidodopargrafo"/>
    <w:rsid w:val="00DB1C92"/>
  </w:style>
  <w:style w:type="character" w:customStyle="1" w:styleId="apple-converted-space">
    <w:name w:val="apple-converted-space"/>
    <w:basedOn w:val="Tipodeletrapredefinidodopargrafo"/>
    <w:rsid w:val="00DB1C92"/>
  </w:style>
  <w:style w:type="paragraph" w:styleId="Cabealho">
    <w:name w:val="header"/>
    <w:basedOn w:val="Normal"/>
    <w:link w:val="CabealhoCarter"/>
    <w:uiPriority w:val="99"/>
    <w:unhideWhenUsed/>
    <w:rsid w:val="00DB1C9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DB1C92"/>
    <w:rPr>
      <w:rFonts w:ascii="Arial" w:hAnsi="Arial"/>
      <w:sz w:val="20"/>
      <w:lang w:bidi="ar-SA"/>
    </w:rPr>
  </w:style>
  <w:style w:type="paragraph" w:styleId="Rodap">
    <w:name w:val="footer"/>
    <w:basedOn w:val="Normal"/>
    <w:link w:val="RodapCarter"/>
    <w:uiPriority w:val="99"/>
    <w:unhideWhenUsed/>
    <w:rsid w:val="00DB1C9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DB1C92"/>
    <w:rPr>
      <w:rFonts w:ascii="Arial" w:hAnsi="Arial"/>
      <w:sz w:val="20"/>
      <w:lang w:bidi="ar-SA"/>
    </w:rPr>
  </w:style>
  <w:style w:type="paragraph" w:styleId="Bibliografia">
    <w:name w:val="Bibliography"/>
    <w:basedOn w:val="Normal"/>
    <w:next w:val="Normal"/>
    <w:uiPriority w:val="37"/>
    <w:unhideWhenUsed/>
    <w:rsid w:val="00DB1C92"/>
    <w:pPr>
      <w:tabs>
        <w:tab w:val="left" w:pos="504"/>
      </w:tabs>
      <w:spacing w:after="240" w:line="240" w:lineRule="auto"/>
      <w:ind w:left="504" w:hanging="504"/>
    </w:pPr>
  </w:style>
  <w:style w:type="paragraph" w:customStyle="1" w:styleId="Default">
    <w:name w:val="Default"/>
    <w:rsid w:val="00DB1C92"/>
    <w:pPr>
      <w:autoSpaceDE w:val="0"/>
      <w:autoSpaceDN w:val="0"/>
      <w:adjustRightInd w:val="0"/>
      <w:spacing w:after="0" w:line="240" w:lineRule="auto"/>
    </w:pPr>
    <w:rPr>
      <w:rFonts w:ascii="Times New Roman" w:hAnsi="Times New Roman" w:cs="Times New Roman"/>
      <w:color w:val="000000"/>
      <w:sz w:val="24"/>
      <w:szCs w:val="24"/>
      <w:lang w:bidi="ar-SA"/>
    </w:rPr>
  </w:style>
  <w:style w:type="character" w:customStyle="1" w:styleId="slicetext1">
    <w:name w:val="slicetext1"/>
    <w:rsid w:val="00DB1C92"/>
    <w:rPr>
      <w:rFonts w:cs="Times New Roman"/>
      <w:color w:val="000000"/>
    </w:rPr>
  </w:style>
  <w:style w:type="character" w:styleId="nfase">
    <w:name w:val="Emphasis"/>
    <w:basedOn w:val="Tipodeletrapredefinidodopargrafo"/>
    <w:uiPriority w:val="20"/>
    <w:qFormat/>
    <w:rsid w:val="00DB1C92"/>
    <w:rPr>
      <w:i/>
      <w:iCs/>
    </w:rPr>
  </w:style>
  <w:style w:type="paragraph" w:customStyle="1" w:styleId="arial12">
    <w:name w:val="arial12"/>
    <w:basedOn w:val="Normal"/>
    <w:rsid w:val="00DB1C92"/>
    <w:pPr>
      <w:spacing w:before="100" w:beforeAutospacing="1" w:after="100" w:afterAutospacing="1" w:line="240" w:lineRule="auto"/>
    </w:pPr>
    <w:rPr>
      <w:rFonts w:ascii="Times New Roman" w:eastAsia="Times New Roman" w:hAnsi="Times New Roman" w:cs="Times New Roman"/>
      <w:szCs w:val="24"/>
      <w:lang w:eastAsia="pt-PT"/>
    </w:rPr>
  </w:style>
  <w:style w:type="character" w:customStyle="1" w:styleId="cit">
    <w:name w:val="cit"/>
    <w:basedOn w:val="Tipodeletrapredefinidodopargrafo"/>
    <w:rsid w:val="00DB1C92"/>
  </w:style>
  <w:style w:type="character" w:customStyle="1" w:styleId="doi">
    <w:name w:val="doi"/>
    <w:basedOn w:val="Tipodeletrapredefinidodopargrafo"/>
    <w:rsid w:val="00DB1C92"/>
  </w:style>
  <w:style w:type="character" w:customStyle="1" w:styleId="fm-citation-ids-label">
    <w:name w:val="fm-citation-ids-label"/>
    <w:basedOn w:val="Tipodeletrapredefinidodopargrafo"/>
    <w:rsid w:val="00DB1C92"/>
  </w:style>
  <w:style w:type="paragraph" w:customStyle="1" w:styleId="Ttulo10">
    <w:name w:val="Título1"/>
    <w:basedOn w:val="Normal"/>
    <w:rsid w:val="00DB1C92"/>
    <w:pPr>
      <w:spacing w:before="100" w:beforeAutospacing="1" w:after="100" w:afterAutospacing="1" w:line="240" w:lineRule="auto"/>
    </w:pPr>
    <w:rPr>
      <w:rFonts w:ascii="Times New Roman" w:eastAsia="Times New Roman" w:hAnsi="Times New Roman" w:cs="Times New Roman"/>
      <w:szCs w:val="24"/>
      <w:lang w:eastAsia="pt-PT"/>
    </w:rPr>
  </w:style>
  <w:style w:type="paragraph" w:customStyle="1" w:styleId="desc">
    <w:name w:val="desc"/>
    <w:basedOn w:val="Normal"/>
    <w:rsid w:val="00DB1C92"/>
    <w:pPr>
      <w:spacing w:before="100" w:beforeAutospacing="1" w:after="100" w:afterAutospacing="1" w:line="240" w:lineRule="auto"/>
    </w:pPr>
    <w:rPr>
      <w:rFonts w:ascii="Times New Roman" w:eastAsia="Times New Roman" w:hAnsi="Times New Roman" w:cs="Times New Roman"/>
      <w:szCs w:val="24"/>
      <w:lang w:eastAsia="pt-PT"/>
    </w:rPr>
  </w:style>
  <w:style w:type="paragraph" w:customStyle="1" w:styleId="details">
    <w:name w:val="details"/>
    <w:basedOn w:val="Normal"/>
    <w:rsid w:val="00DB1C92"/>
    <w:pPr>
      <w:spacing w:before="100" w:beforeAutospacing="1" w:after="100" w:afterAutospacing="1" w:line="240" w:lineRule="auto"/>
    </w:pPr>
    <w:rPr>
      <w:rFonts w:ascii="Times New Roman" w:eastAsia="Times New Roman" w:hAnsi="Times New Roman" w:cs="Times New Roman"/>
      <w:szCs w:val="24"/>
      <w:lang w:eastAsia="pt-PT"/>
    </w:rPr>
  </w:style>
  <w:style w:type="character" w:customStyle="1" w:styleId="jrnl">
    <w:name w:val="jrnl"/>
    <w:basedOn w:val="Tipodeletrapredefinidodopargrafo"/>
    <w:rsid w:val="00DB1C92"/>
  </w:style>
  <w:style w:type="character" w:customStyle="1" w:styleId="MenoNoResolvida1">
    <w:name w:val="Menção Não Resolvida1"/>
    <w:basedOn w:val="Tipodeletrapredefinidodopargrafo"/>
    <w:uiPriority w:val="99"/>
    <w:semiHidden/>
    <w:unhideWhenUsed/>
    <w:rsid w:val="00DB1C92"/>
    <w:rPr>
      <w:color w:val="808080"/>
      <w:shd w:val="clear" w:color="auto" w:fill="E6E6E6"/>
    </w:rPr>
  </w:style>
  <w:style w:type="character" w:customStyle="1" w:styleId="hiddenreadable">
    <w:name w:val="hiddenreadable"/>
    <w:basedOn w:val="Tipodeletrapredefinidodopargrafo"/>
    <w:rsid w:val="00DB1C92"/>
  </w:style>
  <w:style w:type="character" w:styleId="TextodoMarcadordePosio">
    <w:name w:val="Placeholder Text"/>
    <w:basedOn w:val="Tipodeletrapredefinidodopargrafo"/>
    <w:uiPriority w:val="99"/>
    <w:semiHidden/>
    <w:rsid w:val="00DB1C92"/>
    <w:rPr>
      <w:color w:val="808080"/>
    </w:rPr>
  </w:style>
  <w:style w:type="character" w:customStyle="1" w:styleId="citation-publication-date">
    <w:name w:val="citation-publication-date"/>
    <w:basedOn w:val="Tipodeletrapredefinidodopargrafo"/>
    <w:rsid w:val="00DB1C92"/>
  </w:style>
  <w:style w:type="character" w:customStyle="1" w:styleId="cit-auth">
    <w:name w:val="cit-auth"/>
    <w:basedOn w:val="Tipodeletrapredefinidodopargrafo"/>
    <w:rsid w:val="00DB1C92"/>
  </w:style>
  <w:style w:type="character" w:customStyle="1" w:styleId="cit-name-surname">
    <w:name w:val="cit-name-surname"/>
    <w:basedOn w:val="Tipodeletrapredefinidodopargrafo"/>
    <w:rsid w:val="00DB1C92"/>
  </w:style>
  <w:style w:type="character" w:customStyle="1" w:styleId="cit-name-given-names">
    <w:name w:val="cit-name-given-names"/>
    <w:basedOn w:val="Tipodeletrapredefinidodopargrafo"/>
    <w:rsid w:val="00DB1C92"/>
  </w:style>
  <w:style w:type="character" w:customStyle="1" w:styleId="cit-pub-date">
    <w:name w:val="cit-pub-date"/>
    <w:basedOn w:val="Tipodeletrapredefinidodopargrafo"/>
    <w:rsid w:val="00DB1C92"/>
  </w:style>
  <w:style w:type="character" w:customStyle="1" w:styleId="cit-article-title">
    <w:name w:val="cit-article-title"/>
    <w:basedOn w:val="Tipodeletrapredefinidodopargrafo"/>
    <w:rsid w:val="00DB1C92"/>
  </w:style>
  <w:style w:type="character" w:customStyle="1" w:styleId="cit-vol">
    <w:name w:val="cit-vol"/>
    <w:basedOn w:val="Tipodeletrapredefinidodopargrafo"/>
    <w:rsid w:val="00DB1C92"/>
  </w:style>
  <w:style w:type="character" w:customStyle="1" w:styleId="cit-fpage">
    <w:name w:val="cit-fpage"/>
    <w:basedOn w:val="Tipodeletrapredefinidodopargrafo"/>
    <w:rsid w:val="00DB1C92"/>
  </w:style>
  <w:style w:type="character" w:customStyle="1" w:styleId="cit-lpage">
    <w:name w:val="cit-lpage"/>
    <w:basedOn w:val="Tipodeletrapredefinidodopargrafo"/>
    <w:rsid w:val="00DB1C92"/>
  </w:style>
  <w:style w:type="paragraph" w:styleId="SemEspaamento">
    <w:name w:val="No Spacing"/>
    <w:uiPriority w:val="1"/>
    <w:qFormat/>
    <w:rsid w:val="00DB1C92"/>
    <w:pPr>
      <w:spacing w:after="0" w:line="240" w:lineRule="auto"/>
    </w:pPr>
    <w:rPr>
      <w:sz w:val="24"/>
      <w:lang w:bidi="ar-SA"/>
    </w:rPr>
  </w:style>
  <w:style w:type="character" w:customStyle="1" w:styleId="ref-journal">
    <w:name w:val="ref-journal"/>
    <w:basedOn w:val="Tipodeletrapredefinidodopargrafo"/>
    <w:rsid w:val="00DB1C92"/>
  </w:style>
  <w:style w:type="character" w:customStyle="1" w:styleId="ref-vol">
    <w:name w:val="ref-vol"/>
    <w:basedOn w:val="Tipodeletrapredefinidodopargrafo"/>
    <w:rsid w:val="00DB1C92"/>
  </w:style>
  <w:style w:type="paragraph" w:styleId="Textodecomentrio">
    <w:name w:val="annotation text"/>
    <w:basedOn w:val="Normal"/>
    <w:link w:val="TextodecomentrioCarter"/>
    <w:uiPriority w:val="99"/>
    <w:semiHidden/>
    <w:unhideWhenUsed/>
    <w:rsid w:val="00DB1C92"/>
    <w:pPr>
      <w:spacing w:line="240" w:lineRule="auto"/>
    </w:pPr>
    <w:rPr>
      <w:szCs w:val="20"/>
    </w:rPr>
  </w:style>
  <w:style w:type="character" w:customStyle="1" w:styleId="TextodecomentrioCarter">
    <w:name w:val="Texto de comentário Caráter"/>
    <w:basedOn w:val="Tipodeletrapredefinidodopargrafo"/>
    <w:link w:val="Textodecomentrio"/>
    <w:uiPriority w:val="99"/>
    <w:semiHidden/>
    <w:rsid w:val="00DB1C92"/>
    <w:rPr>
      <w:rFonts w:ascii="Arial" w:hAnsi="Arial"/>
      <w:sz w:val="20"/>
      <w:szCs w:val="20"/>
      <w:lang w:bidi="ar-SA"/>
    </w:rPr>
  </w:style>
  <w:style w:type="character" w:styleId="Refdecomentrio">
    <w:name w:val="annotation reference"/>
    <w:basedOn w:val="Tipodeletrapredefinidodopargrafo"/>
    <w:uiPriority w:val="99"/>
    <w:semiHidden/>
    <w:unhideWhenUsed/>
    <w:rsid w:val="00DB1C92"/>
    <w:rPr>
      <w:sz w:val="16"/>
      <w:szCs w:val="16"/>
    </w:rPr>
  </w:style>
  <w:style w:type="paragraph" w:styleId="Textodebalo">
    <w:name w:val="Balloon Text"/>
    <w:basedOn w:val="Normal"/>
    <w:link w:val="TextodebaloCarter"/>
    <w:uiPriority w:val="99"/>
    <w:semiHidden/>
    <w:unhideWhenUsed/>
    <w:rsid w:val="00DB1C92"/>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B1C92"/>
    <w:rPr>
      <w:rFonts w:ascii="Segoe UI" w:hAnsi="Segoe UI" w:cs="Segoe UI"/>
      <w:sz w:val="18"/>
      <w:szCs w:val="18"/>
      <w:lang w:bidi="ar-SA"/>
    </w:rPr>
  </w:style>
  <w:style w:type="character" w:customStyle="1" w:styleId="st1">
    <w:name w:val="st1"/>
    <w:basedOn w:val="Tipodeletrapredefinidodopargrafo"/>
    <w:rsid w:val="00DB1C92"/>
  </w:style>
  <w:style w:type="table" w:styleId="TabeladeGrelha1Clara">
    <w:name w:val="Grid Table 1 Light"/>
    <w:basedOn w:val="Tabelanormal"/>
    <w:uiPriority w:val="46"/>
    <w:rsid w:val="00DB1C92"/>
    <w:pPr>
      <w:spacing w:after="0" w:line="240" w:lineRule="auto"/>
    </w:pPr>
    <w:rPr>
      <w:rFonts w:eastAsia="Times New Roman" w:cs="Arial"/>
      <w:lang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Arial"/>
        <w:b/>
        <w:bCs/>
      </w:rPr>
      <w:tblPr/>
      <w:tcPr>
        <w:tcBorders>
          <w:bottom w:val="single" w:sz="12" w:space="0" w:color="666666" w:themeColor="text1" w:themeTint="99"/>
        </w:tcBorders>
      </w:tcPr>
    </w:tblStylePr>
    <w:tblStylePr w:type="lastRow">
      <w:rPr>
        <w:rFonts w:cs="Arial"/>
        <w:b/>
        <w:bCs/>
      </w:rPr>
      <w:tblPr/>
      <w:tcPr>
        <w:tcBorders>
          <w:top w:val="double" w:sz="2" w:space="0" w:color="666666" w:themeColor="text1" w:themeTint="99"/>
        </w:tcBorders>
      </w:tcPr>
    </w:tblStylePr>
    <w:tblStylePr w:type="firstCol">
      <w:rPr>
        <w:rFonts w:cs="Arial"/>
        <w:b/>
        <w:bCs/>
      </w:rPr>
    </w:tblStylePr>
    <w:tblStylePr w:type="lastCol">
      <w:rPr>
        <w:rFonts w:cs="Arial"/>
        <w:b/>
        <w:bCs/>
      </w:rPr>
    </w:tblStylePr>
  </w:style>
  <w:style w:type="table" w:styleId="TabelaSimples4">
    <w:name w:val="Plain Table 4"/>
    <w:basedOn w:val="Tabelanormal"/>
    <w:uiPriority w:val="44"/>
    <w:rsid w:val="00DB1C92"/>
    <w:pPr>
      <w:spacing w:after="0" w:line="240" w:lineRule="auto"/>
    </w:pPr>
    <w:rPr>
      <w:lang w:bidi="ar-S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t">
    <w:name w:val="st"/>
    <w:basedOn w:val="Tipodeletrapredefinidodopargrafo"/>
    <w:rsid w:val="00DB1C92"/>
  </w:style>
  <w:style w:type="character" w:customStyle="1" w:styleId="highwire-cite-metadata-journal">
    <w:name w:val="highwire-cite-metadata-journal"/>
    <w:basedOn w:val="Tipodeletrapredefinidodopargrafo"/>
    <w:rsid w:val="00DB1C92"/>
  </w:style>
  <w:style w:type="character" w:customStyle="1" w:styleId="highwire-cite-metadata-date">
    <w:name w:val="highwire-cite-metadata-date"/>
    <w:basedOn w:val="Tipodeletrapredefinidodopargrafo"/>
    <w:rsid w:val="00DB1C92"/>
  </w:style>
  <w:style w:type="character" w:customStyle="1" w:styleId="highwire-cite-metadata-volume-pages">
    <w:name w:val="highwire-cite-metadata-volume-pages"/>
    <w:basedOn w:val="Tipodeletrapredefinidodopargrafo"/>
    <w:rsid w:val="00DB1C92"/>
  </w:style>
  <w:style w:type="character" w:customStyle="1" w:styleId="highwire-cite-metadata-doi">
    <w:name w:val="highwire-cite-metadata-doi"/>
    <w:basedOn w:val="Tipodeletrapredefinidodopargrafo"/>
    <w:rsid w:val="00DB1C92"/>
  </w:style>
  <w:style w:type="paragraph" w:styleId="HTMLpr-formatado">
    <w:name w:val="HTML Preformatted"/>
    <w:basedOn w:val="Normal"/>
    <w:link w:val="HTMLpr-formatadoCarter"/>
    <w:uiPriority w:val="99"/>
    <w:semiHidden/>
    <w:unhideWhenUsed/>
    <w:rsid w:val="00DB1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lang w:eastAsia="pt-PT"/>
    </w:rPr>
  </w:style>
  <w:style w:type="character" w:customStyle="1" w:styleId="HTMLpr-formatadoCarter">
    <w:name w:val="HTML pré-formatado Caráter"/>
    <w:basedOn w:val="Tipodeletrapredefinidodopargrafo"/>
    <w:link w:val="HTMLpr-formatado"/>
    <w:uiPriority w:val="99"/>
    <w:semiHidden/>
    <w:rsid w:val="00DB1C92"/>
    <w:rPr>
      <w:rFonts w:ascii="Courier New" w:eastAsia="Times New Roman" w:hAnsi="Courier New" w:cs="Courier New"/>
      <w:sz w:val="20"/>
      <w:szCs w:val="20"/>
      <w:lang w:eastAsia="pt-PT" w:bidi="ar-SA"/>
    </w:rPr>
  </w:style>
  <w:style w:type="character" w:customStyle="1" w:styleId="highwire-citation-author">
    <w:name w:val="highwire-citation-author"/>
    <w:basedOn w:val="Tipodeletrapredefinidodopargrafo"/>
    <w:rsid w:val="00DB1C92"/>
  </w:style>
  <w:style w:type="character" w:customStyle="1" w:styleId="highwire-cite-metadata-volume">
    <w:name w:val="highwire-cite-metadata-volume"/>
    <w:basedOn w:val="Tipodeletrapredefinidodopargrafo"/>
    <w:rsid w:val="00DB1C92"/>
  </w:style>
  <w:style w:type="character" w:customStyle="1" w:styleId="highwire-cite-metadata-issue">
    <w:name w:val="highwire-cite-metadata-issue"/>
    <w:basedOn w:val="Tipodeletrapredefinidodopargrafo"/>
    <w:rsid w:val="00DB1C92"/>
  </w:style>
  <w:style w:type="character" w:customStyle="1" w:styleId="highwire-cite-metadata-pages">
    <w:name w:val="highwire-cite-metadata-pages"/>
    <w:basedOn w:val="Tipodeletrapredefinidodopargrafo"/>
    <w:rsid w:val="00DB1C92"/>
  </w:style>
  <w:style w:type="character" w:customStyle="1" w:styleId="MenoNoResolvida2">
    <w:name w:val="Menção Não Resolvida2"/>
    <w:basedOn w:val="Tipodeletrapredefinidodopargrafo"/>
    <w:uiPriority w:val="99"/>
    <w:semiHidden/>
    <w:unhideWhenUsed/>
    <w:rsid w:val="00DB1C92"/>
    <w:rPr>
      <w:color w:val="605E5C"/>
      <w:shd w:val="clear" w:color="auto" w:fill="E1DFDD"/>
    </w:rPr>
  </w:style>
  <w:style w:type="paragraph" w:styleId="Assuntodecomentrio">
    <w:name w:val="annotation subject"/>
    <w:basedOn w:val="Textodecomentrio"/>
    <w:next w:val="Textodecomentrio"/>
    <w:link w:val="AssuntodecomentrioCarter"/>
    <w:uiPriority w:val="99"/>
    <w:semiHidden/>
    <w:unhideWhenUsed/>
    <w:rsid w:val="00DB1C92"/>
    <w:rPr>
      <w:b/>
      <w:bCs/>
    </w:rPr>
  </w:style>
  <w:style w:type="character" w:customStyle="1" w:styleId="AssuntodecomentrioCarter">
    <w:name w:val="Assunto de comentário Caráter"/>
    <w:basedOn w:val="TextodecomentrioCarter"/>
    <w:link w:val="Assuntodecomentrio"/>
    <w:uiPriority w:val="99"/>
    <w:semiHidden/>
    <w:rsid w:val="00DB1C92"/>
    <w:rPr>
      <w:rFonts w:ascii="Arial" w:hAnsi="Arial"/>
      <w:b/>
      <w:bCs/>
      <w:sz w:val="20"/>
      <w:szCs w:val="20"/>
      <w:lang w:bidi="ar-SA"/>
    </w:rPr>
  </w:style>
  <w:style w:type="character" w:customStyle="1" w:styleId="MenoNoResolvida3">
    <w:name w:val="Menção Não Resolvida3"/>
    <w:basedOn w:val="Tipodeletrapredefinidodopargrafo"/>
    <w:uiPriority w:val="99"/>
    <w:semiHidden/>
    <w:unhideWhenUsed/>
    <w:rsid w:val="00DB1C92"/>
    <w:rPr>
      <w:color w:val="605E5C"/>
      <w:shd w:val="clear" w:color="auto" w:fill="E1DFDD"/>
    </w:rPr>
  </w:style>
  <w:style w:type="paragraph" w:styleId="NormalWeb">
    <w:name w:val="Normal (Web)"/>
    <w:basedOn w:val="Normal"/>
    <w:uiPriority w:val="99"/>
    <w:unhideWhenUsed/>
    <w:rsid w:val="00DB1C92"/>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table" w:styleId="TabelacomGrelhaClara">
    <w:name w:val="Grid Table Light"/>
    <w:basedOn w:val="Tabelanormal"/>
    <w:uiPriority w:val="40"/>
    <w:rsid w:val="00DB1C92"/>
    <w:pPr>
      <w:spacing w:after="0" w:line="240" w:lineRule="auto"/>
    </w:pPr>
    <w:rPr>
      <w:lang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mples3">
    <w:name w:val="Plain Table 3"/>
    <w:basedOn w:val="Tabelanormal"/>
    <w:uiPriority w:val="43"/>
    <w:rsid w:val="00DB1C92"/>
    <w:pPr>
      <w:spacing w:after="0" w:line="240" w:lineRule="auto"/>
    </w:pPr>
    <w:rPr>
      <w:lang w:bidi="ar-S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merodelinha">
    <w:name w:val="line number"/>
    <w:basedOn w:val="Tipodeletrapredefinidodopargrafo"/>
    <w:uiPriority w:val="99"/>
    <w:semiHidden/>
    <w:unhideWhenUsed/>
    <w:rsid w:val="00DB1C92"/>
  </w:style>
  <w:style w:type="paragraph" w:styleId="Legenda">
    <w:name w:val="caption"/>
    <w:basedOn w:val="Normal"/>
    <w:next w:val="Normal"/>
    <w:uiPriority w:val="35"/>
    <w:unhideWhenUsed/>
    <w:qFormat/>
    <w:rsid w:val="00967A61"/>
    <w:pPr>
      <w:spacing w:after="200" w:line="240" w:lineRule="auto"/>
    </w:pPr>
    <w:rPr>
      <w:i/>
      <w:iCs/>
      <w:color w:val="44546A" w:themeColor="text2"/>
      <w:sz w:val="18"/>
      <w:szCs w:val="18"/>
    </w:rPr>
  </w:style>
  <w:style w:type="paragraph" w:styleId="ndicedeilustraes">
    <w:name w:val="table of figures"/>
    <w:basedOn w:val="Normal"/>
    <w:next w:val="Normal"/>
    <w:uiPriority w:val="99"/>
    <w:unhideWhenUsed/>
    <w:rsid w:val="00967A61"/>
    <w:pPr>
      <w:spacing w:after="0"/>
    </w:pPr>
  </w:style>
  <w:style w:type="character" w:customStyle="1" w:styleId="element-citation">
    <w:name w:val="element-citation"/>
    <w:basedOn w:val="Tipodeletrapredefinidodopargrafo"/>
    <w:rsid w:val="009F4D3F"/>
  </w:style>
  <w:style w:type="character" w:styleId="MenoNoResolvida">
    <w:name w:val="Unresolved Mention"/>
    <w:basedOn w:val="Tipodeletrapredefinidodopargrafo"/>
    <w:uiPriority w:val="99"/>
    <w:semiHidden/>
    <w:unhideWhenUsed/>
    <w:rsid w:val="00FC6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29380037" TargetMode="External"/><Relationship Id="rId18" Type="http://schemas.openxmlformats.org/officeDocument/2006/relationships/hyperlink" Target="http://euroflow.org/"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www.ncbi.nlm.nih.gov/pubmed/?term=8204882" TargetMode="External"/><Relationship Id="rId7" Type="http://schemas.openxmlformats.org/officeDocument/2006/relationships/endnotes" Target="endnotes.xml"/><Relationship Id="rId12" Type="http://schemas.openxmlformats.org/officeDocument/2006/relationships/hyperlink" Target="https://www.ncbi.nlm.nih.gov/pubmed/?term=29090484" TargetMode="External"/><Relationship Id="rId17" Type="http://schemas.openxmlformats.org/officeDocument/2006/relationships/hyperlink" Target="https://www.ncbi.nlm.nih.gov/pubmed/?term=29554715" TargetMode="External"/><Relationship Id="rId25" Type="http://schemas.openxmlformats.org/officeDocument/2006/relationships/image" Target="media/image2.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cbi.nlm.nih.gov/pubmed/?term=29337406" TargetMode="External"/><Relationship Id="rId20" Type="http://schemas.openxmlformats.org/officeDocument/2006/relationships/image" Target="media/image1.png"/><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26452979" TargetMode="External"/><Relationship Id="rId24" Type="http://schemas.openxmlformats.org/officeDocument/2006/relationships/hyperlink" Target="https://www.ncbi.nlm.nih.gov/pubmed/?term=224242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bi.nlm.nih.gov/pubmed/?term=28960147" TargetMode="External"/><Relationship Id="rId23" Type="http://schemas.openxmlformats.org/officeDocument/2006/relationships/hyperlink" Target="https://www.ncbi.nlm.nih.gov/pubmed/?term=2242424" TargetMode="External"/><Relationship Id="rId28" Type="http://schemas.openxmlformats.org/officeDocument/2006/relationships/image" Target="media/image5.png"/><Relationship Id="rId10" Type="http://schemas.openxmlformats.org/officeDocument/2006/relationships/hyperlink" Target="https://www.ncbi.nlm.nih.gov/pubmed/?term=29380037" TargetMode="External"/><Relationship Id="rId19" Type="http://schemas.openxmlformats.org/officeDocument/2006/relationships/hyperlink" Target="https://www.ncbi.nlm.nih.gov/pubmed/?term=8204882"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cbi.nlm.nih.gov/pubmed/?term=29090484" TargetMode="External"/><Relationship Id="rId14" Type="http://schemas.openxmlformats.org/officeDocument/2006/relationships/hyperlink" Target="https://www.ncbi.nlm.nih.gov/pubmed/?term=8652804" TargetMode="External"/><Relationship Id="rId22" Type="http://schemas.openxmlformats.org/officeDocument/2006/relationships/hyperlink" Target="https://www.ncbi.nlm.nih.gov/pubmed/?term=2242424" TargetMode="External"/><Relationship Id="rId27" Type="http://schemas.openxmlformats.org/officeDocument/2006/relationships/image" Target="media/image4.png"/><Relationship Id="rId30" Type="http://schemas.openxmlformats.org/officeDocument/2006/relationships/header" Target="header1.xml"/><Relationship Id="rId8" Type="http://schemas.openxmlformats.org/officeDocument/2006/relationships/hyperlink" Target="https://www.ncbi.nlm.nih.gov/pubmed/?term=26452979"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FF342-CFCA-4FD8-BCD0-722759A6C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23</Pages>
  <Words>8424</Words>
  <Characters>48019</Characters>
  <Application>Microsoft Office Word</Application>
  <DocSecurity>0</DocSecurity>
  <Lines>400</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Maria de Lima Povoa</dc:creator>
  <cp:keywords/>
  <dc:description/>
  <cp:lastModifiedBy>Claudia Maria de Lima Povoa</cp:lastModifiedBy>
  <cp:revision>10</cp:revision>
  <dcterms:created xsi:type="dcterms:W3CDTF">2020-02-02T08:11:00Z</dcterms:created>
  <dcterms:modified xsi:type="dcterms:W3CDTF">2020-02-09T15:15:00Z</dcterms:modified>
</cp:coreProperties>
</file>