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5271" w14:textId="3C568F75" w:rsidR="00F56FB2" w:rsidRPr="00223CAE" w:rsidRDefault="00F56FB2" w:rsidP="00F56FB2">
      <w:pPr>
        <w:spacing w:line="480" w:lineRule="auto"/>
        <w:jc w:val="center"/>
        <w:rPr>
          <w:b/>
          <w:bCs/>
          <w:sz w:val="22"/>
          <w:szCs w:val="22"/>
        </w:rPr>
      </w:pPr>
      <w:r w:rsidRPr="00223CAE">
        <w:rPr>
          <w:b/>
          <w:bCs/>
          <w:sz w:val="22"/>
          <w:szCs w:val="22"/>
        </w:rPr>
        <w:t>S</w:t>
      </w:r>
      <w:r w:rsidR="00EB37D2">
        <w:rPr>
          <w:b/>
          <w:bCs/>
          <w:sz w:val="22"/>
          <w:szCs w:val="22"/>
        </w:rPr>
        <w:t>4</w:t>
      </w:r>
      <w:r w:rsidRPr="00223CAE">
        <w:rPr>
          <w:b/>
          <w:bCs/>
          <w:sz w:val="22"/>
          <w:szCs w:val="22"/>
        </w:rPr>
        <w:t xml:space="preserve"> Table. Testing for non-linearity of RHR effect on all outcomes in men and women</w:t>
      </w:r>
      <w:r w:rsidR="00EB37D2">
        <w:rPr>
          <w:b/>
          <w:bCs/>
          <w:sz w:val="22"/>
          <w:szCs w:val="22"/>
        </w:rPr>
        <w:t>.</w:t>
      </w:r>
      <w:bookmarkStart w:id="0" w:name="_GoBack"/>
      <w:bookmarkEnd w:id="0"/>
    </w:p>
    <w:tbl>
      <w:tblPr>
        <w:tblStyle w:val="GridTable1Light-Accent51"/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4423"/>
      </w:tblGrid>
      <w:tr w:rsidR="00F56FB2" w:rsidRPr="00F56FB2" w14:paraId="697952F6" w14:textId="77777777" w:rsidTr="00E46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8EAEFC" w14:textId="77777777" w:rsidR="00F56FB2" w:rsidRPr="00F56FB2" w:rsidRDefault="00F56FB2" w:rsidP="00F56FB2">
            <w:pPr>
              <w:spacing w:line="360" w:lineRule="auto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</w:tcPr>
          <w:p w14:paraId="38DBF601" w14:textId="77777777" w:rsidR="00F56FB2" w:rsidRPr="00F56FB2" w:rsidRDefault="00F56FB2" w:rsidP="00F56F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p-value non-linear vs. linear model for RHR</w:t>
            </w: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56FB2" w:rsidRPr="00F56FB2" w14:paraId="5D49B446" w14:textId="77777777" w:rsidTr="00E46FD9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6E7095F5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All-cause mortality </w:t>
            </w:r>
          </w:p>
        </w:tc>
        <w:tc>
          <w:tcPr>
            <w:tcW w:w="442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7035DC1A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0.39</w:t>
            </w:r>
          </w:p>
        </w:tc>
      </w:tr>
      <w:tr w:rsidR="00F56FB2" w:rsidRPr="00F56FB2" w14:paraId="49A59E66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F95D1BF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4423" w:type="dxa"/>
          </w:tcPr>
          <w:p w14:paraId="619C70F0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0.94</w:t>
            </w:r>
          </w:p>
        </w:tc>
      </w:tr>
      <w:tr w:rsidR="00F56FB2" w:rsidRPr="00F56FB2" w14:paraId="4CD6084C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4472C4" w:themeColor="accent1"/>
            </w:tcBorders>
          </w:tcPr>
          <w:p w14:paraId="71BA8884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4423" w:type="dxa"/>
            <w:tcBorders>
              <w:bottom w:val="single" w:sz="8" w:space="0" w:color="4472C4" w:themeColor="accent1"/>
            </w:tcBorders>
          </w:tcPr>
          <w:p w14:paraId="1C142B83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0.13</w:t>
            </w:r>
          </w:p>
        </w:tc>
      </w:tr>
      <w:tr w:rsidR="00F56FB2" w:rsidRPr="00F56FB2" w14:paraId="6D87DEAD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4A091EEE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CVD mortality</w:t>
            </w:r>
          </w:p>
        </w:tc>
        <w:tc>
          <w:tcPr>
            <w:tcW w:w="442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5AF469B3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0.11</w:t>
            </w:r>
          </w:p>
        </w:tc>
      </w:tr>
      <w:tr w:rsidR="00F56FB2" w:rsidRPr="00F56FB2" w14:paraId="2BC0377B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0768D35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4423" w:type="dxa"/>
          </w:tcPr>
          <w:p w14:paraId="2F13F58F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0.21</w:t>
            </w:r>
          </w:p>
        </w:tc>
      </w:tr>
      <w:tr w:rsidR="00F56FB2" w:rsidRPr="00F56FB2" w14:paraId="666E18B4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4472C4" w:themeColor="accent1"/>
            </w:tcBorders>
          </w:tcPr>
          <w:p w14:paraId="081D3CEF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4423" w:type="dxa"/>
            <w:tcBorders>
              <w:bottom w:val="single" w:sz="8" w:space="0" w:color="4472C4" w:themeColor="accent1"/>
            </w:tcBorders>
          </w:tcPr>
          <w:p w14:paraId="64B748BB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0.38</w:t>
            </w:r>
          </w:p>
        </w:tc>
      </w:tr>
      <w:tr w:rsidR="00F56FB2" w:rsidRPr="00F56FB2" w14:paraId="65F6E04A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28B6AB60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IHD mortality</w:t>
            </w:r>
          </w:p>
        </w:tc>
        <w:tc>
          <w:tcPr>
            <w:tcW w:w="442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02D950A1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0.06</w:t>
            </w:r>
          </w:p>
        </w:tc>
      </w:tr>
      <w:tr w:rsidR="00F56FB2" w:rsidRPr="00F56FB2" w14:paraId="1084C5CA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B0772BE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4423" w:type="dxa"/>
          </w:tcPr>
          <w:p w14:paraId="77C9B72A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0.14</w:t>
            </w:r>
          </w:p>
        </w:tc>
      </w:tr>
      <w:tr w:rsidR="00F56FB2" w:rsidRPr="00F56FB2" w14:paraId="3DF14DDD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4472C4" w:themeColor="accent1"/>
            </w:tcBorders>
          </w:tcPr>
          <w:p w14:paraId="50A48FDA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4423" w:type="dxa"/>
            <w:tcBorders>
              <w:bottom w:val="single" w:sz="8" w:space="0" w:color="4472C4" w:themeColor="accent1"/>
            </w:tcBorders>
          </w:tcPr>
          <w:p w14:paraId="542F843F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0.21</w:t>
            </w:r>
          </w:p>
        </w:tc>
      </w:tr>
      <w:tr w:rsidR="00F56FB2" w:rsidRPr="00F56FB2" w14:paraId="0A6A0E45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6D44DD1E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AMI mortality</w:t>
            </w:r>
          </w:p>
        </w:tc>
        <w:tc>
          <w:tcPr>
            <w:tcW w:w="442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05E3ACD5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0.78</w:t>
            </w:r>
          </w:p>
        </w:tc>
      </w:tr>
      <w:tr w:rsidR="00F56FB2" w:rsidRPr="00F56FB2" w14:paraId="2BA737D0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1B22AF6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4423" w:type="dxa"/>
          </w:tcPr>
          <w:p w14:paraId="4B26D431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0.69</w:t>
            </w:r>
          </w:p>
        </w:tc>
      </w:tr>
      <w:tr w:rsidR="00F56FB2" w:rsidRPr="00F56FB2" w14:paraId="182A7DB0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4472C4" w:themeColor="accent1"/>
            </w:tcBorders>
          </w:tcPr>
          <w:p w14:paraId="49150280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4423" w:type="dxa"/>
            <w:tcBorders>
              <w:bottom w:val="single" w:sz="8" w:space="0" w:color="4472C4" w:themeColor="accent1"/>
            </w:tcBorders>
          </w:tcPr>
          <w:p w14:paraId="460DBD78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0.66</w:t>
            </w:r>
          </w:p>
        </w:tc>
      </w:tr>
      <w:tr w:rsidR="00F56FB2" w:rsidRPr="00F56FB2" w14:paraId="4A4A49BD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31247B4A" w14:textId="77777777" w:rsidR="00F56FB2" w:rsidRPr="00F56FB2" w:rsidRDefault="00F56FB2" w:rsidP="00F56FB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Incident AMI</w:t>
            </w:r>
          </w:p>
        </w:tc>
        <w:tc>
          <w:tcPr>
            <w:tcW w:w="442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5F9AA21E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6FB2">
              <w:rPr>
                <w:b/>
                <w:bCs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F56FB2" w:rsidRPr="00F56FB2" w14:paraId="638F0F8A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EFBC6A2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4423" w:type="dxa"/>
          </w:tcPr>
          <w:p w14:paraId="3BFFE8B4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0.53</w:t>
            </w:r>
          </w:p>
        </w:tc>
      </w:tr>
      <w:tr w:rsidR="00F56FB2" w:rsidRPr="00F56FB2" w14:paraId="485EFC20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4472C4" w:themeColor="accent1"/>
            </w:tcBorders>
          </w:tcPr>
          <w:p w14:paraId="02540C49" w14:textId="77777777" w:rsidR="00F56FB2" w:rsidRPr="00F56FB2" w:rsidRDefault="00F56FB2" w:rsidP="00F56FB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4423" w:type="dxa"/>
            <w:tcBorders>
              <w:bottom w:val="single" w:sz="8" w:space="0" w:color="4472C4" w:themeColor="accent1"/>
            </w:tcBorders>
          </w:tcPr>
          <w:p w14:paraId="6D67F641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6FB2">
              <w:rPr>
                <w:b/>
                <w:bCs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F56FB2" w:rsidRPr="00F56FB2" w14:paraId="00A5EF64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7EFB2060" w14:textId="77777777" w:rsidR="00F56FB2" w:rsidRPr="00F56FB2" w:rsidRDefault="00F56FB2" w:rsidP="00F56FB2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Cancer mortality</w:t>
            </w:r>
          </w:p>
        </w:tc>
        <w:tc>
          <w:tcPr>
            <w:tcW w:w="4423" w:type="dxa"/>
            <w:tcBorders>
              <w:bottom w:val="single" w:sz="4" w:space="0" w:color="BDD6EE" w:themeColor="accent5" w:themeTint="66"/>
            </w:tcBorders>
            <w:shd w:val="clear" w:color="auto" w:fill="DEEAF6" w:themeFill="accent5" w:themeFillTint="33"/>
          </w:tcPr>
          <w:p w14:paraId="03161165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0.59</w:t>
            </w:r>
          </w:p>
        </w:tc>
      </w:tr>
      <w:tr w:rsidR="00F56FB2" w:rsidRPr="00F56FB2" w14:paraId="49156CD0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8DD7C6F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4423" w:type="dxa"/>
          </w:tcPr>
          <w:p w14:paraId="63FBAC7F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0.32</w:t>
            </w:r>
          </w:p>
        </w:tc>
      </w:tr>
      <w:tr w:rsidR="00F56FB2" w:rsidRPr="00F56FB2" w14:paraId="2F1769A2" w14:textId="77777777" w:rsidTr="00E46F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4472C4" w:themeColor="accent1"/>
            </w:tcBorders>
          </w:tcPr>
          <w:p w14:paraId="55FC37E2" w14:textId="77777777" w:rsidR="00F56FB2" w:rsidRPr="00F56FB2" w:rsidRDefault="00F56FB2" w:rsidP="00F56FB2">
            <w:pPr>
              <w:spacing w:line="360" w:lineRule="auto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6FB2">
              <w:rPr>
                <w:b w:val="0"/>
                <w:bCs w:val="0"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4423" w:type="dxa"/>
            <w:tcBorders>
              <w:bottom w:val="single" w:sz="8" w:space="0" w:color="4472C4" w:themeColor="accent1"/>
            </w:tcBorders>
          </w:tcPr>
          <w:p w14:paraId="47F8CE84" w14:textId="77777777" w:rsidR="00F56FB2" w:rsidRPr="00F56FB2" w:rsidRDefault="00F56FB2" w:rsidP="00F56FB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56FB2">
              <w:rPr>
                <w:color w:val="000000" w:themeColor="text1"/>
                <w:sz w:val="20"/>
                <w:szCs w:val="20"/>
              </w:rPr>
              <w:t>0.41</w:t>
            </w:r>
          </w:p>
        </w:tc>
      </w:tr>
    </w:tbl>
    <w:p w14:paraId="303C30DD" w14:textId="77777777" w:rsidR="00F56FB2" w:rsidRPr="00F56FB2" w:rsidRDefault="00F56FB2" w:rsidP="00F56FB2">
      <w:pPr>
        <w:rPr>
          <w:sz w:val="20"/>
          <w:szCs w:val="20"/>
        </w:rPr>
      </w:pPr>
      <w:r w:rsidRPr="00F56FB2">
        <w:rPr>
          <w:sz w:val="20"/>
          <w:szCs w:val="20"/>
          <w:vertAlign w:val="superscript"/>
        </w:rPr>
        <w:t>*</w:t>
      </w:r>
      <w:r w:rsidRPr="00F56FB2">
        <w:rPr>
          <w:sz w:val="20"/>
          <w:szCs w:val="20"/>
        </w:rPr>
        <w:t xml:space="preserve">Results are from the fully adjusted model, including following covariates: age, </w:t>
      </w:r>
      <w:r w:rsidRPr="00F56FB2">
        <w:rPr>
          <w:bCs/>
          <w:sz w:val="20"/>
          <w:szCs w:val="20"/>
        </w:rPr>
        <w:t>diabetes, hypertension, hypercholesterolaemia, smoking, BMI, Townsend deprivation index, and rate modifying medications (betablockers, non-dihydropyridine calcium channel blockers, oral nitrates, digoxin, flecainide, amiodarone). AMI: acute myocardial infarction; CVD: cardiovascular disease; IHD: ischaemic heart disease</w:t>
      </w:r>
    </w:p>
    <w:p w14:paraId="74EBEE3B" w14:textId="77777777" w:rsidR="00715AAE" w:rsidRDefault="00EB37D2"/>
    <w:sectPr w:rsidR="00715AAE" w:rsidSect="003B1439"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F56FB2"/>
    <w:rsid w:val="00010C22"/>
    <w:rsid w:val="00526037"/>
    <w:rsid w:val="00824FE2"/>
    <w:rsid w:val="008F34CD"/>
    <w:rsid w:val="00BB4548"/>
    <w:rsid w:val="00BC5FEF"/>
    <w:rsid w:val="00DC5DFD"/>
    <w:rsid w:val="00EB37D2"/>
    <w:rsid w:val="00F5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76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F56F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F56F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Raisi-Estabragh</dc:creator>
  <cp:keywords/>
  <dc:description/>
  <cp:lastModifiedBy>Vijayakumar M</cp:lastModifiedBy>
  <cp:revision>3</cp:revision>
  <dcterms:created xsi:type="dcterms:W3CDTF">2020-02-19T09:18:00Z</dcterms:created>
  <dcterms:modified xsi:type="dcterms:W3CDTF">2020-05-22T13:06:00Z</dcterms:modified>
</cp:coreProperties>
</file>