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98" w:rsidRPr="00314B96" w:rsidRDefault="006E3798" w:rsidP="006E3798">
      <w:pPr>
        <w:keepNext/>
        <w:tabs>
          <w:tab w:val="left" w:pos="1701"/>
        </w:tabs>
        <w:spacing w:after="0" w:line="480" w:lineRule="auto"/>
        <w:jc w:val="both"/>
        <w:rPr>
          <w:rFonts w:eastAsia="Arial" w:cs="Times New Roman"/>
          <w:b/>
          <w:szCs w:val="24"/>
          <w:lang w:val="en-US"/>
        </w:rPr>
      </w:pPr>
      <w:bookmarkStart w:id="0" w:name="_Hlk9583788"/>
      <w:bookmarkStart w:id="1" w:name="_GoBack"/>
      <w:bookmarkEnd w:id="1"/>
      <w:proofErr w:type="gramStart"/>
      <w:r w:rsidRPr="00314B96">
        <w:rPr>
          <w:rFonts w:eastAsia="Arial" w:cs="Times New Roman"/>
          <w:b/>
          <w:szCs w:val="24"/>
          <w:lang w:val="en-US"/>
        </w:rPr>
        <w:t>S2 Table.</w:t>
      </w:r>
      <w:proofErr w:type="gramEnd"/>
      <w:r w:rsidRPr="00314B96">
        <w:rPr>
          <w:rFonts w:eastAsia="Arial" w:cs="Times New Roman"/>
          <w:b/>
          <w:szCs w:val="24"/>
          <w:lang w:val="en-US"/>
        </w:rPr>
        <w:t xml:space="preserve"> Recommendations for the treatment of depression, extracted from clinical practice guidelines, listed for elaborating the synthesis published between January 2011 and April 2019: patients who did not respond or </w:t>
      </w:r>
      <w:bookmarkEnd w:id="0"/>
      <w:r w:rsidRPr="00314B96">
        <w:rPr>
          <w:rFonts w:eastAsia="Arial" w:cs="Times New Roman"/>
          <w:b/>
          <w:szCs w:val="24"/>
          <w:lang w:val="en-US"/>
        </w:rPr>
        <w:t>partially responded</w:t>
      </w:r>
    </w:p>
    <w:tbl>
      <w:tblPr>
        <w:tblW w:w="13551" w:type="dxa"/>
        <w:tblBorders>
          <w:top w:val="single" w:sz="4" w:space="0" w:color="auto"/>
          <w:bottom w:val="single" w:sz="4" w:space="0" w:color="auto"/>
        </w:tblBorders>
        <w:tblLook w:val="0400" w:firstRow="0" w:lastRow="0" w:firstColumn="0" w:lastColumn="0" w:noHBand="0" w:noVBand="1"/>
      </w:tblPr>
      <w:tblGrid>
        <w:gridCol w:w="6602"/>
        <w:gridCol w:w="1243"/>
        <w:gridCol w:w="1536"/>
        <w:gridCol w:w="2016"/>
        <w:gridCol w:w="2154"/>
      </w:tblGrid>
      <w:tr w:rsidR="006E3798" w:rsidRPr="00314B96" w:rsidTr="00B40D0B">
        <w:trPr>
          <w:trHeight w:val="758"/>
        </w:trPr>
        <w:tc>
          <w:tcPr>
            <w:tcW w:w="2480" w:type="pct"/>
            <w:tcBorders>
              <w:top w:val="single" w:sz="4" w:space="0" w:color="auto"/>
              <w:bottom w:val="single" w:sz="4" w:space="0" w:color="auto"/>
            </w:tcBorders>
            <w:vAlign w:val="center"/>
          </w:tcPr>
          <w:p w:rsidR="006E3798" w:rsidRPr="00314B96" w:rsidRDefault="006E3798" w:rsidP="00B40D0B">
            <w:pPr>
              <w:tabs>
                <w:tab w:val="left" w:pos="708"/>
              </w:tabs>
              <w:spacing w:after="0" w:line="480" w:lineRule="auto"/>
              <w:jc w:val="center"/>
              <w:rPr>
                <w:rFonts w:eastAsia="Arial" w:cs="Times New Roman"/>
                <w:b/>
                <w:szCs w:val="24"/>
                <w:lang w:val="en-US"/>
              </w:rPr>
            </w:pPr>
            <w:bookmarkStart w:id="2" w:name="_3rdcrjn" w:colFirst="0" w:colLast="0"/>
            <w:bookmarkEnd w:id="2"/>
            <w:r w:rsidRPr="00314B96">
              <w:rPr>
                <w:rFonts w:eastAsia="Arial" w:cs="Times New Roman"/>
                <w:b/>
                <w:szCs w:val="24"/>
                <w:lang w:val="en-US"/>
              </w:rPr>
              <w:t>Recommendations</w:t>
            </w:r>
          </w:p>
        </w:tc>
        <w:tc>
          <w:tcPr>
            <w:tcW w:w="456" w:type="pct"/>
            <w:tcBorders>
              <w:top w:val="single" w:sz="4" w:space="0" w:color="auto"/>
              <w:bottom w:val="single" w:sz="4" w:space="0" w:color="auto"/>
            </w:tcBorders>
            <w:vAlign w:val="center"/>
          </w:tcPr>
          <w:p w:rsidR="006E3798" w:rsidRPr="00314B96" w:rsidRDefault="006E3798" w:rsidP="00B40D0B">
            <w:pPr>
              <w:tabs>
                <w:tab w:val="left" w:pos="708"/>
              </w:tabs>
              <w:spacing w:after="0" w:line="480" w:lineRule="auto"/>
              <w:jc w:val="center"/>
              <w:rPr>
                <w:rFonts w:eastAsia="Arial" w:cs="Times New Roman"/>
                <w:b/>
                <w:szCs w:val="24"/>
                <w:lang w:val="en-US"/>
              </w:rPr>
            </w:pPr>
            <w:r w:rsidRPr="00314B96">
              <w:rPr>
                <w:rFonts w:eastAsia="Arial" w:cs="Times New Roman"/>
                <w:b/>
                <w:szCs w:val="24"/>
                <w:lang w:val="en-US"/>
              </w:rPr>
              <w:t>Clinical practice guidelines</w:t>
            </w:r>
          </w:p>
        </w:tc>
        <w:tc>
          <w:tcPr>
            <w:tcW w:w="600" w:type="pct"/>
            <w:tcBorders>
              <w:top w:val="single" w:sz="4" w:space="0" w:color="auto"/>
              <w:bottom w:val="single" w:sz="4" w:space="0" w:color="auto"/>
            </w:tcBorders>
            <w:vAlign w:val="center"/>
          </w:tcPr>
          <w:p w:rsidR="006E3798" w:rsidRPr="00314B96" w:rsidRDefault="006E3798" w:rsidP="00B40D0B">
            <w:pPr>
              <w:tabs>
                <w:tab w:val="left" w:pos="708"/>
              </w:tabs>
              <w:spacing w:after="0" w:line="480" w:lineRule="auto"/>
              <w:jc w:val="center"/>
              <w:rPr>
                <w:rFonts w:eastAsia="Arial" w:cs="Times New Roman"/>
                <w:b/>
                <w:szCs w:val="24"/>
                <w:lang w:val="en-US"/>
              </w:rPr>
            </w:pPr>
            <w:r w:rsidRPr="00314B96">
              <w:rPr>
                <w:rFonts w:eastAsia="Arial" w:cs="Times New Roman"/>
                <w:b/>
                <w:szCs w:val="24"/>
                <w:lang w:val="en-US"/>
              </w:rPr>
              <w:t>Evidence classification scale</w:t>
            </w:r>
          </w:p>
        </w:tc>
        <w:tc>
          <w:tcPr>
            <w:tcW w:w="615" w:type="pct"/>
            <w:tcBorders>
              <w:top w:val="single" w:sz="4" w:space="0" w:color="auto"/>
              <w:bottom w:val="single" w:sz="4" w:space="0" w:color="auto"/>
            </w:tcBorders>
            <w:vAlign w:val="center"/>
          </w:tcPr>
          <w:p w:rsidR="006E3798" w:rsidRPr="00314B96" w:rsidRDefault="006E3798" w:rsidP="00B40D0B">
            <w:pPr>
              <w:tabs>
                <w:tab w:val="left" w:pos="708"/>
              </w:tabs>
              <w:spacing w:after="0" w:line="480" w:lineRule="auto"/>
              <w:jc w:val="center"/>
              <w:rPr>
                <w:rFonts w:eastAsia="Arial" w:cs="Times New Roman"/>
                <w:b/>
                <w:szCs w:val="24"/>
                <w:lang w:val="en-US"/>
              </w:rPr>
            </w:pPr>
            <w:r w:rsidRPr="00314B96">
              <w:rPr>
                <w:rFonts w:eastAsia="Arial" w:cs="Times New Roman"/>
                <w:b/>
                <w:szCs w:val="24"/>
                <w:lang w:val="en-US"/>
              </w:rPr>
              <w:t>Recommendation strength</w:t>
            </w:r>
          </w:p>
        </w:tc>
        <w:tc>
          <w:tcPr>
            <w:tcW w:w="849" w:type="pct"/>
            <w:tcBorders>
              <w:top w:val="single" w:sz="4" w:space="0" w:color="auto"/>
              <w:bottom w:val="single" w:sz="4" w:space="0" w:color="auto"/>
            </w:tcBorders>
            <w:vAlign w:val="center"/>
          </w:tcPr>
          <w:p w:rsidR="006E3798" w:rsidRPr="00314B96" w:rsidRDefault="006E3798" w:rsidP="00B40D0B">
            <w:pPr>
              <w:tabs>
                <w:tab w:val="left" w:pos="708"/>
              </w:tabs>
              <w:spacing w:after="0" w:line="480" w:lineRule="auto"/>
              <w:jc w:val="center"/>
              <w:rPr>
                <w:rFonts w:eastAsia="Arial" w:cs="Times New Roman"/>
                <w:b/>
                <w:szCs w:val="24"/>
                <w:lang w:val="en-US"/>
              </w:rPr>
            </w:pPr>
            <w:r w:rsidRPr="00314B96">
              <w:rPr>
                <w:rFonts w:eastAsia="Arial" w:cs="Times New Roman"/>
                <w:b/>
                <w:szCs w:val="24"/>
                <w:lang w:val="en-US"/>
              </w:rPr>
              <w:t>Level of evidence</w:t>
            </w:r>
          </w:p>
        </w:tc>
      </w:tr>
      <w:tr w:rsidR="006E3798" w:rsidRPr="00314B96" w:rsidTr="00B40D0B">
        <w:trPr>
          <w:trHeight w:val="80"/>
        </w:trPr>
        <w:tc>
          <w:tcPr>
            <w:tcW w:w="5000" w:type="pct"/>
            <w:gridSpan w:val="5"/>
            <w:tcBorders>
              <w:top w:val="single" w:sz="4" w:space="0" w:color="auto"/>
              <w:bottom w:val="single" w:sz="4" w:space="0" w:color="auto"/>
            </w:tcBorders>
            <w:shd w:val="clear" w:color="auto" w:fill="auto"/>
            <w:vAlign w:val="center"/>
          </w:tcPr>
          <w:p w:rsidR="006E3798" w:rsidRPr="00314B96" w:rsidRDefault="006E3798" w:rsidP="00B40D0B">
            <w:pPr>
              <w:spacing w:after="0" w:line="480" w:lineRule="auto"/>
              <w:jc w:val="center"/>
              <w:rPr>
                <w:rFonts w:cs="Times New Roman"/>
                <w:b/>
                <w:szCs w:val="24"/>
                <w:lang w:val="en-US"/>
              </w:rPr>
            </w:pPr>
            <w:r w:rsidRPr="00314B96">
              <w:rPr>
                <w:rFonts w:cs="Times New Roman"/>
                <w:b/>
                <w:szCs w:val="24"/>
                <w:lang w:val="en-US"/>
              </w:rPr>
              <w:t>PATIENTS WHO DID NOT RESPOND OR SHOWED PARTIAL RESPONSE</w:t>
            </w:r>
          </w:p>
        </w:tc>
      </w:tr>
      <w:tr w:rsidR="006E3798" w:rsidRPr="00314B96" w:rsidTr="00B40D0B">
        <w:trPr>
          <w:trHeight w:val="80"/>
        </w:trPr>
        <w:tc>
          <w:tcPr>
            <w:tcW w:w="5000" w:type="pct"/>
            <w:gridSpan w:val="5"/>
            <w:tcBorders>
              <w:top w:val="single" w:sz="4" w:space="0" w:color="auto"/>
              <w:bottom w:val="single" w:sz="4" w:space="0" w:color="auto"/>
            </w:tcBorders>
            <w:shd w:val="clear" w:color="auto" w:fill="FFFFFF" w:themeFill="background1"/>
            <w:vAlign w:val="center"/>
          </w:tcPr>
          <w:p w:rsidR="006E3798" w:rsidRPr="00314B96" w:rsidRDefault="006E3798" w:rsidP="00B40D0B">
            <w:pPr>
              <w:spacing w:after="0" w:line="480" w:lineRule="auto"/>
              <w:jc w:val="center"/>
              <w:rPr>
                <w:rFonts w:cs="Times New Roman"/>
                <w:b/>
                <w:szCs w:val="24"/>
                <w:lang w:val="en-US"/>
              </w:rPr>
            </w:pPr>
            <w:r w:rsidRPr="00314B96">
              <w:rPr>
                <w:rFonts w:cs="Times New Roman"/>
                <w:b/>
                <w:szCs w:val="24"/>
                <w:lang w:val="en-US"/>
              </w:rPr>
              <w:t>ANALYSIS OF CONTRIBUTING FACTORS</w:t>
            </w:r>
          </w:p>
        </w:tc>
      </w:tr>
      <w:tr w:rsidR="006E3798" w:rsidRPr="00314B96" w:rsidTr="00B40D0B">
        <w:trPr>
          <w:trHeight w:val="20"/>
        </w:trPr>
        <w:tc>
          <w:tcPr>
            <w:tcW w:w="2480" w:type="pct"/>
            <w:vMerge w:val="restart"/>
            <w:tcBorders>
              <w:top w:val="single" w:sz="4" w:space="0" w:color="auto"/>
            </w:tcBorders>
            <w:vAlign w:val="center"/>
          </w:tcPr>
          <w:p w:rsidR="006E3798" w:rsidRPr="00314B96" w:rsidRDefault="006E3798" w:rsidP="00B40D0B">
            <w:pPr>
              <w:widowControl w:val="0"/>
              <w:spacing w:after="0" w:line="480" w:lineRule="auto"/>
              <w:rPr>
                <w:rFonts w:eastAsia="Arial" w:cs="Times New Roman"/>
                <w:szCs w:val="24"/>
                <w:vertAlign w:val="superscript"/>
                <w:lang w:val="en-US"/>
              </w:rPr>
            </w:pPr>
            <w:r w:rsidRPr="00314B96">
              <w:rPr>
                <w:rFonts w:eastAsia="Arial" w:cs="Times New Roman"/>
                <w:szCs w:val="24"/>
                <w:lang w:val="en-US"/>
              </w:rPr>
              <w:t>Check adherence to treatment and prescribed dosage in patients who did not respond satisfactorily to interventions.</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[5] mentions a 2–4-week period assessing the response to interventions.</w:t>
            </w:r>
          </w:p>
        </w:tc>
        <w:tc>
          <w:tcPr>
            <w:tcW w:w="456"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28"/>
        </w:trPr>
        <w:tc>
          <w:tcPr>
            <w:tcW w:w="2480" w:type="pct"/>
            <w:vMerge/>
            <w:vAlign w:val="center"/>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vertAlign w:val="superscript"/>
                <w:lang w:val="en-US"/>
              </w:rPr>
            </w:pPr>
            <w:r w:rsidRPr="00314B96">
              <w:rPr>
                <w:rFonts w:eastAsia="Arial" w:cs="Times New Roman"/>
                <w:szCs w:val="24"/>
                <w:lang w:val="en-US"/>
              </w:rPr>
              <w:t>The physician should assess all patients for the presence of factors that indicate a bad response to adjust follow-up and alter the treatment for depression.</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[4]: Disorders that are predictors of a bad response are personality disorders, suicidal intent, comorbidities, high body mass index, unemployment, physical pain, and chronic depression.</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Check duration, frequency, and dosage of the drug administered for assessing the adequacy of the intervention.</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If the symptoms do not improve in 4–8 weeks, re-evaluate—</w:t>
            </w:r>
            <w:r w:rsidRPr="00314B96">
              <w:rPr>
                <w:rFonts w:eastAsia="Arial" w:cs="Times New Roman"/>
                <w:szCs w:val="24"/>
                <w:lang w:val="en-US"/>
              </w:rPr>
              <w:lastRenderedPageBreak/>
              <w:t>diagnosis, comorbidity complications, psychosocial factors, therapeutic alliance, and adherence—and modify treatment.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 xml:space="preserve">MODIFIED </w:t>
            </w:r>
            <w:r w:rsidRPr="00314B96">
              <w:rPr>
                <w:rFonts w:eastAsia="Arial" w:cs="Times New Roman"/>
                <w:szCs w:val="24"/>
                <w:lang w:val="en-US"/>
              </w:rPr>
              <w:lastRenderedPageBreak/>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 xml:space="preserve">Recommended </w:t>
            </w:r>
            <w:r w:rsidRPr="00314B96">
              <w:rPr>
                <w:rFonts w:eastAsia="Arial" w:cs="Times New Roman"/>
                <w:szCs w:val="24"/>
                <w:lang w:val="en-US"/>
              </w:rPr>
              <w:lastRenderedPageBreak/>
              <w:t>with significant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lastRenderedPageBreak/>
              <w:t>If there is no improvement in 2–4 weeks, change the treatment plan (increase dosage or replace drug).</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While </w:t>
            </w:r>
            <w:proofErr w:type="spellStart"/>
            <w:r w:rsidRPr="00314B96">
              <w:rPr>
                <w:rFonts w:eastAsia="Arial" w:cs="Times New Roman"/>
                <w:szCs w:val="24"/>
                <w:lang w:val="en-US"/>
              </w:rPr>
              <w:t>analysing</w:t>
            </w:r>
            <w:proofErr w:type="spellEnd"/>
            <w:r w:rsidRPr="00314B96">
              <w:rPr>
                <w:rFonts w:eastAsia="Arial" w:cs="Times New Roman"/>
                <w:szCs w:val="24"/>
                <w:lang w:val="en-US"/>
              </w:rPr>
              <w:t xml:space="preserve"> pharmaceutical treatment for a person with depression whose symptoms did not adequately respond to the initial pharmacological interventions, check for adverse effects.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Borders>
              <w:bottom w:val="single" w:sz="4" w:space="0" w:color="auto"/>
            </w:tcBorders>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80"/>
        </w:trPr>
        <w:tc>
          <w:tcPr>
            <w:tcW w:w="5000" w:type="pct"/>
            <w:gridSpan w:val="5"/>
            <w:tcBorders>
              <w:top w:val="single" w:sz="4" w:space="0" w:color="auto"/>
              <w:bottom w:val="single" w:sz="4" w:space="0" w:color="auto"/>
            </w:tcBorders>
            <w:shd w:val="clear" w:color="auto" w:fill="FFFFFF" w:themeFill="background1"/>
            <w:vAlign w:val="center"/>
          </w:tcPr>
          <w:p w:rsidR="006E3798" w:rsidRPr="00314B96" w:rsidRDefault="006E3798" w:rsidP="00B40D0B">
            <w:pPr>
              <w:spacing w:after="0" w:line="480" w:lineRule="auto"/>
              <w:jc w:val="center"/>
              <w:rPr>
                <w:rFonts w:cs="Times New Roman"/>
                <w:b/>
                <w:szCs w:val="24"/>
                <w:lang w:val="en-US"/>
              </w:rPr>
            </w:pPr>
            <w:r w:rsidRPr="00314B96">
              <w:rPr>
                <w:rFonts w:cs="Times New Roman"/>
                <w:b/>
                <w:szCs w:val="24"/>
                <w:lang w:val="en-US"/>
              </w:rPr>
              <w:t>TREATMENT STRATEGIES</w:t>
            </w:r>
          </w:p>
        </w:tc>
      </w:tr>
      <w:tr w:rsidR="006E3798" w:rsidRPr="00314B96" w:rsidTr="00B40D0B">
        <w:trPr>
          <w:trHeight w:val="420"/>
        </w:trPr>
        <w:tc>
          <w:tcPr>
            <w:tcW w:w="2480" w:type="pct"/>
            <w:vMerge w:val="restart"/>
            <w:tcBorders>
              <w:top w:val="single" w:sz="4" w:space="0" w:color="auto"/>
            </w:tcBorders>
            <w:vAlign w:val="center"/>
          </w:tcPr>
          <w:p w:rsidR="006E3798" w:rsidRPr="00314B96" w:rsidRDefault="006E3798" w:rsidP="00B40D0B">
            <w:pPr>
              <w:widowControl w:val="0"/>
              <w:spacing w:after="0" w:line="480" w:lineRule="auto"/>
              <w:rPr>
                <w:rFonts w:eastAsia="Arial" w:cs="Times New Roman"/>
                <w:color w:val="F79646" w:themeColor="accent6"/>
                <w:szCs w:val="24"/>
                <w:lang w:val="en-US"/>
              </w:rPr>
            </w:pPr>
            <w:r w:rsidRPr="00314B96">
              <w:rPr>
                <w:rFonts w:eastAsia="Arial" w:cs="Times New Roman"/>
                <w:szCs w:val="24"/>
                <w:lang w:val="en-US"/>
              </w:rPr>
              <w:t>For patients who did not respond to drugs or psychological interventions, combine psychotherapy with drugs.</w:t>
            </w:r>
          </w:p>
        </w:tc>
        <w:tc>
          <w:tcPr>
            <w:tcW w:w="456"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380"/>
        </w:trPr>
        <w:tc>
          <w:tcPr>
            <w:tcW w:w="2480" w:type="pct"/>
            <w:vMerge/>
            <w:vAlign w:val="center"/>
          </w:tcPr>
          <w:p w:rsidR="006E3798" w:rsidRPr="00314B96" w:rsidRDefault="006E3798" w:rsidP="00B40D0B">
            <w:pPr>
              <w:widowControl w:val="0"/>
              <w:pBdr>
                <w:top w:val="nil"/>
                <w:left w:val="nil"/>
                <w:bottom w:val="nil"/>
                <w:right w:val="nil"/>
                <w:between w:val="nil"/>
              </w:pBdr>
              <w:spacing w:after="0" w:line="480" w:lineRule="auto"/>
              <w:rPr>
                <w:rFonts w:eastAsia="Arial" w:cs="Times New Roman"/>
                <w:color w:val="F79646" w:themeColor="accent6"/>
                <w:szCs w:val="24"/>
                <w:lang w:val="en-US"/>
              </w:rPr>
            </w:pPr>
          </w:p>
        </w:tc>
        <w:tc>
          <w:tcPr>
            <w:tcW w:w="456" w:type="pct"/>
            <w:shd w:val="clear" w:color="auto" w:fill="auto"/>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For people with mild depression who did not benefit from low-intensity psychosocial intervention, provide an antidepressant or a high-intensity psychological intervention.</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While reviewing the pharmacological treatment, be aware that using a single antidepressant rather than a combination of drugs or augmentation agents is usually linked to a lower risk of adverse effects.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In patients who did not respond to the initial pharmacological interventions in 3–4 weeks, consider reintroducing prior treatments that showed high adherence by the patient, and </w:t>
            </w:r>
            <w:r w:rsidRPr="00314B96">
              <w:rPr>
                <w:rFonts w:eastAsia="Arial" w:cs="Times New Roman"/>
                <w:szCs w:val="24"/>
                <w:lang w:val="en-US"/>
              </w:rPr>
              <w:lastRenderedPageBreak/>
              <w:t>increase the level of support (in person and over the phone).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Borders>
              <w:bottom w:val="single" w:sz="4" w:space="0" w:color="auto"/>
            </w:tcBorders>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lastRenderedPageBreak/>
              <w:t>If during the third week of treatment the patient’s symptoms have not improved despite proper adherence, increase the dosage or replace the drug.</w:t>
            </w:r>
          </w:p>
        </w:tc>
        <w:tc>
          <w:tcPr>
            <w:tcW w:w="456"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80"/>
        </w:trPr>
        <w:tc>
          <w:tcPr>
            <w:tcW w:w="5000" w:type="pct"/>
            <w:gridSpan w:val="5"/>
            <w:tcBorders>
              <w:top w:val="single" w:sz="4" w:space="0" w:color="auto"/>
              <w:bottom w:val="single" w:sz="4" w:space="0" w:color="auto"/>
            </w:tcBorders>
            <w:shd w:val="clear" w:color="auto" w:fill="FFFFFF" w:themeFill="background1"/>
            <w:vAlign w:val="center"/>
          </w:tcPr>
          <w:p w:rsidR="006E3798" w:rsidRPr="00314B96" w:rsidRDefault="006E3798" w:rsidP="00B40D0B">
            <w:pPr>
              <w:spacing w:after="0" w:line="480" w:lineRule="auto"/>
              <w:jc w:val="center"/>
              <w:rPr>
                <w:rFonts w:cs="Times New Roman"/>
                <w:b/>
                <w:szCs w:val="24"/>
                <w:lang w:val="en-US"/>
              </w:rPr>
            </w:pPr>
            <w:r w:rsidRPr="00314B96">
              <w:rPr>
                <w:rFonts w:cs="Times New Roman"/>
                <w:b/>
                <w:szCs w:val="24"/>
                <w:lang w:val="en-US"/>
              </w:rPr>
              <w:t>ADJUSTING THE DOSAGE OF DRUGS</w:t>
            </w:r>
          </w:p>
        </w:tc>
      </w:tr>
      <w:tr w:rsidR="006E3798" w:rsidRPr="00314B96" w:rsidTr="00B40D0B">
        <w:trPr>
          <w:trHeight w:val="20"/>
        </w:trPr>
        <w:tc>
          <w:tcPr>
            <w:tcW w:w="2480" w:type="pct"/>
            <w:vMerge w:val="restart"/>
            <w:tcBorders>
              <w:top w:val="single" w:sz="4" w:space="0" w:color="auto"/>
            </w:tcBorders>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Once antidepressant drugs have been initiated, gradual dosage adjustment should depend on the patient’s age, the presence of comorbidities, concomitant drug treatment, and adverse effects caused by the drugs.</w:t>
            </w:r>
          </w:p>
        </w:tc>
        <w:tc>
          <w:tcPr>
            <w:tcW w:w="456"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color w:val="7030A0"/>
                <w:szCs w:val="24"/>
                <w:lang w:val="en-US"/>
              </w:rPr>
            </w:pPr>
            <w:r w:rsidRPr="00314B96">
              <w:rPr>
                <w:rFonts w:eastAsia="Arial" w:cs="Times New Roman"/>
                <w:szCs w:val="24"/>
                <w:lang w:val="en-US"/>
              </w:rPr>
              <w:t>[6]</w:t>
            </w:r>
          </w:p>
        </w:tc>
        <w:tc>
          <w:tcPr>
            <w:tcW w:w="600"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color w:val="7030A0"/>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ign w:val="center"/>
          </w:tcPr>
          <w:p w:rsidR="006E3798" w:rsidRPr="00314B96" w:rsidRDefault="006E3798" w:rsidP="00B40D0B">
            <w:pPr>
              <w:widowControl w:val="0"/>
              <w:pBdr>
                <w:top w:val="nil"/>
                <w:left w:val="nil"/>
                <w:bottom w:val="nil"/>
                <w:right w:val="nil"/>
                <w:between w:val="nil"/>
              </w:pBdr>
              <w:spacing w:after="0" w:line="480" w:lineRule="auto"/>
              <w:rPr>
                <w:rFonts w:eastAsia="Arial" w:cs="Times New Roman"/>
                <w:color w:val="7030A0"/>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The authors recommended gradually increasing the dosages of selective serotonin reuptake inhibitors in patients who do not respond to lower dosages.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Increasing the dosage of tricyclics or monoamine oxidase inhibitors may improve the response.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For patients who are taking tricyclic antidepressants, monitoring the blood levels of the drugs can help determine whether additional dosage adjustments are required.</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vAlign w:val="center"/>
          </w:tcPr>
          <w:p w:rsidR="006E3798" w:rsidRPr="00314B96" w:rsidRDefault="006E3798" w:rsidP="00B40D0B">
            <w:pPr>
              <w:widowControl w:val="0"/>
              <w:spacing w:after="0" w:line="480" w:lineRule="auto"/>
              <w:rPr>
                <w:rFonts w:eastAsia="Arial" w:cs="Times New Roman"/>
                <w:szCs w:val="24"/>
                <w:vertAlign w:val="superscript"/>
                <w:lang w:val="en-US"/>
              </w:rPr>
            </w:pPr>
            <w:r w:rsidRPr="00314B96">
              <w:rPr>
                <w:rFonts w:eastAsia="Arial" w:cs="Times New Roman"/>
                <w:szCs w:val="24"/>
                <w:lang w:val="en-US"/>
              </w:rPr>
              <w:t>Consider increasing the dosage of the prescribed drugs if the response is inadequate.</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[5] recommends this if the response is minimal or absent in a 3–4-week period.</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ign w:val="center"/>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ign w:val="center"/>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ign w:val="center"/>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ign w:val="center"/>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ign w:val="center"/>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[7]</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bookmarkStart w:id="3" w:name="_26in1rg" w:colFirst="0" w:colLast="0"/>
            <w:bookmarkEnd w:id="3"/>
            <w:r w:rsidRPr="00314B96">
              <w:rPr>
                <w:rFonts w:eastAsia="Arial" w:cs="Times New Roman"/>
                <w:szCs w:val="24"/>
                <w:lang w:val="en-US"/>
              </w:rPr>
              <w:t>Highly recommended</w:t>
            </w:r>
          </w:p>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Based on good-quality studies</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Systematic reviews, meta-analyses, randomized trials, and health technology assessment reports</w:t>
            </w:r>
          </w:p>
        </w:tc>
      </w:tr>
      <w:tr w:rsidR="006E3798" w:rsidRPr="00314B96" w:rsidTr="00B40D0B">
        <w:trPr>
          <w:trHeight w:val="320"/>
        </w:trPr>
        <w:tc>
          <w:tcPr>
            <w:tcW w:w="2480" w:type="pct"/>
            <w:vMerge w:val="restar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For patients who require changes in the treatment plan, optimizing the dosage is a possibility.</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[6</w:t>
            </w:r>
            <w:proofErr w:type="gramStart"/>
            <w:r w:rsidRPr="00314B96">
              <w:rPr>
                <w:rFonts w:eastAsia="Arial" w:cs="Times New Roman"/>
                <w:szCs w:val="24"/>
                <w:lang w:val="en-US"/>
              </w:rPr>
              <w:t>,7</w:t>
            </w:r>
            <w:proofErr w:type="gramEnd"/>
            <w:r w:rsidRPr="00314B96">
              <w:rPr>
                <w:rFonts w:eastAsia="Arial" w:cs="Times New Roman"/>
                <w:szCs w:val="24"/>
                <w:lang w:val="en-US"/>
              </w:rPr>
              <w:t>] recommend this only if the adverse effects are tolerable.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[7]</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Highly recommended</w:t>
            </w:r>
          </w:p>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Based on good-quality studies</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Systematic reviews, meta-analyses, randomized trials, and health technology assessment reports</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If drugs are prescribed, the psychiatrist must determine whether pharmacokinetic factors suggest the need to adjust the dosages of the drugs.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Borders>
              <w:bottom w:val="single" w:sz="4" w:space="0" w:color="auto"/>
            </w:tcBorders>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If drugs are prescribed, the psychiatrist must determine whether </w:t>
            </w:r>
            <w:proofErr w:type="spellStart"/>
            <w:r w:rsidRPr="00314B96">
              <w:rPr>
                <w:rFonts w:eastAsia="Arial" w:cs="Times New Roman"/>
                <w:szCs w:val="24"/>
                <w:lang w:val="en-US"/>
              </w:rPr>
              <w:t>pharmacodynamic</w:t>
            </w:r>
            <w:proofErr w:type="spellEnd"/>
            <w:r w:rsidRPr="00314B96">
              <w:rPr>
                <w:rFonts w:eastAsia="Arial" w:cs="Times New Roman"/>
                <w:szCs w:val="24"/>
                <w:lang w:val="en-US"/>
              </w:rPr>
              <w:t xml:space="preserve"> factors suggest the need to adjust the dosages of the drugs.</w:t>
            </w:r>
          </w:p>
        </w:tc>
        <w:tc>
          <w:tcPr>
            <w:tcW w:w="456"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bookmarkStart w:id="4" w:name="_lnxbz9" w:colFirst="0" w:colLast="0"/>
            <w:bookmarkEnd w:id="4"/>
            <w:r w:rsidRPr="00314B96">
              <w:rPr>
                <w:rFonts w:eastAsia="Arial" w:cs="Times New Roman"/>
                <w:szCs w:val="24"/>
                <w:lang w:val="en-US"/>
              </w:rPr>
              <w:t xml:space="preserve">Can be recommended according to individual </w:t>
            </w:r>
            <w:r w:rsidRPr="00314B96">
              <w:rPr>
                <w:rFonts w:eastAsia="Arial" w:cs="Times New Roman"/>
                <w:szCs w:val="24"/>
                <w:lang w:val="en-US"/>
              </w:rPr>
              <w:lastRenderedPageBreak/>
              <w:t>circumstances</w:t>
            </w:r>
          </w:p>
        </w:tc>
        <w:tc>
          <w:tcPr>
            <w:tcW w:w="849"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_</w:t>
            </w:r>
          </w:p>
        </w:tc>
      </w:tr>
      <w:tr w:rsidR="006E3798" w:rsidRPr="00314B96" w:rsidTr="00B40D0B">
        <w:trPr>
          <w:trHeight w:val="80"/>
        </w:trPr>
        <w:tc>
          <w:tcPr>
            <w:tcW w:w="5000" w:type="pct"/>
            <w:gridSpan w:val="5"/>
            <w:tcBorders>
              <w:top w:val="single" w:sz="4" w:space="0" w:color="auto"/>
              <w:bottom w:val="single" w:sz="4" w:space="0" w:color="auto"/>
            </w:tcBorders>
            <w:vAlign w:val="center"/>
          </w:tcPr>
          <w:p w:rsidR="006E3798" w:rsidRPr="00314B96" w:rsidRDefault="006E3798" w:rsidP="00B40D0B">
            <w:pPr>
              <w:spacing w:after="0" w:line="480" w:lineRule="auto"/>
              <w:jc w:val="center"/>
              <w:rPr>
                <w:rFonts w:cs="Times New Roman"/>
                <w:b/>
                <w:szCs w:val="24"/>
                <w:lang w:val="en-US"/>
              </w:rPr>
            </w:pPr>
            <w:bookmarkStart w:id="5" w:name="_35nkun2" w:colFirst="0" w:colLast="0"/>
            <w:bookmarkEnd w:id="5"/>
            <w:r w:rsidRPr="00314B96">
              <w:rPr>
                <w:rFonts w:cs="Times New Roman"/>
                <w:b/>
                <w:szCs w:val="24"/>
                <w:lang w:val="en-US"/>
              </w:rPr>
              <w:lastRenderedPageBreak/>
              <w:t>CHANGING DRUGS</w:t>
            </w:r>
          </w:p>
        </w:tc>
      </w:tr>
      <w:tr w:rsidR="006E3798" w:rsidRPr="00314B96" w:rsidTr="00B40D0B">
        <w:trPr>
          <w:trHeight w:val="20"/>
        </w:trPr>
        <w:tc>
          <w:tcPr>
            <w:tcW w:w="2480" w:type="pct"/>
            <w:vMerge w:val="restart"/>
            <w:tcBorders>
              <w:top w:val="single" w:sz="4" w:space="0" w:color="auto"/>
            </w:tcBorders>
            <w:vAlign w:val="center"/>
          </w:tcPr>
          <w:p w:rsidR="006E3798" w:rsidRPr="00314B96" w:rsidRDefault="006E3798" w:rsidP="00B40D0B">
            <w:pPr>
              <w:widowControl w:val="0"/>
              <w:spacing w:after="0" w:line="480" w:lineRule="auto"/>
              <w:rPr>
                <w:rFonts w:eastAsia="Arial" w:cs="Times New Roman"/>
                <w:szCs w:val="24"/>
                <w:lang w:val="en-US"/>
              </w:rPr>
            </w:pPr>
            <w:bookmarkStart w:id="6" w:name="_1ksv4uv" w:colFirst="0" w:colLast="0"/>
            <w:bookmarkEnd w:id="6"/>
            <w:r w:rsidRPr="00314B96">
              <w:rPr>
                <w:rFonts w:eastAsia="Arial" w:cs="Times New Roman"/>
                <w:szCs w:val="24"/>
                <w:lang w:val="en-US"/>
              </w:rPr>
              <w:t xml:space="preserve">In patients who did not respond to the initial pharmacological interventions, consider changing the antidepressant. </w:t>
            </w:r>
          </w:p>
        </w:tc>
        <w:tc>
          <w:tcPr>
            <w:tcW w:w="456"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[7]</w:t>
            </w:r>
          </w:p>
        </w:tc>
        <w:tc>
          <w:tcPr>
            <w:tcW w:w="600"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Highly recommended</w:t>
            </w:r>
          </w:p>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Based on good-quality studies</w:t>
            </w:r>
          </w:p>
        </w:tc>
        <w:tc>
          <w:tcPr>
            <w:tcW w:w="849"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Systematic reviews, meta-analyses, randomized trials, and health technology assessment reports</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170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Consider switching to another antidepressant under the following circumstances:</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 current medication is the first antidepressant tried.</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There are ill tolerated adverse events from the initial antidepressant.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There is no response (&lt; 4% of improvement) for the initial antidepressant.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There is more time to wait for a response (less serious and less functional deficit).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lastRenderedPageBreak/>
              <w:t>*</w:t>
            </w:r>
            <w:r w:rsidRPr="00314B96">
              <w:rPr>
                <w:rFonts w:eastAsia="Arial" w:cs="Times New Roman"/>
                <w:szCs w:val="24"/>
                <w:lang w:val="en-US"/>
              </w:rPr>
              <w:t>The patient prefers to change to another antidepressant.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3</w:t>
            </w:r>
          </w:p>
        </w:tc>
      </w:tr>
      <w:tr w:rsidR="006E3798" w:rsidRPr="00314B96" w:rsidTr="00B40D0B">
        <w:trPr>
          <w:trHeight w:val="54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bookmarkStart w:id="7" w:name="_44sinio" w:colFirst="0" w:colLast="0"/>
            <w:bookmarkEnd w:id="7"/>
            <w:r w:rsidRPr="00314B96">
              <w:rPr>
                <w:rFonts w:eastAsia="Arial" w:cs="Times New Roman"/>
                <w:szCs w:val="24"/>
                <w:lang w:val="en-US"/>
              </w:rPr>
              <w:lastRenderedPageBreak/>
              <w:t>If the depression does not improve within 4 weeks, continue treatment for a further of 2 weeks and consider changing the antidepressant.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If the depression shows improvement in 4 weeks, continue treatment for 2–4 weeks. Consider changing the antidepressant if the response is still inadequate, there are adverse events, or the person prefers to replace the treatment.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The antidepressants can be switched within the same class or between different classes.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For patients that do not respond to the selective serotonin reuptake inhibitor, replace with noradrenaline selective inhibitor.</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680"/>
        </w:trPr>
        <w:tc>
          <w:tcPr>
            <w:tcW w:w="2480" w:type="pct"/>
            <w:vMerge w:val="restar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While changing the antidepressant, be aware that the evidence of the relative advantage of changing within or between classes is weak. Consider changing to a different selective serotonin reuptake inhibitor initially or a better tolerated antidepressant from a more recent generation; subsequently, use an antidepressant from a different pharmacological class that can be less well tolerated; for example, venlafaxine, a tricyclic </w:t>
            </w:r>
            <w:r w:rsidRPr="00314B96">
              <w:rPr>
                <w:rFonts w:eastAsia="Arial" w:cs="Times New Roman"/>
                <w:szCs w:val="24"/>
                <w:lang w:val="en-US"/>
              </w:rPr>
              <w:lastRenderedPageBreak/>
              <w:t>antidepressant, or monoamine oxidase inhibitor.</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68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bookmarkStart w:id="8" w:name="_2jxsxqh" w:colFirst="0" w:colLast="0"/>
            <w:bookmarkEnd w:id="8"/>
            <w:r w:rsidRPr="00314B96">
              <w:rPr>
                <w:rFonts w:eastAsia="Arial" w:cs="Times New Roman"/>
                <w:szCs w:val="24"/>
                <w:lang w:val="en-US"/>
              </w:rPr>
              <w:lastRenderedPageBreak/>
              <w:t>Consider possible drug interactions while changing antidepressants.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bookmarkStart w:id="9" w:name="_z337ya" w:colFirst="0" w:colLast="0"/>
            <w:bookmarkEnd w:id="9"/>
            <w:r w:rsidRPr="00314B96">
              <w:rPr>
                <w:rFonts w:eastAsia="Arial" w:cs="Times New Roman"/>
                <w:szCs w:val="24"/>
                <w:lang w:val="en-US"/>
              </w:rPr>
              <w:t>While changing to an irreversible monoamine oxidase inhibitor, do not routinely prescribe other antidepressants for a time</w:t>
            </w:r>
            <w:r w:rsidRPr="00314B96">
              <w:rPr>
                <w:rFonts w:eastAsia="Arial" w:cs="Times New Roman"/>
                <w:szCs w:val="24"/>
                <w:vertAlign w:val="superscript"/>
                <w:lang w:val="en-US"/>
              </w:rPr>
              <w:t>*</w:t>
            </w:r>
            <w:r w:rsidRPr="00314B96">
              <w:rPr>
                <w:rFonts w:eastAsia="Arial" w:cs="Times New Roman"/>
                <w:szCs w:val="24"/>
                <w:lang w:val="en-US"/>
              </w:rPr>
              <w:t>to avoid drug interactions.</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[4</w:t>
            </w:r>
            <w:proofErr w:type="gramStart"/>
            <w:r w:rsidRPr="00314B96">
              <w:rPr>
                <w:rFonts w:eastAsia="Arial" w:cs="Times New Roman"/>
                <w:szCs w:val="24"/>
                <w:lang w:val="en-US"/>
              </w:rPr>
              <w:t>,5</w:t>
            </w:r>
            <w:proofErr w:type="gramEnd"/>
            <w:r w:rsidRPr="00314B96">
              <w:rPr>
                <w:rFonts w:eastAsia="Arial" w:cs="Times New Roman"/>
                <w:szCs w:val="24"/>
                <w:lang w:val="en-US"/>
              </w:rPr>
              <w:t>] specify that the time mentioned is 2 weeks.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Be particularly careful when changing from fluoxetine to other antidepressants because it has a long half-life.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6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bookmarkStart w:id="10" w:name="_3j2qqm3" w:colFirst="0" w:colLast="0"/>
            <w:bookmarkEnd w:id="10"/>
            <w:r w:rsidRPr="00314B96">
              <w:rPr>
                <w:rFonts w:eastAsia="Arial" w:cs="Times New Roman"/>
                <w:szCs w:val="24"/>
                <w:lang w:val="en-US"/>
              </w:rPr>
              <w:t>While changing fluoxetine and paroxetine to a tricyclic antidepressant, start with lower dosages because these selective serotonin reuptake inhibitors inhibit the metabolism of tricyclic antidepressants.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54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7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Be careful when changing to a new serotoninergic antidepressant or monoamine oxidase inhibitors owing to the risk of serotonin syndrome.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7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bookmarkStart w:id="11" w:name="_1y810tw" w:colFirst="0" w:colLast="0"/>
            <w:bookmarkEnd w:id="11"/>
            <w:r w:rsidRPr="00314B96">
              <w:rPr>
                <w:rFonts w:eastAsia="Arial" w:cs="Times New Roman"/>
                <w:szCs w:val="24"/>
                <w:lang w:val="en-US"/>
              </w:rPr>
              <w:t>If it is necessary to change the antidepressant used as second-line of treatment, first-line alternatives that have not been prescribed, such as fluoxetine or sertraline (selective serotonin reuptake inhibitors), amitriptyline (a tricyclic antidepressant) or mirtazapine (a specific noradrenergic and serotoninergic antidepressant) should be used.</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lastRenderedPageBreak/>
              <w:t>In patients who do not respond to other treatments, an additional option is to switch to a non-selective monoamine oxidase inhibitor.</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[4] recommends monoamine oxidase inhibitors as a fourth-line treatment.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bookmarkStart w:id="12" w:name="_4i7ojhp" w:colFirst="0" w:colLast="0"/>
            <w:bookmarkEnd w:id="12"/>
            <w:r w:rsidRPr="00314B96">
              <w:rPr>
                <w:rFonts w:eastAsia="Arial" w:cs="Times New Roman"/>
                <w:szCs w:val="24"/>
                <w:lang w:val="en-US"/>
              </w:rPr>
              <w:t xml:space="preserve">Transdermal </w:t>
            </w:r>
            <w:proofErr w:type="spellStart"/>
            <w:r w:rsidRPr="00314B96">
              <w:rPr>
                <w:rFonts w:eastAsia="Arial" w:cs="Times New Roman"/>
                <w:szCs w:val="24"/>
                <w:lang w:val="en-US"/>
              </w:rPr>
              <w:t>selegiline</w:t>
            </w:r>
            <w:proofErr w:type="spellEnd"/>
            <w:r w:rsidRPr="00314B96">
              <w:rPr>
                <w:rFonts w:eastAsia="Arial" w:cs="Times New Roman"/>
                <w:szCs w:val="24"/>
                <w:lang w:val="en-US"/>
              </w:rPr>
              <w:t>, a monoamine oxidase inhibitor that is relatively selective and has less dietary and pharmaceutical restrictions, can be considered.</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For patients who showed minimal improvement or experienced considerable adverse events owing to the medication, other options include changing to another antidepressant that does not inhibit monoamine oxidase.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bookmarkStart w:id="13" w:name="_2xcytpi" w:colFirst="0" w:colLast="0"/>
            <w:bookmarkEnd w:id="13"/>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Recommended second-line agents include tricyclic antidepressants, quetiapine and trazodone, </w:t>
            </w:r>
            <w:proofErr w:type="spellStart"/>
            <w:r w:rsidRPr="00314B96">
              <w:rPr>
                <w:rFonts w:eastAsia="Arial" w:cs="Times New Roman"/>
                <w:szCs w:val="24"/>
                <w:lang w:val="en-US"/>
              </w:rPr>
              <w:t>moclobemide</w:t>
            </w:r>
            <w:proofErr w:type="spellEnd"/>
            <w:r w:rsidRPr="00314B96">
              <w:rPr>
                <w:rFonts w:eastAsia="Arial" w:cs="Times New Roman"/>
                <w:szCs w:val="24"/>
                <w:lang w:val="en-US"/>
              </w:rPr>
              <w:t xml:space="preserve">, </w:t>
            </w:r>
            <w:proofErr w:type="spellStart"/>
            <w:r w:rsidRPr="00314B96">
              <w:rPr>
                <w:rFonts w:eastAsia="Arial" w:cs="Times New Roman"/>
                <w:szCs w:val="24"/>
                <w:lang w:val="en-US"/>
              </w:rPr>
              <w:t>selegiline</w:t>
            </w:r>
            <w:proofErr w:type="spellEnd"/>
            <w:r w:rsidRPr="00314B96">
              <w:rPr>
                <w:rFonts w:eastAsia="Arial" w:cs="Times New Roman"/>
                <w:szCs w:val="24"/>
                <w:lang w:val="en-US"/>
              </w:rPr>
              <w:t xml:space="preserve">, </w:t>
            </w:r>
            <w:proofErr w:type="spellStart"/>
            <w:r w:rsidRPr="00314B96">
              <w:rPr>
                <w:rFonts w:eastAsia="Arial" w:cs="Times New Roman"/>
                <w:szCs w:val="24"/>
                <w:lang w:val="en-US"/>
              </w:rPr>
              <w:t>levomilnacipran</w:t>
            </w:r>
            <w:proofErr w:type="spellEnd"/>
            <w:r w:rsidRPr="00314B96">
              <w:rPr>
                <w:rFonts w:eastAsia="Arial" w:cs="Times New Roman"/>
                <w:szCs w:val="24"/>
                <w:lang w:val="en-US"/>
              </w:rPr>
              <w:t xml:space="preserve">, and </w:t>
            </w:r>
            <w:proofErr w:type="spellStart"/>
            <w:r w:rsidRPr="00314B96">
              <w:rPr>
                <w:rFonts w:eastAsia="Arial" w:cs="Times New Roman"/>
                <w:szCs w:val="24"/>
                <w:lang w:val="en-US"/>
              </w:rPr>
              <w:t>vilazodone</w:t>
            </w:r>
            <w:proofErr w:type="spellEnd"/>
            <w:r w:rsidRPr="00314B96">
              <w:rPr>
                <w:rFonts w:eastAsia="Arial" w:cs="Times New Roman"/>
                <w:szCs w:val="24"/>
                <w:lang w:val="en-US"/>
              </w:rPr>
              <w:t xml:space="preserve">. </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1</w:t>
            </w:r>
          </w:p>
        </w:tc>
      </w:tr>
      <w:tr w:rsidR="006E3798" w:rsidRPr="00314B96" w:rsidTr="00B40D0B">
        <w:trPr>
          <w:trHeight w:val="44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proofErr w:type="spellStart"/>
            <w:r w:rsidRPr="00314B96">
              <w:rPr>
                <w:rFonts w:eastAsia="Arial" w:cs="Times New Roman"/>
                <w:szCs w:val="24"/>
                <w:lang w:val="en-US"/>
              </w:rPr>
              <w:t>Amitripline</w:t>
            </w:r>
            <w:proofErr w:type="spellEnd"/>
            <w:r w:rsidRPr="00314B96">
              <w:rPr>
                <w:rFonts w:eastAsia="Arial" w:cs="Times New Roman"/>
                <w:szCs w:val="24"/>
                <w:lang w:val="en-US"/>
              </w:rPr>
              <w:t xml:space="preserve"> can be a second-line treatment option</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 xml:space="preserve">[4] recommends </w:t>
            </w:r>
            <w:proofErr w:type="spellStart"/>
            <w:r w:rsidRPr="00314B96">
              <w:rPr>
                <w:rFonts w:eastAsia="Arial" w:cs="Times New Roman"/>
                <w:szCs w:val="24"/>
                <w:lang w:val="en-US"/>
              </w:rPr>
              <w:t>amitriptiline</w:t>
            </w:r>
            <w:proofErr w:type="spellEnd"/>
            <w:r w:rsidRPr="00314B96">
              <w:rPr>
                <w:rFonts w:eastAsia="Arial" w:cs="Times New Roman"/>
                <w:szCs w:val="24"/>
                <w:lang w:val="en-US"/>
              </w:rPr>
              <w:t xml:space="preserve"> as a first- or second-line option (if the drug has not been prescribed as first line, and drug switching is necessary).</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44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1</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Recommended second-line agents include tricyclic antidepressants, quetiapine and trazodone, </w:t>
            </w:r>
            <w:proofErr w:type="spellStart"/>
            <w:r w:rsidRPr="00314B96">
              <w:rPr>
                <w:rFonts w:eastAsia="Arial" w:cs="Times New Roman"/>
                <w:szCs w:val="24"/>
                <w:lang w:val="en-US"/>
              </w:rPr>
              <w:t>moclobemide</w:t>
            </w:r>
            <w:proofErr w:type="spellEnd"/>
            <w:r w:rsidRPr="00314B96">
              <w:rPr>
                <w:rFonts w:eastAsia="Arial" w:cs="Times New Roman"/>
                <w:szCs w:val="24"/>
                <w:lang w:val="en-US"/>
              </w:rPr>
              <w:t xml:space="preserve">, </w:t>
            </w:r>
            <w:proofErr w:type="spellStart"/>
            <w:r w:rsidRPr="00314B96">
              <w:rPr>
                <w:rFonts w:eastAsia="Arial" w:cs="Times New Roman"/>
                <w:szCs w:val="24"/>
                <w:lang w:val="en-US"/>
              </w:rPr>
              <w:t>selegiline</w:t>
            </w:r>
            <w:proofErr w:type="spellEnd"/>
            <w:r w:rsidRPr="00314B96">
              <w:rPr>
                <w:rFonts w:eastAsia="Arial" w:cs="Times New Roman"/>
                <w:szCs w:val="24"/>
                <w:lang w:val="en-US"/>
              </w:rPr>
              <w:t xml:space="preserve">, </w:t>
            </w:r>
            <w:proofErr w:type="spellStart"/>
            <w:r w:rsidRPr="00314B96">
              <w:rPr>
                <w:rFonts w:eastAsia="Arial" w:cs="Times New Roman"/>
                <w:szCs w:val="24"/>
                <w:lang w:val="en-US"/>
              </w:rPr>
              <w:t>levomilnacipran</w:t>
            </w:r>
            <w:proofErr w:type="spellEnd"/>
            <w:r w:rsidRPr="00314B96">
              <w:rPr>
                <w:rFonts w:eastAsia="Arial" w:cs="Times New Roman"/>
                <w:szCs w:val="24"/>
                <w:lang w:val="en-US"/>
              </w:rPr>
              <w:t xml:space="preserve">, and </w:t>
            </w:r>
            <w:proofErr w:type="spellStart"/>
            <w:r w:rsidRPr="00314B96">
              <w:rPr>
                <w:rFonts w:eastAsia="Arial" w:cs="Times New Roman"/>
                <w:szCs w:val="24"/>
                <w:lang w:val="en-US"/>
              </w:rPr>
              <w:t>vilazodone</w:t>
            </w:r>
            <w:proofErr w:type="spellEnd"/>
            <w:r w:rsidRPr="00314B96">
              <w:rPr>
                <w:rFonts w:eastAsia="Arial" w:cs="Times New Roman"/>
                <w:szCs w:val="24"/>
                <w:lang w:val="en-US"/>
              </w:rPr>
              <w:t xml:space="preserve">. </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1</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bookmarkStart w:id="14" w:name="_1ci93xb" w:colFirst="0" w:colLast="0"/>
            <w:bookmarkEnd w:id="14"/>
            <w:r w:rsidRPr="00314B96">
              <w:rPr>
                <w:rFonts w:eastAsia="Arial" w:cs="Times New Roman"/>
                <w:szCs w:val="24"/>
                <w:lang w:val="en-US"/>
              </w:rPr>
              <w:lastRenderedPageBreak/>
              <w:t xml:space="preserve">The third-line treatment includes imipramine, clomipramine, paroxetine, escitalopram, citalopram, fluvoxamine, venlafaxine, duloxetine, </w:t>
            </w:r>
            <w:proofErr w:type="spellStart"/>
            <w:r w:rsidRPr="00314B96">
              <w:rPr>
                <w:rFonts w:eastAsia="Arial" w:cs="Times New Roman"/>
                <w:szCs w:val="24"/>
                <w:lang w:val="en-US"/>
              </w:rPr>
              <w:t>desvenlafaxine</w:t>
            </w:r>
            <w:proofErr w:type="spellEnd"/>
            <w:r w:rsidRPr="00314B96">
              <w:rPr>
                <w:rFonts w:eastAsia="Arial" w:cs="Times New Roman"/>
                <w:szCs w:val="24"/>
                <w:lang w:val="en-US"/>
              </w:rPr>
              <w:t>, trazodone, and bupropion.</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Strong</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Monoamine oxidase inhibitors and </w:t>
            </w:r>
            <w:proofErr w:type="spellStart"/>
            <w:r w:rsidRPr="00314B96">
              <w:rPr>
                <w:rFonts w:eastAsia="Arial" w:cs="Times New Roman"/>
                <w:szCs w:val="24"/>
                <w:lang w:val="en-US"/>
              </w:rPr>
              <w:t>reboxetine</w:t>
            </w:r>
            <w:proofErr w:type="spellEnd"/>
            <w:r w:rsidRPr="00314B96">
              <w:rPr>
                <w:rFonts w:eastAsia="Arial" w:cs="Times New Roman"/>
                <w:szCs w:val="24"/>
                <w:lang w:val="en-US"/>
              </w:rPr>
              <w:t xml:space="preserve"> can be considered third-line treatment agents.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1</w:t>
            </w:r>
          </w:p>
        </w:tc>
      </w:tr>
      <w:tr w:rsidR="006E3798" w:rsidRPr="00314B96" w:rsidTr="00B40D0B">
        <w:trPr>
          <w:trHeight w:val="20"/>
        </w:trPr>
        <w:tc>
          <w:tcPr>
            <w:tcW w:w="2480" w:type="pct"/>
            <w:tcBorders>
              <w:bottom w:val="single" w:sz="4" w:space="0" w:color="auto"/>
            </w:tcBorders>
          </w:tcPr>
          <w:p w:rsidR="006E3798" w:rsidRPr="00314B96" w:rsidRDefault="006E3798" w:rsidP="00B40D0B">
            <w:pPr>
              <w:widowControl w:val="0"/>
              <w:spacing w:after="0" w:line="480" w:lineRule="auto"/>
              <w:rPr>
                <w:rFonts w:eastAsia="Arial" w:cs="Times New Roman"/>
                <w:szCs w:val="24"/>
                <w:lang w:val="en-US"/>
              </w:rPr>
            </w:pPr>
            <w:proofErr w:type="spellStart"/>
            <w:r w:rsidRPr="00314B96">
              <w:rPr>
                <w:rFonts w:eastAsia="Arial" w:cs="Times New Roman"/>
                <w:szCs w:val="24"/>
                <w:lang w:val="en-US"/>
              </w:rPr>
              <w:t>Phenelzine</w:t>
            </w:r>
            <w:proofErr w:type="spellEnd"/>
            <w:r w:rsidRPr="00314B96">
              <w:rPr>
                <w:rFonts w:eastAsia="Arial" w:cs="Times New Roman"/>
                <w:szCs w:val="24"/>
                <w:lang w:val="en-US"/>
              </w:rPr>
              <w:t xml:space="preserve">, tranylcypromine and </w:t>
            </w:r>
            <w:proofErr w:type="spellStart"/>
            <w:r w:rsidRPr="00314B96">
              <w:rPr>
                <w:rFonts w:eastAsia="Arial" w:cs="Times New Roman"/>
                <w:szCs w:val="24"/>
                <w:lang w:val="en-US"/>
              </w:rPr>
              <w:t>reboxetine</w:t>
            </w:r>
            <w:proofErr w:type="spellEnd"/>
            <w:r w:rsidRPr="00314B96">
              <w:rPr>
                <w:rFonts w:eastAsia="Arial" w:cs="Times New Roman"/>
                <w:szCs w:val="24"/>
                <w:lang w:val="en-US"/>
              </w:rPr>
              <w:t xml:space="preserve"> can be considered third-line treatment agents.</w:t>
            </w:r>
          </w:p>
        </w:tc>
        <w:tc>
          <w:tcPr>
            <w:tcW w:w="456"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tcBorders>
              <w:bottom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1</w:t>
            </w:r>
          </w:p>
        </w:tc>
      </w:tr>
      <w:tr w:rsidR="006E3798" w:rsidRPr="00314B96" w:rsidTr="00B40D0B">
        <w:trPr>
          <w:trHeight w:val="80"/>
        </w:trPr>
        <w:tc>
          <w:tcPr>
            <w:tcW w:w="5000" w:type="pct"/>
            <w:gridSpan w:val="5"/>
            <w:tcBorders>
              <w:top w:val="single" w:sz="4" w:space="0" w:color="auto"/>
              <w:bottom w:val="single" w:sz="4" w:space="0" w:color="auto"/>
            </w:tcBorders>
            <w:vAlign w:val="center"/>
          </w:tcPr>
          <w:p w:rsidR="006E3798" w:rsidRPr="00314B96" w:rsidRDefault="006E3798" w:rsidP="00B40D0B">
            <w:pPr>
              <w:spacing w:after="0" w:line="480" w:lineRule="auto"/>
              <w:jc w:val="center"/>
              <w:rPr>
                <w:rFonts w:cs="Times New Roman"/>
                <w:b/>
                <w:szCs w:val="24"/>
                <w:lang w:val="en-US"/>
              </w:rPr>
            </w:pPr>
            <w:bookmarkStart w:id="15" w:name="_3whwml4" w:colFirst="0" w:colLast="0"/>
            <w:bookmarkEnd w:id="15"/>
            <w:r w:rsidRPr="00314B96">
              <w:rPr>
                <w:rFonts w:cs="Times New Roman"/>
                <w:b/>
                <w:szCs w:val="24"/>
                <w:lang w:val="en-US"/>
              </w:rPr>
              <w:t>DRUG COMBINATION</w:t>
            </w:r>
            <w:r w:rsidRPr="00314B96">
              <w:rPr>
                <w:rFonts w:cs="Times New Roman"/>
                <w:b/>
                <w:szCs w:val="24"/>
                <w:vertAlign w:val="superscript"/>
                <w:lang w:val="en-US"/>
              </w:rPr>
              <w:t xml:space="preserve">1 </w:t>
            </w:r>
            <w:r w:rsidRPr="00314B96">
              <w:rPr>
                <w:rFonts w:cs="Times New Roman"/>
                <w:b/>
                <w:szCs w:val="24"/>
                <w:lang w:val="en-US"/>
              </w:rPr>
              <w:t>OR AUGMENTATION EFFECT</w:t>
            </w:r>
            <w:r w:rsidRPr="00314B96">
              <w:rPr>
                <w:rFonts w:cs="Times New Roman"/>
                <w:b/>
                <w:szCs w:val="24"/>
                <w:vertAlign w:val="superscript"/>
                <w:lang w:val="en-US"/>
              </w:rPr>
              <w:t>2</w:t>
            </w:r>
          </w:p>
          <w:p w:rsidR="006E3798" w:rsidRPr="00314B96" w:rsidRDefault="006E3798" w:rsidP="00B40D0B">
            <w:pPr>
              <w:spacing w:after="0" w:line="480" w:lineRule="auto"/>
              <w:jc w:val="center"/>
              <w:rPr>
                <w:rFonts w:cs="Times New Roman"/>
                <w:szCs w:val="24"/>
                <w:lang w:val="en-US"/>
              </w:rPr>
            </w:pPr>
            <w:r w:rsidRPr="00314B96">
              <w:rPr>
                <w:rFonts w:cs="Times New Roman"/>
                <w:szCs w:val="24"/>
                <w:vertAlign w:val="superscript"/>
                <w:lang w:val="en-US"/>
              </w:rPr>
              <w:t>1</w:t>
            </w:r>
            <w:r w:rsidRPr="00314B96">
              <w:rPr>
                <w:rFonts w:cs="Times New Roman"/>
                <w:szCs w:val="24"/>
                <w:lang w:val="en-US"/>
              </w:rPr>
              <w:t>Combination is when two antidepressants are used in conjunction [ 6]</w:t>
            </w:r>
          </w:p>
          <w:p w:rsidR="006E3798" w:rsidRPr="00314B96" w:rsidRDefault="006E3798" w:rsidP="00B40D0B">
            <w:pPr>
              <w:spacing w:after="0" w:line="480" w:lineRule="auto"/>
              <w:jc w:val="center"/>
              <w:rPr>
                <w:rFonts w:cs="Times New Roman"/>
                <w:szCs w:val="24"/>
                <w:lang w:val="en-US"/>
              </w:rPr>
            </w:pPr>
            <w:r w:rsidRPr="00314B96">
              <w:rPr>
                <w:rFonts w:cs="Times New Roman"/>
                <w:szCs w:val="24"/>
                <w:vertAlign w:val="superscript"/>
                <w:lang w:val="en-US"/>
              </w:rPr>
              <w:t>2</w:t>
            </w:r>
            <w:r w:rsidRPr="00314B96">
              <w:rPr>
                <w:rFonts w:cs="Times New Roman"/>
                <w:szCs w:val="24"/>
                <w:lang w:val="en-US"/>
              </w:rPr>
              <w:t>Augmentation is when one antidepressant is used together with a non-antidepressant drug [ 6]</w:t>
            </w:r>
          </w:p>
        </w:tc>
      </w:tr>
      <w:tr w:rsidR="006E3798" w:rsidRPr="00314B96" w:rsidTr="00B40D0B">
        <w:trPr>
          <w:trHeight w:val="20"/>
        </w:trPr>
        <w:tc>
          <w:tcPr>
            <w:tcW w:w="2480" w:type="pct"/>
            <w:tcBorders>
              <w:top w:val="single" w:sz="4" w:space="0" w:color="auto"/>
            </w:tcBorders>
          </w:tcPr>
          <w:p w:rsidR="006E3798" w:rsidRPr="00314B96" w:rsidRDefault="006E3798" w:rsidP="00B40D0B">
            <w:pPr>
              <w:widowControl w:val="0"/>
              <w:spacing w:after="0" w:line="480" w:lineRule="auto"/>
              <w:rPr>
                <w:rFonts w:eastAsia="Arial" w:cs="Times New Roman"/>
                <w:szCs w:val="24"/>
                <w:lang w:val="en-US"/>
              </w:rPr>
            </w:pPr>
            <w:bookmarkStart w:id="16" w:name="_2bn6wsx" w:colFirst="0" w:colLast="0"/>
            <w:bookmarkEnd w:id="16"/>
            <w:r w:rsidRPr="00314B96">
              <w:rPr>
                <w:rFonts w:eastAsia="Arial" w:cs="Times New Roman"/>
                <w:szCs w:val="24"/>
                <w:lang w:val="en-US"/>
              </w:rPr>
              <w:t>Consider an adjuvant medication under the following circumstances:</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There were two or more previous trials with antidepressants.</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 initial antidepressant is well tolerated.</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There is a partial response (over 4% of improvement) to the initial antidepressant.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There are specific residual symptoms or adverse events for the initial antidepressant that can be tackled.</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There is less time to wait for a response (more serious and more functional deficit).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The patient prefers to add another medication.</w:t>
            </w:r>
          </w:p>
        </w:tc>
        <w:tc>
          <w:tcPr>
            <w:tcW w:w="456"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tcBorders>
              <w:top w:val="single" w:sz="4" w:space="0" w:color="auto"/>
            </w:tcBorders>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3</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bookmarkStart w:id="17" w:name="_qsh70q" w:colFirst="0" w:colLast="0"/>
            <w:bookmarkEnd w:id="17"/>
            <w:r w:rsidRPr="00314B96">
              <w:rPr>
                <w:rFonts w:eastAsia="Arial" w:cs="Times New Roman"/>
                <w:szCs w:val="24"/>
                <w:lang w:val="en-US"/>
              </w:rPr>
              <w:t xml:space="preserve">It is not recommended to routinely use antidepressant augmentation with benzodiazepines, </w:t>
            </w:r>
            <w:proofErr w:type="spellStart"/>
            <w:r w:rsidRPr="00314B96">
              <w:rPr>
                <w:rFonts w:eastAsia="Arial" w:cs="Times New Roman"/>
                <w:szCs w:val="24"/>
                <w:lang w:val="en-US"/>
              </w:rPr>
              <w:t>buspirone</w:t>
            </w:r>
            <w:proofErr w:type="spellEnd"/>
            <w:r w:rsidRPr="00314B96">
              <w:rPr>
                <w:rFonts w:eastAsia="Arial" w:cs="Times New Roman"/>
                <w:szCs w:val="24"/>
                <w:lang w:val="en-US"/>
              </w:rPr>
              <w:t xml:space="preserve">, carbamazepine, </w:t>
            </w:r>
            <w:r w:rsidRPr="00314B96">
              <w:rPr>
                <w:rFonts w:eastAsia="Arial" w:cs="Times New Roman"/>
                <w:szCs w:val="24"/>
                <w:lang w:val="en-US"/>
              </w:rPr>
              <w:lastRenderedPageBreak/>
              <w:t>lamotrigine, valproate, or clonidine.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lastRenderedPageBreak/>
              <w:t>Antipsychotics can be used as augmentation agents.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bookmarkStart w:id="18" w:name="_3as4poj" w:colFirst="0" w:colLast="0"/>
            <w:bookmarkEnd w:id="18"/>
            <w:r w:rsidRPr="00314B96">
              <w:rPr>
                <w:rFonts w:eastAsia="Arial" w:cs="Times New Roman"/>
                <w:szCs w:val="24"/>
                <w:lang w:val="en-US"/>
              </w:rPr>
              <w:t>When prescribing atypical antipsychotics as augmentation agents, their efficiency and safety should be reassessed often.</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proofErr w:type="spellStart"/>
            <w:r w:rsidRPr="00314B96">
              <w:rPr>
                <w:rFonts w:eastAsia="Arial" w:cs="Times New Roman"/>
                <w:szCs w:val="24"/>
                <w:lang w:val="en-US"/>
              </w:rPr>
              <w:t>Aripiprazol</w:t>
            </w:r>
            <w:proofErr w:type="spellEnd"/>
            <w:r w:rsidRPr="00314B96">
              <w:rPr>
                <w:rFonts w:eastAsia="Arial" w:cs="Times New Roman"/>
                <w:szCs w:val="24"/>
                <w:lang w:val="en-US"/>
              </w:rPr>
              <w:t xml:space="preserve"> and quetiapine can be considered adjuvant agents.</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[8] mentions that these are first-line adjuvant treatments.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bookmarkStart w:id="19" w:name="_1pxezwc" w:colFirst="0" w:colLast="0"/>
            <w:bookmarkEnd w:id="19"/>
            <w:r w:rsidRPr="00314B96">
              <w:rPr>
                <w:rFonts w:eastAsia="Arial" w:cs="Times New Roman"/>
                <w:szCs w:val="24"/>
                <w:lang w:val="en-US"/>
              </w:rPr>
              <w:t>Antidepressants can also be used as augmentation agents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[7]</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w:t>
            </w:r>
          </w:p>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Highly recommended</w:t>
            </w:r>
          </w:p>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Based on good-quality studies</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Systematic reviews, meta-analyses, randomized trials, and health technology assessment reports</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significant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1008"/>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bookmarkStart w:id="20" w:name="_49x2ik5" w:colFirst="0" w:colLast="0"/>
            <w:bookmarkEnd w:id="20"/>
            <w:r w:rsidRPr="00314B96">
              <w:rPr>
                <w:rFonts w:eastAsia="Arial" w:cs="Times New Roman"/>
                <w:szCs w:val="24"/>
                <w:lang w:val="en-US"/>
              </w:rPr>
              <w:lastRenderedPageBreak/>
              <w:t>It is possible to augmentation the treatment using antidepressants other than monoamine oxidase inhibitors.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w:t>
            </w:r>
          </w:p>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1008"/>
        </w:trPr>
        <w:tc>
          <w:tcPr>
            <w:tcW w:w="2480" w:type="pct"/>
            <w:vMerge/>
          </w:tcPr>
          <w:p w:rsidR="006E3798" w:rsidRPr="00314B96" w:rsidRDefault="006E3798" w:rsidP="00B40D0B">
            <w:pPr>
              <w:widowControl w:val="0"/>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p w:rsidR="006E3798" w:rsidRPr="00314B96" w:rsidRDefault="006E3798" w:rsidP="00B40D0B">
            <w:pPr>
              <w:widowControl w:val="0"/>
              <w:spacing w:after="0" w:line="480" w:lineRule="auto"/>
              <w:jc w:val="center"/>
              <w:rPr>
                <w:rFonts w:eastAsia="Arial" w:cs="Times New Roman"/>
                <w:szCs w:val="24"/>
                <w:lang w:val="en-US"/>
              </w:rPr>
            </w:pPr>
          </w:p>
        </w:tc>
      </w:tr>
      <w:tr w:rsidR="006E3798" w:rsidRPr="00314B96" w:rsidTr="00B40D0B">
        <w:trPr>
          <w:trHeight w:val="383"/>
        </w:trPr>
        <w:tc>
          <w:tcPr>
            <w:tcW w:w="2480" w:type="pct"/>
            <w:vMerge w:val="restart"/>
          </w:tcPr>
          <w:p w:rsidR="006E3798" w:rsidRPr="00314B96" w:rsidRDefault="006E3798" w:rsidP="00B40D0B">
            <w:pPr>
              <w:widowControl w:val="0"/>
              <w:spacing w:after="0" w:line="480" w:lineRule="auto"/>
              <w:rPr>
                <w:rFonts w:eastAsia="Arial" w:cs="Times New Roman"/>
                <w:szCs w:val="24"/>
                <w:vertAlign w:val="superscript"/>
                <w:lang w:val="en-US"/>
              </w:rPr>
            </w:pPr>
            <w:bookmarkStart w:id="21" w:name="_2p2csry" w:colFirst="0" w:colLast="0"/>
            <w:bookmarkEnd w:id="21"/>
            <w:r w:rsidRPr="00314B96">
              <w:rPr>
                <w:rFonts w:eastAsia="Arial" w:cs="Times New Roman"/>
                <w:szCs w:val="24"/>
                <w:lang w:val="en-US"/>
              </w:rPr>
              <w:t>Olanzapine can be considered an adjuvant treatment.</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[5] uses the term “augmentation treatment.”</w:t>
            </w:r>
          </w:p>
          <w:p w:rsidR="006E3798" w:rsidRPr="00314B96" w:rsidRDefault="006E3798" w:rsidP="00B40D0B">
            <w:pPr>
              <w:spacing w:after="0" w:line="480" w:lineRule="auto"/>
              <w:rPr>
                <w:rFonts w:eastAsia="Arial" w:cs="Times New Roman"/>
                <w:szCs w:val="24"/>
                <w:lang w:val="en-US"/>
              </w:rPr>
            </w:pPr>
          </w:p>
          <w:p w:rsidR="006E3798" w:rsidRPr="00314B96" w:rsidRDefault="006E3798" w:rsidP="00B40D0B">
            <w:pP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bookmarkStart w:id="22" w:name="_147n2zr" w:colFirst="0" w:colLast="0"/>
            <w:bookmarkEnd w:id="22"/>
            <w:r w:rsidRPr="00314B96">
              <w:rPr>
                <w:rFonts w:eastAsia="Arial" w:cs="Times New Roman"/>
                <w:szCs w:val="24"/>
                <w:lang w:val="en-US"/>
              </w:rPr>
              <w:t>Mirtazapine (an antidepressant) can be used as adjuvant agent.</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[5] uses the term “augmentation treatment.”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[9]</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Risperidone (an antipsychotic) can be used as adjuvant agent.</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[8] mentions that these are first-line adjuvant treatments.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1</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vertAlign w:val="superscript"/>
                <w:lang w:val="en-US"/>
              </w:rPr>
            </w:pPr>
            <w:r w:rsidRPr="00314B96">
              <w:rPr>
                <w:rFonts w:eastAsia="Arial" w:cs="Times New Roman"/>
                <w:szCs w:val="24"/>
                <w:lang w:val="en-US"/>
              </w:rPr>
              <w:t>Lithium can be considered as an augmentation agent</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[8] mentions lithium as a second-line adjuvant treatment agent and does not use the term “augmentation.”</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[7]</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Highly recommended</w:t>
            </w:r>
          </w:p>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Based on good-quality studies</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Systematic reviews, meta-analyses, randomized trials, and health technology assessment reports</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2</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Lithium should not be used as single agent to avoid recurrence.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bookmarkStart w:id="23" w:name="_3o7alnk" w:colFirst="0" w:colLast="0"/>
            <w:bookmarkEnd w:id="23"/>
            <w:r w:rsidRPr="00314B96">
              <w:rPr>
                <w:rFonts w:eastAsia="Arial" w:cs="Times New Roman"/>
                <w:szCs w:val="24"/>
                <w:lang w:val="en-US"/>
              </w:rPr>
              <w:t>If a drug must be discontinued, select the augmentation agent.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In primary care, the combination of drugs should only be done after referral to a psychiatrist.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Use only combinations/associations of drugs known to be safe.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Explain the logic of any combination to the person with depression.</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bookmarkStart w:id="24" w:name="_23ckvvd" w:colFirst="0" w:colLast="0"/>
            <w:bookmarkEnd w:id="24"/>
            <w:r w:rsidRPr="00314B96">
              <w:rPr>
                <w:rFonts w:eastAsia="Arial" w:cs="Times New Roman"/>
                <w:szCs w:val="24"/>
                <w:lang w:val="en-US"/>
              </w:rPr>
              <w:t>While combining drugs, carefully monitor adverse events and be aware that this generally causes an increase in the effects.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Be familiar with primary evidence and consider obtaining a second opinion when using uncommon combinations of drugs. </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Document the logic for the drug combination selected.</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Do not routinely use augmentation of an antidepressant with a benzodiazepine for longer than 2 weeks because there is a risk for dependency. </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tcPr>
          <w:p w:rsidR="006E3798" w:rsidRPr="00314B96" w:rsidRDefault="006E3798" w:rsidP="00B40D0B">
            <w:pPr>
              <w:widowControl w:val="0"/>
              <w:spacing w:after="0" w:line="480" w:lineRule="auto"/>
              <w:rPr>
                <w:rFonts w:eastAsia="Arial" w:cs="Times New Roman"/>
                <w:szCs w:val="24"/>
                <w:lang w:val="en-US"/>
              </w:rPr>
            </w:pPr>
            <w:bookmarkStart w:id="25" w:name="_ihv636" w:colFirst="0" w:colLast="0"/>
            <w:bookmarkEnd w:id="25"/>
            <w:r w:rsidRPr="00314B96">
              <w:rPr>
                <w:rFonts w:eastAsia="Arial" w:cs="Times New Roman"/>
                <w:szCs w:val="24"/>
                <w:lang w:val="en-US"/>
              </w:rPr>
              <w:t xml:space="preserve">It is not recommended to routinely augment antidepressants with benzodiazepines, </w:t>
            </w:r>
            <w:proofErr w:type="spellStart"/>
            <w:r w:rsidRPr="00314B96">
              <w:rPr>
                <w:rFonts w:eastAsia="Arial" w:cs="Times New Roman"/>
                <w:szCs w:val="24"/>
                <w:lang w:val="en-US"/>
              </w:rPr>
              <w:t>buspirone</w:t>
            </w:r>
            <w:proofErr w:type="spellEnd"/>
            <w:r w:rsidRPr="00314B96">
              <w:rPr>
                <w:rFonts w:eastAsia="Arial" w:cs="Times New Roman"/>
                <w:szCs w:val="24"/>
                <w:lang w:val="en-US"/>
              </w:rPr>
              <w:t xml:space="preserve">, carbamazepine, lamotrigine, and valproate. </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Benzodiazepines can be used as adjuvant treatment with </w:t>
            </w:r>
            <w:r w:rsidRPr="00314B96">
              <w:rPr>
                <w:rFonts w:eastAsia="Arial" w:cs="Times New Roman"/>
                <w:szCs w:val="24"/>
                <w:lang w:val="en-US"/>
              </w:rPr>
              <w:lastRenderedPageBreak/>
              <w:t>antidepressants in patients with depression and concomitant anxiety.</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 xml:space="preserve">MODIFIED </w:t>
            </w:r>
            <w:r w:rsidRPr="00314B96">
              <w:rPr>
                <w:rFonts w:eastAsia="Arial" w:cs="Times New Roman"/>
                <w:szCs w:val="24"/>
                <w:lang w:val="en-US"/>
              </w:rPr>
              <w:lastRenderedPageBreak/>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 xml:space="preserve">Recommended </w:t>
            </w:r>
            <w:r w:rsidRPr="00314B96">
              <w:rPr>
                <w:rFonts w:eastAsia="Arial" w:cs="Times New Roman"/>
                <w:szCs w:val="24"/>
                <w:lang w:val="en-US"/>
              </w:rPr>
              <w:lastRenderedPageBreak/>
              <w:t>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lastRenderedPageBreak/>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lastRenderedPageBreak/>
              <w:t>Do not routinely augmentation an antidepressant with clonidine.</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[4]</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Weak</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Align w:val="center"/>
          </w:tcPr>
          <w:p w:rsidR="006E3798" w:rsidRPr="00314B96" w:rsidRDefault="006E3798" w:rsidP="00B40D0B">
            <w:pPr>
              <w:widowControl w:val="0"/>
              <w:spacing w:after="0" w:line="480" w:lineRule="auto"/>
              <w:rPr>
                <w:rFonts w:eastAsia="Arial" w:cs="Times New Roman"/>
                <w:szCs w:val="24"/>
                <w:lang w:val="en-US"/>
              </w:rPr>
            </w:pPr>
            <w:bookmarkStart w:id="26" w:name="_32hioqz" w:colFirst="0" w:colLast="0"/>
            <w:bookmarkEnd w:id="26"/>
            <w:r w:rsidRPr="00314B96">
              <w:rPr>
                <w:rFonts w:eastAsia="Arial" w:cs="Times New Roman"/>
                <w:szCs w:val="24"/>
                <w:lang w:val="en-US"/>
              </w:rPr>
              <w:t xml:space="preserve">Augmentation strategies include using an anticonvulsant, omega-3 fatty acids, folate, or psychoactive medication, including </w:t>
            </w:r>
            <w:proofErr w:type="spellStart"/>
            <w:r w:rsidRPr="00314B96">
              <w:rPr>
                <w:rFonts w:eastAsia="Arial" w:cs="Times New Roman"/>
                <w:szCs w:val="24"/>
                <w:lang w:val="en-US"/>
              </w:rPr>
              <w:t>modafinil</w:t>
            </w:r>
            <w:proofErr w:type="spellEnd"/>
            <w:r w:rsidRPr="00314B96">
              <w:rPr>
                <w:rFonts w:eastAsia="Arial" w:cs="Times New Roman"/>
                <w:szCs w:val="24"/>
                <w:lang w:val="en-US"/>
              </w:rPr>
              <w: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Can be recommended according to individual circumstances</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Do not routinely use augmentation of an antidepressant with </w:t>
            </w:r>
            <w:proofErr w:type="spellStart"/>
            <w:r w:rsidRPr="00314B96">
              <w:rPr>
                <w:rFonts w:eastAsia="Arial" w:cs="Times New Roman"/>
                <w:szCs w:val="24"/>
                <w:lang w:val="en-US"/>
              </w:rPr>
              <w:t>pindolol</w:t>
            </w:r>
            <w:proofErr w:type="spellEnd"/>
            <w:r w:rsidRPr="00314B96">
              <w:rPr>
                <w:rFonts w:eastAsia="Arial" w:cs="Times New Roman"/>
                <w:szCs w:val="24"/>
                <w:lang w:val="en-US"/>
              </w:rPr>
              <w:t xml:space="preserve"> or thyroid hormones because there is no consistent evidence of efficacy.</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[5]</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vMerge w:val="restart"/>
            <w:vAlign w:val="center"/>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Thyroid hormones can be considered</w:t>
            </w:r>
            <w:r w:rsidRPr="00314B96">
              <w:rPr>
                <w:rFonts w:eastAsia="Arial" w:cs="Times New Roman"/>
                <w:szCs w:val="24"/>
                <w:vertAlign w:val="superscript"/>
                <w:lang w:val="en-US"/>
              </w:rPr>
              <w:t>*</w:t>
            </w:r>
          </w:p>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vertAlign w:val="superscript"/>
                <w:lang w:val="en-US"/>
              </w:rPr>
              <w:t>*</w:t>
            </w:r>
            <w:r w:rsidRPr="00314B96">
              <w:rPr>
                <w:rFonts w:eastAsia="Arial" w:cs="Times New Roman"/>
                <w:szCs w:val="24"/>
                <w:lang w:val="en-US"/>
              </w:rPr>
              <w:t xml:space="preserve">[7] recommends </w:t>
            </w:r>
            <w:proofErr w:type="spellStart"/>
            <w:r w:rsidRPr="00314B96">
              <w:rPr>
                <w:rFonts w:eastAsia="Arial" w:cs="Times New Roman"/>
                <w:szCs w:val="24"/>
                <w:lang w:val="en-US"/>
              </w:rPr>
              <w:t>liothyronine</w:t>
            </w:r>
            <w:proofErr w:type="spellEnd"/>
            <w:r w:rsidRPr="00314B96">
              <w:rPr>
                <w:rFonts w:eastAsia="Arial" w:cs="Times New Roman"/>
                <w:szCs w:val="24"/>
                <w:lang w:val="en-US"/>
              </w:rPr>
              <w:t>.</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[7]</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Highly recommended</w:t>
            </w:r>
          </w:p>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Based on good-quality studies</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Systematic reviews, meta-analyses, randomized trials, and health technology assessment reports</w:t>
            </w:r>
          </w:p>
        </w:tc>
      </w:tr>
      <w:tr w:rsidR="006E3798" w:rsidRPr="00314B96" w:rsidTr="00B40D0B">
        <w:trPr>
          <w:trHeight w:val="20"/>
        </w:trPr>
        <w:tc>
          <w:tcPr>
            <w:tcW w:w="2480" w:type="pct"/>
            <w:vMerge/>
          </w:tcPr>
          <w:p w:rsidR="006E3798" w:rsidRPr="00314B96" w:rsidRDefault="006E3798" w:rsidP="00B40D0B">
            <w:pPr>
              <w:widowControl w:val="0"/>
              <w:pBdr>
                <w:top w:val="nil"/>
                <w:left w:val="nil"/>
                <w:bottom w:val="nil"/>
                <w:right w:val="nil"/>
                <w:between w:val="nil"/>
              </w:pBdr>
              <w:spacing w:after="0" w:line="480" w:lineRule="auto"/>
              <w:rPr>
                <w:rFonts w:eastAsia="Arial" w:cs="Times New Roman"/>
                <w:szCs w:val="24"/>
                <w:lang w:val="en-US"/>
              </w:rPr>
            </w:pP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[6]</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MODIFIED GRADE</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proofErr w:type="spellStart"/>
            <w:r w:rsidRPr="00314B96">
              <w:rPr>
                <w:rFonts w:eastAsia="Arial" w:cs="Times New Roman"/>
                <w:szCs w:val="24"/>
                <w:lang w:val="en-US"/>
              </w:rPr>
              <w:t>Bupropione</w:t>
            </w:r>
            <w:proofErr w:type="spellEnd"/>
            <w:r w:rsidRPr="00314B96">
              <w:rPr>
                <w:rFonts w:eastAsia="Arial" w:cs="Times New Roman"/>
                <w:szCs w:val="24"/>
                <w:lang w:val="en-US"/>
              </w:rPr>
              <w:t xml:space="preserve">, </w:t>
            </w:r>
            <w:proofErr w:type="spellStart"/>
            <w:r w:rsidRPr="00314B96">
              <w:rPr>
                <w:rFonts w:eastAsia="Arial" w:cs="Times New Roman"/>
                <w:szCs w:val="24"/>
                <w:lang w:val="en-US"/>
              </w:rPr>
              <w:t>mianserin</w:t>
            </w:r>
            <w:proofErr w:type="spellEnd"/>
            <w:r w:rsidRPr="00314B96">
              <w:rPr>
                <w:rFonts w:eastAsia="Arial" w:cs="Times New Roman"/>
                <w:szCs w:val="24"/>
                <w:lang w:val="en-US"/>
              </w:rPr>
              <w:t xml:space="preserve">, </w:t>
            </w:r>
            <w:proofErr w:type="spellStart"/>
            <w:r w:rsidRPr="00314B96">
              <w:rPr>
                <w:rFonts w:eastAsia="Arial" w:cs="Times New Roman"/>
                <w:szCs w:val="24"/>
                <w:lang w:val="en-US"/>
              </w:rPr>
              <w:t>modafinil</w:t>
            </w:r>
            <w:proofErr w:type="spellEnd"/>
            <w:r w:rsidRPr="00314B96">
              <w:rPr>
                <w:rFonts w:eastAsia="Arial" w:cs="Times New Roman"/>
                <w:szCs w:val="24"/>
                <w:lang w:val="en-US"/>
              </w:rPr>
              <w:t>, and triiodothyronine can be considered second-line adjuvant treatments.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Recommended with moderate clinical safety</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2</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lastRenderedPageBreak/>
              <w:t>Methylphenidate and ziprasidone can be considered third-line adjuvant treatments.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3</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proofErr w:type="spellStart"/>
            <w:r w:rsidRPr="00314B96">
              <w:rPr>
                <w:rFonts w:eastAsia="Arial" w:cs="Times New Roman"/>
                <w:szCs w:val="24"/>
                <w:lang w:val="en-US"/>
              </w:rPr>
              <w:t>Lisdexamphetamine</w:t>
            </w:r>
            <w:proofErr w:type="spellEnd"/>
            <w:r w:rsidRPr="00314B96">
              <w:rPr>
                <w:rFonts w:eastAsia="Arial" w:cs="Times New Roman"/>
                <w:szCs w:val="24"/>
                <w:lang w:val="en-US"/>
              </w:rPr>
              <w:t xml:space="preserve"> and </w:t>
            </w:r>
            <w:proofErr w:type="spellStart"/>
            <w:r w:rsidRPr="00314B96">
              <w:rPr>
                <w:rFonts w:eastAsia="Arial" w:cs="Times New Roman"/>
                <w:szCs w:val="24"/>
                <w:lang w:val="en-US"/>
              </w:rPr>
              <w:t>brexpiprazol</w:t>
            </w:r>
            <w:proofErr w:type="spellEnd"/>
            <w:r w:rsidRPr="00314B96">
              <w:rPr>
                <w:rFonts w:eastAsia="Arial" w:cs="Times New Roman"/>
                <w:szCs w:val="24"/>
                <w:lang w:val="en-US"/>
              </w:rPr>
              <w:t xml:space="preserve"> can be considered second-line adjuvant treatments.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1</w:t>
            </w:r>
          </w:p>
        </w:tc>
      </w:tr>
      <w:tr w:rsidR="006E3798" w:rsidRPr="00314B96" w:rsidTr="00B40D0B">
        <w:trPr>
          <w:trHeight w:val="20"/>
        </w:trPr>
        <w:tc>
          <w:tcPr>
            <w:tcW w:w="2480" w:type="pct"/>
          </w:tcPr>
          <w:p w:rsidR="006E3798" w:rsidRPr="00314B96" w:rsidRDefault="006E3798" w:rsidP="00B40D0B">
            <w:pPr>
              <w:widowControl w:val="0"/>
              <w:spacing w:after="0" w:line="480" w:lineRule="auto"/>
              <w:rPr>
                <w:rFonts w:eastAsia="Arial" w:cs="Times New Roman"/>
                <w:szCs w:val="24"/>
                <w:lang w:val="en-US"/>
              </w:rPr>
            </w:pPr>
            <w:r w:rsidRPr="00314B96">
              <w:rPr>
                <w:rFonts w:eastAsia="Arial" w:cs="Times New Roman"/>
                <w:szCs w:val="24"/>
                <w:lang w:val="en-US"/>
              </w:rPr>
              <w:t xml:space="preserve">Tricyclic antidepressants, such as </w:t>
            </w:r>
            <w:proofErr w:type="spellStart"/>
            <w:r w:rsidRPr="00314B96">
              <w:rPr>
                <w:rFonts w:eastAsia="Arial" w:cs="Times New Roman"/>
                <w:szCs w:val="24"/>
                <w:lang w:val="en-US"/>
              </w:rPr>
              <w:t>desipramine</w:t>
            </w:r>
            <w:proofErr w:type="spellEnd"/>
            <w:r w:rsidRPr="00314B96">
              <w:rPr>
                <w:rFonts w:eastAsia="Arial" w:cs="Times New Roman"/>
                <w:szCs w:val="24"/>
                <w:lang w:val="en-US"/>
              </w:rPr>
              <w:t>, can be considered third-line adjuvant treatments.</w:t>
            </w:r>
          </w:p>
        </w:tc>
        <w:tc>
          <w:tcPr>
            <w:tcW w:w="456"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[8]</w:t>
            </w:r>
          </w:p>
        </w:tc>
        <w:tc>
          <w:tcPr>
            <w:tcW w:w="600"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OTHER</w:t>
            </w:r>
          </w:p>
        </w:tc>
        <w:tc>
          <w:tcPr>
            <w:tcW w:w="615"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_</w:t>
            </w:r>
          </w:p>
        </w:tc>
        <w:tc>
          <w:tcPr>
            <w:tcW w:w="849" w:type="pct"/>
            <w:vAlign w:val="center"/>
          </w:tcPr>
          <w:p w:rsidR="006E3798" w:rsidRPr="00314B96" w:rsidRDefault="006E3798" w:rsidP="00B40D0B">
            <w:pPr>
              <w:widowControl w:val="0"/>
              <w:spacing w:after="0" w:line="480" w:lineRule="auto"/>
              <w:jc w:val="center"/>
              <w:rPr>
                <w:rFonts w:eastAsia="Arial" w:cs="Times New Roman"/>
                <w:szCs w:val="24"/>
                <w:lang w:val="en-US"/>
              </w:rPr>
            </w:pPr>
            <w:r w:rsidRPr="00314B96">
              <w:rPr>
                <w:rFonts w:eastAsia="Arial" w:cs="Times New Roman"/>
                <w:szCs w:val="24"/>
                <w:lang w:val="en-US"/>
              </w:rPr>
              <w:t>Level 2</w:t>
            </w:r>
          </w:p>
        </w:tc>
      </w:tr>
    </w:tbl>
    <w:p w:rsidR="00D81B81" w:rsidRPr="006E3798" w:rsidRDefault="00D81B81" w:rsidP="006E3798">
      <w:pPr>
        <w:spacing w:after="0" w:line="480" w:lineRule="auto"/>
        <w:rPr>
          <w:rFonts w:eastAsia="Arial" w:cs="Times New Roman"/>
          <w:b/>
          <w:szCs w:val="24"/>
          <w:lang w:val="en-US"/>
        </w:rPr>
      </w:pPr>
    </w:p>
    <w:sectPr w:rsidR="00D81B81" w:rsidRPr="006E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DE5"/>
    <w:multiLevelType w:val="hybridMultilevel"/>
    <w:tmpl w:val="49DCD5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C96642"/>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097210"/>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6208EF"/>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C76830"/>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4C5BEB"/>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4E6C25"/>
    <w:multiLevelType w:val="hybridMultilevel"/>
    <w:tmpl w:val="223229DC"/>
    <w:lvl w:ilvl="0" w:tplc="3AAEA86E">
      <w:start w:val="1"/>
      <w:numFmt w:val="bullet"/>
      <w:lvlText w:val="•"/>
      <w:lvlJc w:val="left"/>
      <w:pPr>
        <w:tabs>
          <w:tab w:val="num" w:pos="720"/>
        </w:tabs>
        <w:ind w:left="720" w:hanging="360"/>
      </w:pPr>
      <w:rPr>
        <w:rFonts w:ascii="Arial" w:hAnsi="Arial" w:hint="default"/>
      </w:rPr>
    </w:lvl>
    <w:lvl w:ilvl="1" w:tplc="FB544F9C" w:tentative="1">
      <w:start w:val="1"/>
      <w:numFmt w:val="bullet"/>
      <w:lvlText w:val="•"/>
      <w:lvlJc w:val="left"/>
      <w:pPr>
        <w:tabs>
          <w:tab w:val="num" w:pos="1440"/>
        </w:tabs>
        <w:ind w:left="1440" w:hanging="360"/>
      </w:pPr>
      <w:rPr>
        <w:rFonts w:ascii="Arial" w:hAnsi="Arial" w:hint="default"/>
      </w:rPr>
    </w:lvl>
    <w:lvl w:ilvl="2" w:tplc="7A5E0562" w:tentative="1">
      <w:start w:val="1"/>
      <w:numFmt w:val="bullet"/>
      <w:lvlText w:val="•"/>
      <w:lvlJc w:val="left"/>
      <w:pPr>
        <w:tabs>
          <w:tab w:val="num" w:pos="2160"/>
        </w:tabs>
        <w:ind w:left="2160" w:hanging="360"/>
      </w:pPr>
      <w:rPr>
        <w:rFonts w:ascii="Arial" w:hAnsi="Arial" w:hint="default"/>
      </w:rPr>
    </w:lvl>
    <w:lvl w:ilvl="3" w:tplc="BE84864E" w:tentative="1">
      <w:start w:val="1"/>
      <w:numFmt w:val="bullet"/>
      <w:lvlText w:val="•"/>
      <w:lvlJc w:val="left"/>
      <w:pPr>
        <w:tabs>
          <w:tab w:val="num" w:pos="2880"/>
        </w:tabs>
        <w:ind w:left="2880" w:hanging="360"/>
      </w:pPr>
      <w:rPr>
        <w:rFonts w:ascii="Arial" w:hAnsi="Arial" w:hint="default"/>
      </w:rPr>
    </w:lvl>
    <w:lvl w:ilvl="4" w:tplc="DC5AF83E" w:tentative="1">
      <w:start w:val="1"/>
      <w:numFmt w:val="bullet"/>
      <w:lvlText w:val="•"/>
      <w:lvlJc w:val="left"/>
      <w:pPr>
        <w:tabs>
          <w:tab w:val="num" w:pos="3600"/>
        </w:tabs>
        <w:ind w:left="3600" w:hanging="360"/>
      </w:pPr>
      <w:rPr>
        <w:rFonts w:ascii="Arial" w:hAnsi="Arial" w:hint="default"/>
      </w:rPr>
    </w:lvl>
    <w:lvl w:ilvl="5" w:tplc="07000ABC" w:tentative="1">
      <w:start w:val="1"/>
      <w:numFmt w:val="bullet"/>
      <w:lvlText w:val="•"/>
      <w:lvlJc w:val="left"/>
      <w:pPr>
        <w:tabs>
          <w:tab w:val="num" w:pos="4320"/>
        </w:tabs>
        <w:ind w:left="4320" w:hanging="360"/>
      </w:pPr>
      <w:rPr>
        <w:rFonts w:ascii="Arial" w:hAnsi="Arial" w:hint="default"/>
      </w:rPr>
    </w:lvl>
    <w:lvl w:ilvl="6" w:tplc="1EDC281A" w:tentative="1">
      <w:start w:val="1"/>
      <w:numFmt w:val="bullet"/>
      <w:lvlText w:val="•"/>
      <w:lvlJc w:val="left"/>
      <w:pPr>
        <w:tabs>
          <w:tab w:val="num" w:pos="5040"/>
        </w:tabs>
        <w:ind w:left="5040" w:hanging="360"/>
      </w:pPr>
      <w:rPr>
        <w:rFonts w:ascii="Arial" w:hAnsi="Arial" w:hint="default"/>
      </w:rPr>
    </w:lvl>
    <w:lvl w:ilvl="7" w:tplc="D0CE07A6" w:tentative="1">
      <w:start w:val="1"/>
      <w:numFmt w:val="bullet"/>
      <w:lvlText w:val="•"/>
      <w:lvlJc w:val="left"/>
      <w:pPr>
        <w:tabs>
          <w:tab w:val="num" w:pos="5760"/>
        </w:tabs>
        <w:ind w:left="5760" w:hanging="360"/>
      </w:pPr>
      <w:rPr>
        <w:rFonts w:ascii="Arial" w:hAnsi="Arial" w:hint="default"/>
      </w:rPr>
    </w:lvl>
    <w:lvl w:ilvl="8" w:tplc="E0CC9A34" w:tentative="1">
      <w:start w:val="1"/>
      <w:numFmt w:val="bullet"/>
      <w:lvlText w:val="•"/>
      <w:lvlJc w:val="left"/>
      <w:pPr>
        <w:tabs>
          <w:tab w:val="num" w:pos="6480"/>
        </w:tabs>
        <w:ind w:left="6480" w:hanging="360"/>
      </w:pPr>
      <w:rPr>
        <w:rFonts w:ascii="Arial" w:hAnsi="Arial" w:hint="default"/>
      </w:rPr>
    </w:lvl>
  </w:abstractNum>
  <w:abstractNum w:abstractNumId="7">
    <w:nsid w:val="22B064D7"/>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FF7B6A"/>
    <w:multiLevelType w:val="hybridMultilevel"/>
    <w:tmpl w:val="BCCECB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652725"/>
    <w:multiLevelType w:val="hybridMultilevel"/>
    <w:tmpl w:val="DAA0DF3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0AB5A9D"/>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90CFE"/>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F67488"/>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855E98"/>
    <w:multiLevelType w:val="hybridMultilevel"/>
    <w:tmpl w:val="49DCD5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445939"/>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D17E87"/>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6D3306"/>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CF70B5"/>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0D3394"/>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6FB6BDA"/>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8D3E9D"/>
    <w:multiLevelType w:val="hybridMultilevel"/>
    <w:tmpl w:val="9D321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F21900"/>
    <w:multiLevelType w:val="multilevel"/>
    <w:tmpl w:val="78E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84887"/>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60552C"/>
    <w:multiLevelType w:val="hybridMultilevel"/>
    <w:tmpl w:val="49DCD5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480216"/>
    <w:multiLevelType w:val="hybridMultilevel"/>
    <w:tmpl w:val="0FC2D6AA"/>
    <w:lvl w:ilvl="0" w:tplc="0416000F">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A933E2"/>
    <w:multiLevelType w:val="hybridMultilevel"/>
    <w:tmpl w:val="D43448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C02B08"/>
    <w:multiLevelType w:val="multilevel"/>
    <w:tmpl w:val="FD16B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717EA4"/>
    <w:multiLevelType w:val="hybridMultilevel"/>
    <w:tmpl w:val="75B8B2A8"/>
    <w:lvl w:ilvl="0" w:tplc="4D68E3B2">
      <w:start w:val="1"/>
      <w:numFmt w:val="bullet"/>
      <w:lvlText w:val="•"/>
      <w:lvlJc w:val="left"/>
      <w:pPr>
        <w:tabs>
          <w:tab w:val="num" w:pos="720"/>
        </w:tabs>
        <w:ind w:left="720" w:hanging="360"/>
      </w:pPr>
      <w:rPr>
        <w:rFonts w:ascii="Arial" w:hAnsi="Arial" w:hint="default"/>
      </w:rPr>
    </w:lvl>
    <w:lvl w:ilvl="1" w:tplc="CF3A7200" w:tentative="1">
      <w:start w:val="1"/>
      <w:numFmt w:val="bullet"/>
      <w:lvlText w:val="•"/>
      <w:lvlJc w:val="left"/>
      <w:pPr>
        <w:tabs>
          <w:tab w:val="num" w:pos="1440"/>
        </w:tabs>
        <w:ind w:left="1440" w:hanging="360"/>
      </w:pPr>
      <w:rPr>
        <w:rFonts w:ascii="Arial" w:hAnsi="Arial" w:hint="default"/>
      </w:rPr>
    </w:lvl>
    <w:lvl w:ilvl="2" w:tplc="0D46943C" w:tentative="1">
      <w:start w:val="1"/>
      <w:numFmt w:val="bullet"/>
      <w:lvlText w:val="•"/>
      <w:lvlJc w:val="left"/>
      <w:pPr>
        <w:tabs>
          <w:tab w:val="num" w:pos="2160"/>
        </w:tabs>
        <w:ind w:left="2160" w:hanging="360"/>
      </w:pPr>
      <w:rPr>
        <w:rFonts w:ascii="Arial" w:hAnsi="Arial" w:hint="default"/>
      </w:rPr>
    </w:lvl>
    <w:lvl w:ilvl="3" w:tplc="5A90AD22" w:tentative="1">
      <w:start w:val="1"/>
      <w:numFmt w:val="bullet"/>
      <w:lvlText w:val="•"/>
      <w:lvlJc w:val="left"/>
      <w:pPr>
        <w:tabs>
          <w:tab w:val="num" w:pos="2880"/>
        </w:tabs>
        <w:ind w:left="2880" w:hanging="360"/>
      </w:pPr>
      <w:rPr>
        <w:rFonts w:ascii="Arial" w:hAnsi="Arial" w:hint="default"/>
      </w:rPr>
    </w:lvl>
    <w:lvl w:ilvl="4" w:tplc="8AF4144C" w:tentative="1">
      <w:start w:val="1"/>
      <w:numFmt w:val="bullet"/>
      <w:lvlText w:val="•"/>
      <w:lvlJc w:val="left"/>
      <w:pPr>
        <w:tabs>
          <w:tab w:val="num" w:pos="3600"/>
        </w:tabs>
        <w:ind w:left="3600" w:hanging="360"/>
      </w:pPr>
      <w:rPr>
        <w:rFonts w:ascii="Arial" w:hAnsi="Arial" w:hint="default"/>
      </w:rPr>
    </w:lvl>
    <w:lvl w:ilvl="5" w:tplc="02AA9878" w:tentative="1">
      <w:start w:val="1"/>
      <w:numFmt w:val="bullet"/>
      <w:lvlText w:val="•"/>
      <w:lvlJc w:val="left"/>
      <w:pPr>
        <w:tabs>
          <w:tab w:val="num" w:pos="4320"/>
        </w:tabs>
        <w:ind w:left="4320" w:hanging="360"/>
      </w:pPr>
      <w:rPr>
        <w:rFonts w:ascii="Arial" w:hAnsi="Arial" w:hint="default"/>
      </w:rPr>
    </w:lvl>
    <w:lvl w:ilvl="6" w:tplc="DB563000" w:tentative="1">
      <w:start w:val="1"/>
      <w:numFmt w:val="bullet"/>
      <w:lvlText w:val="•"/>
      <w:lvlJc w:val="left"/>
      <w:pPr>
        <w:tabs>
          <w:tab w:val="num" w:pos="5040"/>
        </w:tabs>
        <w:ind w:left="5040" w:hanging="360"/>
      </w:pPr>
      <w:rPr>
        <w:rFonts w:ascii="Arial" w:hAnsi="Arial" w:hint="default"/>
      </w:rPr>
    </w:lvl>
    <w:lvl w:ilvl="7" w:tplc="EB606AD8" w:tentative="1">
      <w:start w:val="1"/>
      <w:numFmt w:val="bullet"/>
      <w:lvlText w:val="•"/>
      <w:lvlJc w:val="left"/>
      <w:pPr>
        <w:tabs>
          <w:tab w:val="num" w:pos="5760"/>
        </w:tabs>
        <w:ind w:left="5760" w:hanging="360"/>
      </w:pPr>
      <w:rPr>
        <w:rFonts w:ascii="Arial" w:hAnsi="Arial" w:hint="default"/>
      </w:rPr>
    </w:lvl>
    <w:lvl w:ilvl="8" w:tplc="6D220C6E"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4"/>
  </w:num>
  <w:num w:numId="3">
    <w:abstractNumId w:val="14"/>
  </w:num>
  <w:num w:numId="4">
    <w:abstractNumId w:val="10"/>
  </w:num>
  <w:num w:numId="5">
    <w:abstractNumId w:val="17"/>
  </w:num>
  <w:num w:numId="6">
    <w:abstractNumId w:val="3"/>
  </w:num>
  <w:num w:numId="7">
    <w:abstractNumId w:val="22"/>
  </w:num>
  <w:num w:numId="8">
    <w:abstractNumId w:val="16"/>
  </w:num>
  <w:num w:numId="9">
    <w:abstractNumId w:val="11"/>
  </w:num>
  <w:num w:numId="10">
    <w:abstractNumId w:val="12"/>
  </w:num>
  <w:num w:numId="11">
    <w:abstractNumId w:val="7"/>
  </w:num>
  <w:num w:numId="12">
    <w:abstractNumId w:val="19"/>
  </w:num>
  <w:num w:numId="13">
    <w:abstractNumId w:val="2"/>
  </w:num>
  <w:num w:numId="14">
    <w:abstractNumId w:val="15"/>
  </w:num>
  <w:num w:numId="15">
    <w:abstractNumId w:val="18"/>
  </w:num>
  <w:num w:numId="16">
    <w:abstractNumId w:val="4"/>
  </w:num>
  <w:num w:numId="17">
    <w:abstractNumId w:val="5"/>
  </w:num>
  <w:num w:numId="18">
    <w:abstractNumId w:val="1"/>
  </w:num>
  <w:num w:numId="19">
    <w:abstractNumId w:val="2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3"/>
  </w:num>
  <w:num w:numId="24">
    <w:abstractNumId w:val="21"/>
  </w:num>
  <w:num w:numId="25">
    <w:abstractNumId w:val="27"/>
  </w:num>
  <w:num w:numId="26">
    <w:abstractNumId w:val="6"/>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13"/>
    <w:rsid w:val="00695813"/>
    <w:rsid w:val="006E3798"/>
    <w:rsid w:val="00A72A5D"/>
    <w:rsid w:val="00D241B1"/>
    <w:rsid w:val="00D81B81"/>
    <w:rsid w:val="00E5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13"/>
    <w:pPr>
      <w:spacing w:after="160" w:line="256" w:lineRule="auto"/>
    </w:pPr>
    <w:rPr>
      <w:rFonts w:ascii="Times New Roman" w:hAnsi="Times New Roman" w:cs="Calibri"/>
      <w:sz w:val="24"/>
      <w:szCs w:val="20"/>
      <w:lang w:val="en-CA"/>
    </w:rPr>
  </w:style>
  <w:style w:type="paragraph" w:styleId="Heading1">
    <w:name w:val="heading 1"/>
    <w:basedOn w:val="Normal"/>
    <w:next w:val="Normal"/>
    <w:link w:val="Heading1Char"/>
    <w:uiPriority w:val="9"/>
    <w:qFormat/>
    <w:rsid w:val="006E37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6E3798"/>
    <w:pPr>
      <w:keepNext/>
      <w:keepLines/>
      <w:spacing w:before="360" w:after="80"/>
      <w:outlineLvl w:val="1"/>
    </w:pPr>
    <w:rPr>
      <w:b/>
      <w:sz w:val="36"/>
      <w:szCs w:val="36"/>
    </w:rPr>
  </w:style>
  <w:style w:type="paragraph" w:styleId="Heading3">
    <w:name w:val="heading 3"/>
    <w:basedOn w:val="Normal"/>
    <w:next w:val="Normal"/>
    <w:link w:val="Heading3Char"/>
    <w:rsid w:val="006E3798"/>
    <w:pPr>
      <w:keepNext/>
      <w:keepLines/>
      <w:spacing w:before="280" w:after="80"/>
      <w:outlineLvl w:val="2"/>
    </w:pPr>
    <w:rPr>
      <w:b/>
      <w:sz w:val="28"/>
      <w:szCs w:val="28"/>
    </w:rPr>
  </w:style>
  <w:style w:type="paragraph" w:styleId="Heading4">
    <w:name w:val="heading 4"/>
    <w:basedOn w:val="Normal"/>
    <w:next w:val="Normal"/>
    <w:link w:val="Heading4Char"/>
    <w:rsid w:val="006E3798"/>
    <w:pPr>
      <w:keepNext/>
      <w:keepLines/>
      <w:spacing w:before="240" w:after="40"/>
      <w:outlineLvl w:val="3"/>
    </w:pPr>
    <w:rPr>
      <w:b/>
      <w:szCs w:val="24"/>
    </w:rPr>
  </w:style>
  <w:style w:type="paragraph" w:styleId="Heading5">
    <w:name w:val="heading 5"/>
    <w:basedOn w:val="Normal"/>
    <w:next w:val="Normal"/>
    <w:link w:val="Heading5Char"/>
    <w:rsid w:val="006E3798"/>
    <w:pPr>
      <w:keepNext/>
      <w:keepLines/>
      <w:spacing w:before="220" w:after="40"/>
      <w:outlineLvl w:val="4"/>
    </w:pPr>
    <w:rPr>
      <w:b/>
    </w:rPr>
  </w:style>
  <w:style w:type="paragraph" w:styleId="Heading6">
    <w:name w:val="heading 6"/>
    <w:basedOn w:val="Normal"/>
    <w:next w:val="Normal"/>
    <w:link w:val="Heading6Char"/>
    <w:rsid w:val="006E3798"/>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E5B"/>
    <w:rPr>
      <w:color w:val="0000FF" w:themeColor="hyperlink"/>
      <w:u w:val="single"/>
    </w:rPr>
  </w:style>
  <w:style w:type="character" w:styleId="Strong">
    <w:name w:val="Strong"/>
    <w:uiPriority w:val="22"/>
    <w:qFormat/>
    <w:rsid w:val="00E56E5B"/>
    <w:rPr>
      <w:b/>
      <w:bCs/>
    </w:rPr>
  </w:style>
  <w:style w:type="character" w:customStyle="1" w:styleId="meta-citation">
    <w:name w:val="meta-citation"/>
    <w:basedOn w:val="DefaultParagraphFont"/>
    <w:rsid w:val="00E56E5B"/>
  </w:style>
  <w:style w:type="table" w:styleId="TableGrid">
    <w:name w:val="Table Grid"/>
    <w:basedOn w:val="TableNormal"/>
    <w:uiPriority w:val="59"/>
    <w:rsid w:val="00D241B1"/>
    <w:pPr>
      <w:spacing w:after="0" w:line="240" w:lineRule="auto"/>
      <w:jc w:val="both"/>
    </w:pPr>
    <w:rPr>
      <w:rFonts w:ascii="Calibri" w:eastAsia="Calibri" w:hAnsi="Calibri" w:cs="Times New Roman"/>
      <w:sz w:val="24"/>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3798"/>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rsid w:val="006E3798"/>
    <w:rPr>
      <w:rFonts w:ascii="Times New Roman" w:hAnsi="Times New Roman" w:cs="Calibri"/>
      <w:b/>
      <w:sz w:val="36"/>
      <w:szCs w:val="36"/>
      <w:lang w:val="en-CA"/>
    </w:rPr>
  </w:style>
  <w:style w:type="character" w:customStyle="1" w:styleId="Heading3Char">
    <w:name w:val="Heading 3 Char"/>
    <w:basedOn w:val="DefaultParagraphFont"/>
    <w:link w:val="Heading3"/>
    <w:rsid w:val="006E3798"/>
    <w:rPr>
      <w:rFonts w:ascii="Times New Roman" w:hAnsi="Times New Roman" w:cs="Calibri"/>
      <w:b/>
      <w:sz w:val="28"/>
      <w:szCs w:val="28"/>
      <w:lang w:val="en-CA"/>
    </w:rPr>
  </w:style>
  <w:style w:type="character" w:customStyle="1" w:styleId="Heading4Char">
    <w:name w:val="Heading 4 Char"/>
    <w:basedOn w:val="DefaultParagraphFont"/>
    <w:link w:val="Heading4"/>
    <w:rsid w:val="006E3798"/>
    <w:rPr>
      <w:rFonts w:ascii="Times New Roman" w:hAnsi="Times New Roman" w:cs="Calibri"/>
      <w:b/>
      <w:sz w:val="24"/>
      <w:szCs w:val="24"/>
      <w:lang w:val="en-CA"/>
    </w:rPr>
  </w:style>
  <w:style w:type="character" w:customStyle="1" w:styleId="Heading5Char">
    <w:name w:val="Heading 5 Char"/>
    <w:basedOn w:val="DefaultParagraphFont"/>
    <w:link w:val="Heading5"/>
    <w:rsid w:val="006E3798"/>
    <w:rPr>
      <w:rFonts w:ascii="Times New Roman" w:hAnsi="Times New Roman" w:cs="Calibri"/>
      <w:b/>
      <w:sz w:val="24"/>
      <w:szCs w:val="20"/>
      <w:lang w:val="en-CA"/>
    </w:rPr>
  </w:style>
  <w:style w:type="character" w:customStyle="1" w:styleId="Heading6Char">
    <w:name w:val="Heading 6 Char"/>
    <w:basedOn w:val="DefaultParagraphFont"/>
    <w:link w:val="Heading6"/>
    <w:rsid w:val="006E3798"/>
    <w:rPr>
      <w:rFonts w:ascii="Times New Roman" w:hAnsi="Times New Roman" w:cs="Calibri"/>
      <w:b/>
      <w:sz w:val="20"/>
      <w:szCs w:val="20"/>
      <w:lang w:val="en-CA"/>
    </w:rPr>
  </w:style>
  <w:style w:type="paragraph" w:styleId="Title">
    <w:name w:val="Title"/>
    <w:basedOn w:val="Normal"/>
    <w:next w:val="Normal"/>
    <w:link w:val="TitleChar"/>
    <w:rsid w:val="006E3798"/>
    <w:pPr>
      <w:keepNext/>
      <w:keepLines/>
      <w:spacing w:before="480" w:after="120"/>
    </w:pPr>
    <w:rPr>
      <w:b/>
      <w:sz w:val="72"/>
      <w:szCs w:val="72"/>
    </w:rPr>
  </w:style>
  <w:style w:type="character" w:customStyle="1" w:styleId="TitleChar">
    <w:name w:val="Title Char"/>
    <w:basedOn w:val="DefaultParagraphFont"/>
    <w:link w:val="Title"/>
    <w:rsid w:val="006E3798"/>
    <w:rPr>
      <w:rFonts w:ascii="Times New Roman" w:hAnsi="Times New Roman" w:cs="Calibri"/>
      <w:b/>
      <w:sz w:val="72"/>
      <w:szCs w:val="72"/>
      <w:lang w:val="en-CA"/>
    </w:rPr>
  </w:style>
  <w:style w:type="paragraph" w:styleId="CommentText">
    <w:name w:val="annotation text"/>
    <w:basedOn w:val="Normal"/>
    <w:link w:val="CommentTextChar"/>
    <w:uiPriority w:val="99"/>
    <w:unhideWhenUsed/>
    <w:rsid w:val="006E3798"/>
    <w:pPr>
      <w:spacing w:line="240" w:lineRule="auto"/>
    </w:pPr>
    <w:rPr>
      <w:sz w:val="20"/>
      <w:lang w:val="en-GB"/>
    </w:rPr>
  </w:style>
  <w:style w:type="character" w:customStyle="1" w:styleId="CommentTextChar">
    <w:name w:val="Comment Text Char"/>
    <w:basedOn w:val="DefaultParagraphFont"/>
    <w:link w:val="CommentText"/>
    <w:uiPriority w:val="99"/>
    <w:rsid w:val="006E3798"/>
    <w:rPr>
      <w:rFonts w:ascii="Times New Roman" w:hAnsi="Times New Roman" w:cs="Calibri"/>
      <w:sz w:val="20"/>
      <w:szCs w:val="20"/>
      <w:lang w:val="en-GB"/>
    </w:rPr>
  </w:style>
  <w:style w:type="paragraph" w:styleId="ListParagraph">
    <w:name w:val="List Paragraph"/>
    <w:basedOn w:val="Normal"/>
    <w:uiPriority w:val="34"/>
    <w:qFormat/>
    <w:rsid w:val="006E3798"/>
    <w:pPr>
      <w:ind w:left="720"/>
      <w:contextualSpacing/>
    </w:pPr>
  </w:style>
  <w:style w:type="character" w:customStyle="1" w:styleId="BalloonTextChar">
    <w:name w:val="Balloon Text Char"/>
    <w:basedOn w:val="DefaultParagraphFont"/>
    <w:link w:val="BalloonText"/>
    <w:uiPriority w:val="99"/>
    <w:semiHidden/>
    <w:rsid w:val="006E3798"/>
    <w:rPr>
      <w:rFonts w:ascii="Segoe UI" w:eastAsia="Calibri" w:hAnsi="Segoe UI" w:cs="Segoe UI"/>
      <w:sz w:val="18"/>
      <w:szCs w:val="18"/>
      <w:lang w:eastAsia="pt-BR"/>
    </w:rPr>
  </w:style>
  <w:style w:type="paragraph" w:styleId="BalloonText">
    <w:name w:val="Balloon Text"/>
    <w:basedOn w:val="Normal"/>
    <w:link w:val="BalloonTextChar"/>
    <w:uiPriority w:val="99"/>
    <w:semiHidden/>
    <w:unhideWhenUsed/>
    <w:rsid w:val="006E3798"/>
    <w:pPr>
      <w:spacing w:after="0" w:line="240" w:lineRule="auto"/>
    </w:pPr>
    <w:rPr>
      <w:rFonts w:ascii="Segoe UI" w:eastAsia="Calibri" w:hAnsi="Segoe UI" w:cs="Segoe UI"/>
      <w:sz w:val="18"/>
      <w:szCs w:val="18"/>
      <w:lang w:val="en-US" w:eastAsia="pt-BR"/>
    </w:rPr>
  </w:style>
  <w:style w:type="character" w:customStyle="1" w:styleId="BalloonTextChar1">
    <w:name w:val="Balloon Text Char1"/>
    <w:basedOn w:val="DefaultParagraphFont"/>
    <w:uiPriority w:val="99"/>
    <w:semiHidden/>
    <w:rsid w:val="006E3798"/>
    <w:rPr>
      <w:rFonts w:ascii="Tahoma" w:hAnsi="Tahoma" w:cs="Tahoma"/>
      <w:sz w:val="16"/>
      <w:szCs w:val="16"/>
      <w:lang w:val="en-CA"/>
    </w:rPr>
  </w:style>
  <w:style w:type="paragraph" w:customStyle="1" w:styleId="Tabela">
    <w:name w:val="Tabela"/>
    <w:basedOn w:val="Normal"/>
    <w:rsid w:val="006E3798"/>
    <w:pPr>
      <w:keepNext/>
      <w:keepLines/>
      <w:tabs>
        <w:tab w:val="left" w:pos="1701"/>
      </w:tabs>
      <w:suppressAutoHyphens/>
      <w:spacing w:before="120" w:after="120" w:line="240" w:lineRule="auto"/>
      <w:jc w:val="both"/>
    </w:pPr>
    <w:rPr>
      <w:rFonts w:ascii="Arial" w:eastAsia="Times New Roman" w:hAnsi="Arial" w:cs="Times New Roman"/>
      <w:sz w:val="20"/>
    </w:rPr>
  </w:style>
  <w:style w:type="paragraph" w:styleId="HTMLPreformatted">
    <w:name w:val="HTML Preformatted"/>
    <w:basedOn w:val="Normal"/>
    <w:link w:val="HTMLPreformattedChar"/>
    <w:uiPriority w:val="99"/>
    <w:unhideWhenUsed/>
    <w:rsid w:val="006E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E3798"/>
    <w:rPr>
      <w:rFonts w:ascii="Courier New" w:eastAsia="Times New Roman" w:hAnsi="Courier New" w:cs="Courier New"/>
      <w:sz w:val="20"/>
      <w:szCs w:val="20"/>
      <w:lang w:val="en-CA"/>
    </w:rPr>
  </w:style>
  <w:style w:type="paragraph" w:styleId="BodyTextIndent">
    <w:name w:val="Body Text Indent"/>
    <w:basedOn w:val="Normal"/>
    <w:link w:val="BodyTextIndentChar"/>
    <w:uiPriority w:val="99"/>
    <w:unhideWhenUsed/>
    <w:rsid w:val="006E3798"/>
    <w:pPr>
      <w:spacing w:after="0" w:line="360" w:lineRule="auto"/>
      <w:ind w:firstLine="708"/>
      <w:jc w:val="both"/>
    </w:pPr>
    <w:rPr>
      <w:rFonts w:ascii="Arial" w:hAnsi="Arial" w:cs="Arial"/>
      <w:szCs w:val="24"/>
    </w:rPr>
  </w:style>
  <w:style w:type="character" w:customStyle="1" w:styleId="BodyTextIndentChar">
    <w:name w:val="Body Text Indent Char"/>
    <w:basedOn w:val="DefaultParagraphFont"/>
    <w:link w:val="BodyTextIndent"/>
    <w:uiPriority w:val="99"/>
    <w:rsid w:val="006E3798"/>
    <w:rPr>
      <w:rFonts w:ascii="Arial" w:hAnsi="Arial" w:cs="Arial"/>
      <w:sz w:val="24"/>
      <w:szCs w:val="24"/>
      <w:lang w:val="en-CA"/>
    </w:rPr>
  </w:style>
  <w:style w:type="paragraph" w:styleId="BodyTextIndent2">
    <w:name w:val="Body Text Indent 2"/>
    <w:basedOn w:val="Normal"/>
    <w:link w:val="BodyTextIndent2Char"/>
    <w:uiPriority w:val="99"/>
    <w:unhideWhenUsed/>
    <w:rsid w:val="006E3798"/>
    <w:pPr>
      <w:spacing w:after="0" w:line="360" w:lineRule="auto"/>
      <w:ind w:firstLine="709"/>
      <w:jc w:val="both"/>
    </w:pPr>
    <w:rPr>
      <w:rFonts w:ascii="Arial" w:hAnsi="Arial" w:cs="Arial"/>
      <w:szCs w:val="24"/>
    </w:rPr>
  </w:style>
  <w:style w:type="character" w:customStyle="1" w:styleId="BodyTextIndent2Char">
    <w:name w:val="Body Text Indent 2 Char"/>
    <w:basedOn w:val="DefaultParagraphFont"/>
    <w:link w:val="BodyTextIndent2"/>
    <w:uiPriority w:val="99"/>
    <w:rsid w:val="006E3798"/>
    <w:rPr>
      <w:rFonts w:ascii="Arial" w:hAnsi="Arial" w:cs="Arial"/>
      <w:sz w:val="24"/>
      <w:szCs w:val="24"/>
      <w:lang w:val="en-CA"/>
    </w:rPr>
  </w:style>
  <w:style w:type="character" w:styleId="Emphasis">
    <w:name w:val="Emphasis"/>
    <w:basedOn w:val="DefaultParagraphFont"/>
    <w:uiPriority w:val="20"/>
    <w:qFormat/>
    <w:rsid w:val="006E3798"/>
    <w:rPr>
      <w:i/>
      <w:iCs/>
    </w:rPr>
  </w:style>
  <w:style w:type="paragraph" w:customStyle="1" w:styleId="yiv8169809108msonormal">
    <w:name w:val="yiv8169809108msonormal"/>
    <w:basedOn w:val="Normal"/>
    <w:rsid w:val="006E3798"/>
    <w:pPr>
      <w:spacing w:before="100" w:beforeAutospacing="1" w:after="100" w:afterAutospacing="1" w:line="240" w:lineRule="auto"/>
    </w:pPr>
    <w:rPr>
      <w:rFonts w:eastAsia="Times New Roman" w:cs="Times New Roman"/>
      <w:szCs w:val="24"/>
    </w:rPr>
  </w:style>
  <w:style w:type="character" w:customStyle="1" w:styleId="CommentSubjectChar">
    <w:name w:val="Comment Subject Char"/>
    <w:basedOn w:val="CommentTextChar"/>
    <w:link w:val="CommentSubject"/>
    <w:uiPriority w:val="99"/>
    <w:semiHidden/>
    <w:rsid w:val="006E3798"/>
    <w:rPr>
      <w:rFonts w:ascii="Calibri" w:eastAsia="Calibri" w:hAnsi="Calibri" w:cs="Calibri"/>
      <w:b/>
      <w:bCs/>
      <w:sz w:val="20"/>
      <w:szCs w:val="20"/>
      <w:lang w:val="pt-BR" w:eastAsia="pt-BR"/>
    </w:rPr>
  </w:style>
  <w:style w:type="paragraph" w:styleId="CommentSubject">
    <w:name w:val="annotation subject"/>
    <w:basedOn w:val="CommentText"/>
    <w:next w:val="CommentText"/>
    <w:link w:val="CommentSubjectChar"/>
    <w:uiPriority w:val="99"/>
    <w:semiHidden/>
    <w:unhideWhenUsed/>
    <w:rsid w:val="006E3798"/>
    <w:rPr>
      <w:rFonts w:ascii="Calibri" w:eastAsia="Calibri" w:hAnsi="Calibri"/>
      <w:b/>
      <w:bCs/>
      <w:lang w:val="pt-BR" w:eastAsia="pt-BR"/>
    </w:rPr>
  </w:style>
  <w:style w:type="character" w:customStyle="1" w:styleId="CommentSubjectChar1">
    <w:name w:val="Comment Subject Char1"/>
    <w:basedOn w:val="CommentTextChar"/>
    <w:uiPriority w:val="99"/>
    <w:semiHidden/>
    <w:rsid w:val="006E3798"/>
    <w:rPr>
      <w:rFonts w:ascii="Times New Roman" w:hAnsi="Times New Roman" w:cs="Calibri"/>
      <w:b/>
      <w:bCs/>
      <w:sz w:val="20"/>
      <w:szCs w:val="20"/>
      <w:lang w:val="en-GB"/>
    </w:rPr>
  </w:style>
  <w:style w:type="paragraph" w:styleId="Header">
    <w:name w:val="header"/>
    <w:basedOn w:val="Normal"/>
    <w:link w:val="HeaderChar"/>
    <w:uiPriority w:val="99"/>
    <w:unhideWhenUsed/>
    <w:rsid w:val="006E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98"/>
    <w:rPr>
      <w:rFonts w:ascii="Times New Roman" w:hAnsi="Times New Roman" w:cs="Calibri"/>
      <w:sz w:val="24"/>
      <w:szCs w:val="20"/>
      <w:lang w:val="en-CA"/>
    </w:rPr>
  </w:style>
  <w:style w:type="paragraph" w:styleId="Footer">
    <w:name w:val="footer"/>
    <w:basedOn w:val="Normal"/>
    <w:link w:val="FooterChar"/>
    <w:uiPriority w:val="99"/>
    <w:unhideWhenUsed/>
    <w:rsid w:val="006E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98"/>
    <w:rPr>
      <w:rFonts w:ascii="Times New Roman" w:hAnsi="Times New Roman" w:cs="Calibri"/>
      <w:sz w:val="24"/>
      <w:szCs w:val="20"/>
      <w:lang w:val="en-CA"/>
    </w:rPr>
  </w:style>
  <w:style w:type="character" w:customStyle="1" w:styleId="apple-converted-space">
    <w:name w:val="apple-converted-space"/>
    <w:basedOn w:val="DefaultParagraphFont"/>
    <w:rsid w:val="006E3798"/>
  </w:style>
  <w:style w:type="character" w:customStyle="1" w:styleId="TextodecomentrioChar1">
    <w:name w:val="Texto de comentário Char1"/>
    <w:uiPriority w:val="99"/>
    <w:rsid w:val="006E3798"/>
    <w:rPr>
      <w:rFonts w:ascii="Arial" w:eastAsia="Times New Roman" w:hAnsi="Arial" w:cs="Times New Roman"/>
      <w:snapToGrid w:val="0"/>
      <w:sz w:val="20"/>
      <w:szCs w:val="20"/>
      <w:lang w:eastAsia="pt-BR"/>
    </w:rPr>
  </w:style>
  <w:style w:type="character" w:customStyle="1" w:styleId="avw">
    <w:name w:val="avw"/>
    <w:basedOn w:val="DefaultParagraphFont"/>
    <w:rsid w:val="006E3798"/>
  </w:style>
  <w:style w:type="character" w:customStyle="1" w:styleId="highwire-citation-authors">
    <w:name w:val="highwire-citation-authors"/>
    <w:basedOn w:val="DefaultParagraphFont"/>
    <w:rsid w:val="006E3798"/>
  </w:style>
  <w:style w:type="character" w:customStyle="1" w:styleId="highwire-citation-author">
    <w:name w:val="highwire-citation-author"/>
    <w:basedOn w:val="DefaultParagraphFont"/>
    <w:rsid w:val="006E3798"/>
  </w:style>
  <w:style w:type="character" w:customStyle="1" w:styleId="highlight">
    <w:name w:val="highlight"/>
    <w:basedOn w:val="DefaultParagraphFont"/>
    <w:rsid w:val="006E3798"/>
  </w:style>
  <w:style w:type="paragraph" w:styleId="Caption">
    <w:name w:val="caption"/>
    <w:basedOn w:val="Normal"/>
    <w:next w:val="Normal"/>
    <w:uiPriority w:val="35"/>
    <w:unhideWhenUsed/>
    <w:qFormat/>
    <w:rsid w:val="006E3798"/>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6E3798"/>
    <w:pPr>
      <w:spacing w:after="0" w:line="240" w:lineRule="auto"/>
    </w:pPr>
    <w:rPr>
      <w:sz w:val="20"/>
      <w:lang w:val="en-GB"/>
    </w:rPr>
  </w:style>
  <w:style w:type="character" w:customStyle="1" w:styleId="FootnoteTextChar">
    <w:name w:val="Footnote Text Char"/>
    <w:basedOn w:val="DefaultParagraphFont"/>
    <w:link w:val="FootnoteText"/>
    <w:uiPriority w:val="99"/>
    <w:semiHidden/>
    <w:rsid w:val="006E3798"/>
    <w:rPr>
      <w:rFonts w:ascii="Times New Roman" w:hAnsi="Times New Roman" w:cs="Calibri"/>
      <w:sz w:val="20"/>
      <w:szCs w:val="20"/>
      <w:lang w:val="en-GB"/>
    </w:rPr>
  </w:style>
  <w:style w:type="paragraph" w:styleId="Subtitle">
    <w:name w:val="Subtitle"/>
    <w:basedOn w:val="Normal"/>
    <w:next w:val="Normal"/>
    <w:link w:val="SubtitleChar"/>
    <w:rsid w:val="006E379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E3798"/>
    <w:rPr>
      <w:rFonts w:ascii="Georgia" w:eastAsia="Georgia" w:hAnsi="Georgia" w:cs="Georgia"/>
      <w:i/>
      <w:color w:val="666666"/>
      <w:sz w:val="48"/>
      <w:szCs w:val="48"/>
      <w:lang w:val="en-CA"/>
    </w:rPr>
  </w:style>
  <w:style w:type="table" w:customStyle="1" w:styleId="7">
    <w:name w:val="7"/>
    <w:basedOn w:val="TableNormal"/>
    <w:rsid w:val="006E3798"/>
    <w:pPr>
      <w:spacing w:after="160" w:line="256" w:lineRule="auto"/>
    </w:pPr>
    <w:rPr>
      <w:rFonts w:ascii="Calibri" w:eastAsia="Calibri" w:hAnsi="Calibri" w:cs="Calibri"/>
      <w:sz w:val="24"/>
      <w:szCs w:val="20"/>
      <w:lang w:eastAsia="pt-BR"/>
    </w:rPr>
    <w:tblPr>
      <w:tblStyleRowBandSize w:val="1"/>
      <w:tblStyleColBandSize w:val="1"/>
      <w:tblCellMar>
        <w:left w:w="115" w:type="dxa"/>
        <w:right w:w="115" w:type="dxa"/>
      </w:tblCellMar>
    </w:tblPr>
  </w:style>
  <w:style w:type="table" w:customStyle="1" w:styleId="6">
    <w:name w:val="6"/>
    <w:basedOn w:val="TableNormal"/>
    <w:rsid w:val="006E3798"/>
    <w:pPr>
      <w:spacing w:after="160" w:line="256" w:lineRule="auto"/>
    </w:pPr>
    <w:rPr>
      <w:rFonts w:ascii="Calibri" w:eastAsia="Calibri" w:hAnsi="Calibri" w:cs="Calibri"/>
      <w:sz w:val="24"/>
      <w:szCs w:val="20"/>
      <w:lang w:eastAsia="pt-BR"/>
    </w:rPr>
    <w:tblPr>
      <w:tblStyleRowBandSize w:val="1"/>
      <w:tblStyleColBandSize w:val="1"/>
      <w:tblCellMar>
        <w:left w:w="115" w:type="dxa"/>
        <w:right w:w="115" w:type="dxa"/>
      </w:tblCellMar>
    </w:tblPr>
  </w:style>
  <w:style w:type="table" w:customStyle="1" w:styleId="5">
    <w:name w:val="5"/>
    <w:basedOn w:val="TableNormal"/>
    <w:rsid w:val="006E3798"/>
    <w:pPr>
      <w:spacing w:after="160" w:line="256" w:lineRule="auto"/>
    </w:pPr>
    <w:rPr>
      <w:rFonts w:ascii="Calibri" w:eastAsia="Calibri" w:hAnsi="Calibri" w:cs="Calibri"/>
      <w:sz w:val="24"/>
      <w:szCs w:val="20"/>
      <w:lang w:eastAsia="pt-BR"/>
    </w:rPr>
    <w:tblPr>
      <w:tblStyleRowBandSize w:val="1"/>
      <w:tblStyleColBandSize w:val="1"/>
      <w:tblCellMar>
        <w:left w:w="115" w:type="dxa"/>
        <w:right w:w="115" w:type="dxa"/>
      </w:tblCellMar>
    </w:tblPr>
  </w:style>
  <w:style w:type="table" w:customStyle="1" w:styleId="4">
    <w:name w:val="4"/>
    <w:basedOn w:val="TableNormal"/>
    <w:rsid w:val="006E3798"/>
    <w:pPr>
      <w:spacing w:after="160" w:line="256" w:lineRule="auto"/>
    </w:pPr>
    <w:rPr>
      <w:rFonts w:ascii="Calibri" w:eastAsia="Calibri" w:hAnsi="Calibri" w:cs="Calibri"/>
      <w:sz w:val="24"/>
      <w:szCs w:val="20"/>
      <w:lang w:eastAsia="pt-BR"/>
    </w:rPr>
    <w:tblPr>
      <w:tblStyleRowBandSize w:val="1"/>
      <w:tblStyleColBandSize w:val="1"/>
      <w:tblCellMar>
        <w:left w:w="115" w:type="dxa"/>
        <w:right w:w="115" w:type="dxa"/>
      </w:tblCellMar>
    </w:tblPr>
  </w:style>
  <w:style w:type="character" w:customStyle="1" w:styleId="tlid-translation">
    <w:name w:val="tlid-translation"/>
    <w:basedOn w:val="DefaultParagraphFont"/>
    <w:rsid w:val="006E3798"/>
  </w:style>
  <w:style w:type="character" w:customStyle="1" w:styleId="EndnoteTextChar">
    <w:name w:val="Endnote Text Char"/>
    <w:basedOn w:val="DefaultParagraphFont"/>
    <w:link w:val="EndnoteText"/>
    <w:uiPriority w:val="99"/>
    <w:semiHidden/>
    <w:rsid w:val="006E3798"/>
    <w:rPr>
      <w:rFonts w:ascii="Calibri" w:eastAsia="Calibri" w:hAnsi="Calibri" w:cs="Calibri"/>
      <w:sz w:val="20"/>
      <w:szCs w:val="20"/>
      <w:lang w:eastAsia="pt-BR"/>
    </w:rPr>
  </w:style>
  <w:style w:type="paragraph" w:styleId="EndnoteText">
    <w:name w:val="endnote text"/>
    <w:basedOn w:val="Normal"/>
    <w:link w:val="EndnoteTextChar"/>
    <w:uiPriority w:val="99"/>
    <w:semiHidden/>
    <w:unhideWhenUsed/>
    <w:rsid w:val="006E3798"/>
    <w:pPr>
      <w:spacing w:after="0" w:line="240" w:lineRule="auto"/>
    </w:pPr>
    <w:rPr>
      <w:rFonts w:ascii="Calibri" w:eastAsia="Calibri" w:hAnsi="Calibri"/>
      <w:sz w:val="20"/>
      <w:lang w:val="en-US" w:eastAsia="pt-BR"/>
    </w:rPr>
  </w:style>
  <w:style w:type="character" w:customStyle="1" w:styleId="EndnoteTextChar1">
    <w:name w:val="Endnote Text Char1"/>
    <w:basedOn w:val="DefaultParagraphFont"/>
    <w:uiPriority w:val="99"/>
    <w:semiHidden/>
    <w:rsid w:val="006E3798"/>
    <w:rPr>
      <w:rFonts w:ascii="Times New Roman" w:hAnsi="Times New Roman" w:cs="Calibri"/>
      <w:sz w:val="20"/>
      <w:szCs w:val="20"/>
      <w:lang w:val="en-CA"/>
    </w:rPr>
  </w:style>
  <w:style w:type="character" w:customStyle="1" w:styleId="fm-role">
    <w:name w:val="fm-role"/>
    <w:basedOn w:val="DefaultParagraphFont"/>
    <w:rsid w:val="006E3798"/>
  </w:style>
  <w:style w:type="paragraph" w:customStyle="1" w:styleId="xmsonormal">
    <w:name w:val="x_msonormal"/>
    <w:basedOn w:val="Normal"/>
    <w:rsid w:val="006E3798"/>
    <w:pPr>
      <w:spacing w:before="100" w:beforeAutospacing="1" w:after="100" w:afterAutospacing="1" w:line="240" w:lineRule="auto"/>
    </w:pPr>
    <w:rPr>
      <w:rFonts w:eastAsia="Times New Roman" w:cs="Times New Roman"/>
      <w:szCs w:val="24"/>
      <w:lang w:val="pt-BR"/>
    </w:rPr>
  </w:style>
  <w:style w:type="character" w:styleId="LineNumber">
    <w:name w:val="line number"/>
    <w:basedOn w:val="DefaultParagraphFont"/>
    <w:uiPriority w:val="99"/>
    <w:semiHidden/>
    <w:unhideWhenUsed/>
    <w:rsid w:val="006E3798"/>
  </w:style>
  <w:style w:type="character" w:styleId="CommentReference">
    <w:name w:val="annotation reference"/>
    <w:basedOn w:val="DefaultParagraphFont"/>
    <w:uiPriority w:val="99"/>
    <w:semiHidden/>
    <w:unhideWhenUsed/>
    <w:rsid w:val="006E3798"/>
    <w:rPr>
      <w:sz w:val="16"/>
      <w:szCs w:val="16"/>
    </w:rPr>
  </w:style>
  <w:style w:type="paragraph" w:styleId="Revision">
    <w:name w:val="Revision"/>
    <w:hidden/>
    <w:uiPriority w:val="99"/>
    <w:semiHidden/>
    <w:rsid w:val="006E3798"/>
    <w:pPr>
      <w:spacing w:after="0" w:line="240" w:lineRule="auto"/>
    </w:pPr>
    <w:rPr>
      <w:rFonts w:ascii="Times New Roman" w:hAnsi="Times New Roman" w:cs="Calibri"/>
      <w:sz w:val="24"/>
      <w:szCs w:val="20"/>
      <w:lang w:val="en-CA"/>
    </w:rPr>
  </w:style>
  <w:style w:type="character" w:customStyle="1" w:styleId="UnresolvedMention1">
    <w:name w:val="Unresolved Mention1"/>
    <w:basedOn w:val="DefaultParagraphFont"/>
    <w:uiPriority w:val="99"/>
    <w:semiHidden/>
    <w:unhideWhenUsed/>
    <w:rsid w:val="006E3798"/>
    <w:rPr>
      <w:color w:val="605E5C"/>
      <w:shd w:val="clear" w:color="auto" w:fill="E1DFDD"/>
    </w:rPr>
  </w:style>
  <w:style w:type="character" w:customStyle="1" w:styleId="cls-response">
    <w:name w:val="cls-response"/>
    <w:basedOn w:val="DefaultParagraphFont"/>
    <w:rsid w:val="006E3798"/>
  </w:style>
  <w:style w:type="character" w:customStyle="1" w:styleId="MenoPendente1">
    <w:name w:val="Menção Pendente1"/>
    <w:basedOn w:val="DefaultParagraphFont"/>
    <w:uiPriority w:val="99"/>
    <w:semiHidden/>
    <w:unhideWhenUsed/>
    <w:rsid w:val="006E37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13"/>
    <w:pPr>
      <w:spacing w:after="160" w:line="256" w:lineRule="auto"/>
    </w:pPr>
    <w:rPr>
      <w:rFonts w:ascii="Times New Roman" w:hAnsi="Times New Roman" w:cs="Calibri"/>
      <w:sz w:val="24"/>
      <w:szCs w:val="20"/>
      <w:lang w:val="en-CA"/>
    </w:rPr>
  </w:style>
  <w:style w:type="paragraph" w:styleId="Heading1">
    <w:name w:val="heading 1"/>
    <w:basedOn w:val="Normal"/>
    <w:next w:val="Normal"/>
    <w:link w:val="Heading1Char"/>
    <w:uiPriority w:val="9"/>
    <w:qFormat/>
    <w:rsid w:val="006E37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6E3798"/>
    <w:pPr>
      <w:keepNext/>
      <w:keepLines/>
      <w:spacing w:before="360" w:after="80"/>
      <w:outlineLvl w:val="1"/>
    </w:pPr>
    <w:rPr>
      <w:b/>
      <w:sz w:val="36"/>
      <w:szCs w:val="36"/>
    </w:rPr>
  </w:style>
  <w:style w:type="paragraph" w:styleId="Heading3">
    <w:name w:val="heading 3"/>
    <w:basedOn w:val="Normal"/>
    <w:next w:val="Normal"/>
    <w:link w:val="Heading3Char"/>
    <w:rsid w:val="006E3798"/>
    <w:pPr>
      <w:keepNext/>
      <w:keepLines/>
      <w:spacing w:before="280" w:after="80"/>
      <w:outlineLvl w:val="2"/>
    </w:pPr>
    <w:rPr>
      <w:b/>
      <w:sz w:val="28"/>
      <w:szCs w:val="28"/>
    </w:rPr>
  </w:style>
  <w:style w:type="paragraph" w:styleId="Heading4">
    <w:name w:val="heading 4"/>
    <w:basedOn w:val="Normal"/>
    <w:next w:val="Normal"/>
    <w:link w:val="Heading4Char"/>
    <w:rsid w:val="006E3798"/>
    <w:pPr>
      <w:keepNext/>
      <w:keepLines/>
      <w:spacing w:before="240" w:after="40"/>
      <w:outlineLvl w:val="3"/>
    </w:pPr>
    <w:rPr>
      <w:b/>
      <w:szCs w:val="24"/>
    </w:rPr>
  </w:style>
  <w:style w:type="paragraph" w:styleId="Heading5">
    <w:name w:val="heading 5"/>
    <w:basedOn w:val="Normal"/>
    <w:next w:val="Normal"/>
    <w:link w:val="Heading5Char"/>
    <w:rsid w:val="006E3798"/>
    <w:pPr>
      <w:keepNext/>
      <w:keepLines/>
      <w:spacing w:before="220" w:after="40"/>
      <w:outlineLvl w:val="4"/>
    </w:pPr>
    <w:rPr>
      <w:b/>
    </w:rPr>
  </w:style>
  <w:style w:type="paragraph" w:styleId="Heading6">
    <w:name w:val="heading 6"/>
    <w:basedOn w:val="Normal"/>
    <w:next w:val="Normal"/>
    <w:link w:val="Heading6Char"/>
    <w:rsid w:val="006E3798"/>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E5B"/>
    <w:rPr>
      <w:color w:val="0000FF" w:themeColor="hyperlink"/>
      <w:u w:val="single"/>
    </w:rPr>
  </w:style>
  <w:style w:type="character" w:styleId="Strong">
    <w:name w:val="Strong"/>
    <w:uiPriority w:val="22"/>
    <w:qFormat/>
    <w:rsid w:val="00E56E5B"/>
    <w:rPr>
      <w:b/>
      <w:bCs/>
    </w:rPr>
  </w:style>
  <w:style w:type="character" w:customStyle="1" w:styleId="meta-citation">
    <w:name w:val="meta-citation"/>
    <w:basedOn w:val="DefaultParagraphFont"/>
    <w:rsid w:val="00E56E5B"/>
  </w:style>
  <w:style w:type="table" w:styleId="TableGrid">
    <w:name w:val="Table Grid"/>
    <w:basedOn w:val="TableNormal"/>
    <w:uiPriority w:val="59"/>
    <w:rsid w:val="00D241B1"/>
    <w:pPr>
      <w:spacing w:after="0" w:line="240" w:lineRule="auto"/>
      <w:jc w:val="both"/>
    </w:pPr>
    <w:rPr>
      <w:rFonts w:ascii="Calibri" w:eastAsia="Calibri" w:hAnsi="Calibri" w:cs="Times New Roman"/>
      <w:sz w:val="24"/>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3798"/>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rsid w:val="006E3798"/>
    <w:rPr>
      <w:rFonts w:ascii="Times New Roman" w:hAnsi="Times New Roman" w:cs="Calibri"/>
      <w:b/>
      <w:sz w:val="36"/>
      <w:szCs w:val="36"/>
      <w:lang w:val="en-CA"/>
    </w:rPr>
  </w:style>
  <w:style w:type="character" w:customStyle="1" w:styleId="Heading3Char">
    <w:name w:val="Heading 3 Char"/>
    <w:basedOn w:val="DefaultParagraphFont"/>
    <w:link w:val="Heading3"/>
    <w:rsid w:val="006E3798"/>
    <w:rPr>
      <w:rFonts w:ascii="Times New Roman" w:hAnsi="Times New Roman" w:cs="Calibri"/>
      <w:b/>
      <w:sz w:val="28"/>
      <w:szCs w:val="28"/>
      <w:lang w:val="en-CA"/>
    </w:rPr>
  </w:style>
  <w:style w:type="character" w:customStyle="1" w:styleId="Heading4Char">
    <w:name w:val="Heading 4 Char"/>
    <w:basedOn w:val="DefaultParagraphFont"/>
    <w:link w:val="Heading4"/>
    <w:rsid w:val="006E3798"/>
    <w:rPr>
      <w:rFonts w:ascii="Times New Roman" w:hAnsi="Times New Roman" w:cs="Calibri"/>
      <w:b/>
      <w:sz w:val="24"/>
      <w:szCs w:val="24"/>
      <w:lang w:val="en-CA"/>
    </w:rPr>
  </w:style>
  <w:style w:type="character" w:customStyle="1" w:styleId="Heading5Char">
    <w:name w:val="Heading 5 Char"/>
    <w:basedOn w:val="DefaultParagraphFont"/>
    <w:link w:val="Heading5"/>
    <w:rsid w:val="006E3798"/>
    <w:rPr>
      <w:rFonts w:ascii="Times New Roman" w:hAnsi="Times New Roman" w:cs="Calibri"/>
      <w:b/>
      <w:sz w:val="24"/>
      <w:szCs w:val="20"/>
      <w:lang w:val="en-CA"/>
    </w:rPr>
  </w:style>
  <w:style w:type="character" w:customStyle="1" w:styleId="Heading6Char">
    <w:name w:val="Heading 6 Char"/>
    <w:basedOn w:val="DefaultParagraphFont"/>
    <w:link w:val="Heading6"/>
    <w:rsid w:val="006E3798"/>
    <w:rPr>
      <w:rFonts w:ascii="Times New Roman" w:hAnsi="Times New Roman" w:cs="Calibri"/>
      <w:b/>
      <w:sz w:val="20"/>
      <w:szCs w:val="20"/>
      <w:lang w:val="en-CA"/>
    </w:rPr>
  </w:style>
  <w:style w:type="paragraph" w:styleId="Title">
    <w:name w:val="Title"/>
    <w:basedOn w:val="Normal"/>
    <w:next w:val="Normal"/>
    <w:link w:val="TitleChar"/>
    <w:rsid w:val="006E3798"/>
    <w:pPr>
      <w:keepNext/>
      <w:keepLines/>
      <w:spacing w:before="480" w:after="120"/>
    </w:pPr>
    <w:rPr>
      <w:b/>
      <w:sz w:val="72"/>
      <w:szCs w:val="72"/>
    </w:rPr>
  </w:style>
  <w:style w:type="character" w:customStyle="1" w:styleId="TitleChar">
    <w:name w:val="Title Char"/>
    <w:basedOn w:val="DefaultParagraphFont"/>
    <w:link w:val="Title"/>
    <w:rsid w:val="006E3798"/>
    <w:rPr>
      <w:rFonts w:ascii="Times New Roman" w:hAnsi="Times New Roman" w:cs="Calibri"/>
      <w:b/>
      <w:sz w:val="72"/>
      <w:szCs w:val="72"/>
      <w:lang w:val="en-CA"/>
    </w:rPr>
  </w:style>
  <w:style w:type="paragraph" w:styleId="CommentText">
    <w:name w:val="annotation text"/>
    <w:basedOn w:val="Normal"/>
    <w:link w:val="CommentTextChar"/>
    <w:uiPriority w:val="99"/>
    <w:unhideWhenUsed/>
    <w:rsid w:val="006E3798"/>
    <w:pPr>
      <w:spacing w:line="240" w:lineRule="auto"/>
    </w:pPr>
    <w:rPr>
      <w:sz w:val="20"/>
      <w:lang w:val="en-GB"/>
    </w:rPr>
  </w:style>
  <w:style w:type="character" w:customStyle="1" w:styleId="CommentTextChar">
    <w:name w:val="Comment Text Char"/>
    <w:basedOn w:val="DefaultParagraphFont"/>
    <w:link w:val="CommentText"/>
    <w:uiPriority w:val="99"/>
    <w:rsid w:val="006E3798"/>
    <w:rPr>
      <w:rFonts w:ascii="Times New Roman" w:hAnsi="Times New Roman" w:cs="Calibri"/>
      <w:sz w:val="20"/>
      <w:szCs w:val="20"/>
      <w:lang w:val="en-GB"/>
    </w:rPr>
  </w:style>
  <w:style w:type="paragraph" w:styleId="ListParagraph">
    <w:name w:val="List Paragraph"/>
    <w:basedOn w:val="Normal"/>
    <w:uiPriority w:val="34"/>
    <w:qFormat/>
    <w:rsid w:val="006E3798"/>
    <w:pPr>
      <w:ind w:left="720"/>
      <w:contextualSpacing/>
    </w:pPr>
  </w:style>
  <w:style w:type="character" w:customStyle="1" w:styleId="BalloonTextChar">
    <w:name w:val="Balloon Text Char"/>
    <w:basedOn w:val="DefaultParagraphFont"/>
    <w:link w:val="BalloonText"/>
    <w:uiPriority w:val="99"/>
    <w:semiHidden/>
    <w:rsid w:val="006E3798"/>
    <w:rPr>
      <w:rFonts w:ascii="Segoe UI" w:eastAsia="Calibri" w:hAnsi="Segoe UI" w:cs="Segoe UI"/>
      <w:sz w:val="18"/>
      <w:szCs w:val="18"/>
      <w:lang w:eastAsia="pt-BR"/>
    </w:rPr>
  </w:style>
  <w:style w:type="paragraph" w:styleId="BalloonText">
    <w:name w:val="Balloon Text"/>
    <w:basedOn w:val="Normal"/>
    <w:link w:val="BalloonTextChar"/>
    <w:uiPriority w:val="99"/>
    <w:semiHidden/>
    <w:unhideWhenUsed/>
    <w:rsid w:val="006E3798"/>
    <w:pPr>
      <w:spacing w:after="0" w:line="240" w:lineRule="auto"/>
    </w:pPr>
    <w:rPr>
      <w:rFonts w:ascii="Segoe UI" w:eastAsia="Calibri" w:hAnsi="Segoe UI" w:cs="Segoe UI"/>
      <w:sz w:val="18"/>
      <w:szCs w:val="18"/>
      <w:lang w:val="en-US" w:eastAsia="pt-BR"/>
    </w:rPr>
  </w:style>
  <w:style w:type="character" w:customStyle="1" w:styleId="BalloonTextChar1">
    <w:name w:val="Balloon Text Char1"/>
    <w:basedOn w:val="DefaultParagraphFont"/>
    <w:uiPriority w:val="99"/>
    <w:semiHidden/>
    <w:rsid w:val="006E3798"/>
    <w:rPr>
      <w:rFonts w:ascii="Tahoma" w:hAnsi="Tahoma" w:cs="Tahoma"/>
      <w:sz w:val="16"/>
      <w:szCs w:val="16"/>
      <w:lang w:val="en-CA"/>
    </w:rPr>
  </w:style>
  <w:style w:type="paragraph" w:customStyle="1" w:styleId="Tabela">
    <w:name w:val="Tabela"/>
    <w:basedOn w:val="Normal"/>
    <w:rsid w:val="006E3798"/>
    <w:pPr>
      <w:keepNext/>
      <w:keepLines/>
      <w:tabs>
        <w:tab w:val="left" w:pos="1701"/>
      </w:tabs>
      <w:suppressAutoHyphens/>
      <w:spacing w:before="120" w:after="120" w:line="240" w:lineRule="auto"/>
      <w:jc w:val="both"/>
    </w:pPr>
    <w:rPr>
      <w:rFonts w:ascii="Arial" w:eastAsia="Times New Roman" w:hAnsi="Arial" w:cs="Times New Roman"/>
      <w:sz w:val="20"/>
    </w:rPr>
  </w:style>
  <w:style w:type="paragraph" w:styleId="HTMLPreformatted">
    <w:name w:val="HTML Preformatted"/>
    <w:basedOn w:val="Normal"/>
    <w:link w:val="HTMLPreformattedChar"/>
    <w:uiPriority w:val="99"/>
    <w:unhideWhenUsed/>
    <w:rsid w:val="006E3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6E3798"/>
    <w:rPr>
      <w:rFonts w:ascii="Courier New" w:eastAsia="Times New Roman" w:hAnsi="Courier New" w:cs="Courier New"/>
      <w:sz w:val="20"/>
      <w:szCs w:val="20"/>
      <w:lang w:val="en-CA"/>
    </w:rPr>
  </w:style>
  <w:style w:type="paragraph" w:styleId="BodyTextIndent">
    <w:name w:val="Body Text Indent"/>
    <w:basedOn w:val="Normal"/>
    <w:link w:val="BodyTextIndentChar"/>
    <w:uiPriority w:val="99"/>
    <w:unhideWhenUsed/>
    <w:rsid w:val="006E3798"/>
    <w:pPr>
      <w:spacing w:after="0" w:line="360" w:lineRule="auto"/>
      <w:ind w:firstLine="708"/>
      <w:jc w:val="both"/>
    </w:pPr>
    <w:rPr>
      <w:rFonts w:ascii="Arial" w:hAnsi="Arial" w:cs="Arial"/>
      <w:szCs w:val="24"/>
    </w:rPr>
  </w:style>
  <w:style w:type="character" w:customStyle="1" w:styleId="BodyTextIndentChar">
    <w:name w:val="Body Text Indent Char"/>
    <w:basedOn w:val="DefaultParagraphFont"/>
    <w:link w:val="BodyTextIndent"/>
    <w:uiPriority w:val="99"/>
    <w:rsid w:val="006E3798"/>
    <w:rPr>
      <w:rFonts w:ascii="Arial" w:hAnsi="Arial" w:cs="Arial"/>
      <w:sz w:val="24"/>
      <w:szCs w:val="24"/>
      <w:lang w:val="en-CA"/>
    </w:rPr>
  </w:style>
  <w:style w:type="paragraph" w:styleId="BodyTextIndent2">
    <w:name w:val="Body Text Indent 2"/>
    <w:basedOn w:val="Normal"/>
    <w:link w:val="BodyTextIndent2Char"/>
    <w:uiPriority w:val="99"/>
    <w:unhideWhenUsed/>
    <w:rsid w:val="006E3798"/>
    <w:pPr>
      <w:spacing w:after="0" w:line="360" w:lineRule="auto"/>
      <w:ind w:firstLine="709"/>
      <w:jc w:val="both"/>
    </w:pPr>
    <w:rPr>
      <w:rFonts w:ascii="Arial" w:hAnsi="Arial" w:cs="Arial"/>
      <w:szCs w:val="24"/>
    </w:rPr>
  </w:style>
  <w:style w:type="character" w:customStyle="1" w:styleId="BodyTextIndent2Char">
    <w:name w:val="Body Text Indent 2 Char"/>
    <w:basedOn w:val="DefaultParagraphFont"/>
    <w:link w:val="BodyTextIndent2"/>
    <w:uiPriority w:val="99"/>
    <w:rsid w:val="006E3798"/>
    <w:rPr>
      <w:rFonts w:ascii="Arial" w:hAnsi="Arial" w:cs="Arial"/>
      <w:sz w:val="24"/>
      <w:szCs w:val="24"/>
      <w:lang w:val="en-CA"/>
    </w:rPr>
  </w:style>
  <w:style w:type="character" w:styleId="Emphasis">
    <w:name w:val="Emphasis"/>
    <w:basedOn w:val="DefaultParagraphFont"/>
    <w:uiPriority w:val="20"/>
    <w:qFormat/>
    <w:rsid w:val="006E3798"/>
    <w:rPr>
      <w:i/>
      <w:iCs/>
    </w:rPr>
  </w:style>
  <w:style w:type="paragraph" w:customStyle="1" w:styleId="yiv8169809108msonormal">
    <w:name w:val="yiv8169809108msonormal"/>
    <w:basedOn w:val="Normal"/>
    <w:rsid w:val="006E3798"/>
    <w:pPr>
      <w:spacing w:before="100" w:beforeAutospacing="1" w:after="100" w:afterAutospacing="1" w:line="240" w:lineRule="auto"/>
    </w:pPr>
    <w:rPr>
      <w:rFonts w:eastAsia="Times New Roman" w:cs="Times New Roman"/>
      <w:szCs w:val="24"/>
    </w:rPr>
  </w:style>
  <w:style w:type="character" w:customStyle="1" w:styleId="CommentSubjectChar">
    <w:name w:val="Comment Subject Char"/>
    <w:basedOn w:val="CommentTextChar"/>
    <w:link w:val="CommentSubject"/>
    <w:uiPriority w:val="99"/>
    <w:semiHidden/>
    <w:rsid w:val="006E3798"/>
    <w:rPr>
      <w:rFonts w:ascii="Calibri" w:eastAsia="Calibri" w:hAnsi="Calibri" w:cs="Calibri"/>
      <w:b/>
      <w:bCs/>
      <w:sz w:val="20"/>
      <w:szCs w:val="20"/>
      <w:lang w:val="pt-BR" w:eastAsia="pt-BR"/>
    </w:rPr>
  </w:style>
  <w:style w:type="paragraph" w:styleId="CommentSubject">
    <w:name w:val="annotation subject"/>
    <w:basedOn w:val="CommentText"/>
    <w:next w:val="CommentText"/>
    <w:link w:val="CommentSubjectChar"/>
    <w:uiPriority w:val="99"/>
    <w:semiHidden/>
    <w:unhideWhenUsed/>
    <w:rsid w:val="006E3798"/>
    <w:rPr>
      <w:rFonts w:ascii="Calibri" w:eastAsia="Calibri" w:hAnsi="Calibri"/>
      <w:b/>
      <w:bCs/>
      <w:lang w:val="pt-BR" w:eastAsia="pt-BR"/>
    </w:rPr>
  </w:style>
  <w:style w:type="character" w:customStyle="1" w:styleId="CommentSubjectChar1">
    <w:name w:val="Comment Subject Char1"/>
    <w:basedOn w:val="CommentTextChar"/>
    <w:uiPriority w:val="99"/>
    <w:semiHidden/>
    <w:rsid w:val="006E3798"/>
    <w:rPr>
      <w:rFonts w:ascii="Times New Roman" w:hAnsi="Times New Roman" w:cs="Calibri"/>
      <w:b/>
      <w:bCs/>
      <w:sz w:val="20"/>
      <w:szCs w:val="20"/>
      <w:lang w:val="en-GB"/>
    </w:rPr>
  </w:style>
  <w:style w:type="paragraph" w:styleId="Header">
    <w:name w:val="header"/>
    <w:basedOn w:val="Normal"/>
    <w:link w:val="HeaderChar"/>
    <w:uiPriority w:val="99"/>
    <w:unhideWhenUsed/>
    <w:rsid w:val="006E3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98"/>
    <w:rPr>
      <w:rFonts w:ascii="Times New Roman" w:hAnsi="Times New Roman" w:cs="Calibri"/>
      <w:sz w:val="24"/>
      <w:szCs w:val="20"/>
      <w:lang w:val="en-CA"/>
    </w:rPr>
  </w:style>
  <w:style w:type="paragraph" w:styleId="Footer">
    <w:name w:val="footer"/>
    <w:basedOn w:val="Normal"/>
    <w:link w:val="FooterChar"/>
    <w:uiPriority w:val="99"/>
    <w:unhideWhenUsed/>
    <w:rsid w:val="006E3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98"/>
    <w:rPr>
      <w:rFonts w:ascii="Times New Roman" w:hAnsi="Times New Roman" w:cs="Calibri"/>
      <w:sz w:val="24"/>
      <w:szCs w:val="20"/>
      <w:lang w:val="en-CA"/>
    </w:rPr>
  </w:style>
  <w:style w:type="character" w:customStyle="1" w:styleId="apple-converted-space">
    <w:name w:val="apple-converted-space"/>
    <w:basedOn w:val="DefaultParagraphFont"/>
    <w:rsid w:val="006E3798"/>
  </w:style>
  <w:style w:type="character" w:customStyle="1" w:styleId="TextodecomentrioChar1">
    <w:name w:val="Texto de comentário Char1"/>
    <w:uiPriority w:val="99"/>
    <w:rsid w:val="006E3798"/>
    <w:rPr>
      <w:rFonts w:ascii="Arial" w:eastAsia="Times New Roman" w:hAnsi="Arial" w:cs="Times New Roman"/>
      <w:snapToGrid w:val="0"/>
      <w:sz w:val="20"/>
      <w:szCs w:val="20"/>
      <w:lang w:eastAsia="pt-BR"/>
    </w:rPr>
  </w:style>
  <w:style w:type="character" w:customStyle="1" w:styleId="avw">
    <w:name w:val="avw"/>
    <w:basedOn w:val="DefaultParagraphFont"/>
    <w:rsid w:val="006E3798"/>
  </w:style>
  <w:style w:type="character" w:customStyle="1" w:styleId="highwire-citation-authors">
    <w:name w:val="highwire-citation-authors"/>
    <w:basedOn w:val="DefaultParagraphFont"/>
    <w:rsid w:val="006E3798"/>
  </w:style>
  <w:style w:type="character" w:customStyle="1" w:styleId="highwire-citation-author">
    <w:name w:val="highwire-citation-author"/>
    <w:basedOn w:val="DefaultParagraphFont"/>
    <w:rsid w:val="006E3798"/>
  </w:style>
  <w:style w:type="character" w:customStyle="1" w:styleId="highlight">
    <w:name w:val="highlight"/>
    <w:basedOn w:val="DefaultParagraphFont"/>
    <w:rsid w:val="006E3798"/>
  </w:style>
  <w:style w:type="paragraph" w:styleId="Caption">
    <w:name w:val="caption"/>
    <w:basedOn w:val="Normal"/>
    <w:next w:val="Normal"/>
    <w:uiPriority w:val="35"/>
    <w:unhideWhenUsed/>
    <w:qFormat/>
    <w:rsid w:val="006E3798"/>
    <w:pPr>
      <w:spacing w:after="200"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6E3798"/>
    <w:pPr>
      <w:spacing w:after="0" w:line="240" w:lineRule="auto"/>
    </w:pPr>
    <w:rPr>
      <w:sz w:val="20"/>
      <w:lang w:val="en-GB"/>
    </w:rPr>
  </w:style>
  <w:style w:type="character" w:customStyle="1" w:styleId="FootnoteTextChar">
    <w:name w:val="Footnote Text Char"/>
    <w:basedOn w:val="DefaultParagraphFont"/>
    <w:link w:val="FootnoteText"/>
    <w:uiPriority w:val="99"/>
    <w:semiHidden/>
    <w:rsid w:val="006E3798"/>
    <w:rPr>
      <w:rFonts w:ascii="Times New Roman" w:hAnsi="Times New Roman" w:cs="Calibri"/>
      <w:sz w:val="20"/>
      <w:szCs w:val="20"/>
      <w:lang w:val="en-GB"/>
    </w:rPr>
  </w:style>
  <w:style w:type="paragraph" w:styleId="Subtitle">
    <w:name w:val="Subtitle"/>
    <w:basedOn w:val="Normal"/>
    <w:next w:val="Normal"/>
    <w:link w:val="SubtitleChar"/>
    <w:rsid w:val="006E379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E3798"/>
    <w:rPr>
      <w:rFonts w:ascii="Georgia" w:eastAsia="Georgia" w:hAnsi="Georgia" w:cs="Georgia"/>
      <w:i/>
      <w:color w:val="666666"/>
      <w:sz w:val="48"/>
      <w:szCs w:val="48"/>
      <w:lang w:val="en-CA"/>
    </w:rPr>
  </w:style>
  <w:style w:type="table" w:customStyle="1" w:styleId="7">
    <w:name w:val="7"/>
    <w:basedOn w:val="TableNormal"/>
    <w:rsid w:val="006E3798"/>
    <w:pPr>
      <w:spacing w:after="160" w:line="256" w:lineRule="auto"/>
    </w:pPr>
    <w:rPr>
      <w:rFonts w:ascii="Calibri" w:eastAsia="Calibri" w:hAnsi="Calibri" w:cs="Calibri"/>
      <w:sz w:val="24"/>
      <w:szCs w:val="20"/>
      <w:lang w:eastAsia="pt-BR"/>
    </w:rPr>
    <w:tblPr>
      <w:tblStyleRowBandSize w:val="1"/>
      <w:tblStyleColBandSize w:val="1"/>
      <w:tblCellMar>
        <w:left w:w="115" w:type="dxa"/>
        <w:right w:w="115" w:type="dxa"/>
      </w:tblCellMar>
    </w:tblPr>
  </w:style>
  <w:style w:type="table" w:customStyle="1" w:styleId="6">
    <w:name w:val="6"/>
    <w:basedOn w:val="TableNormal"/>
    <w:rsid w:val="006E3798"/>
    <w:pPr>
      <w:spacing w:after="160" w:line="256" w:lineRule="auto"/>
    </w:pPr>
    <w:rPr>
      <w:rFonts w:ascii="Calibri" w:eastAsia="Calibri" w:hAnsi="Calibri" w:cs="Calibri"/>
      <w:sz w:val="24"/>
      <w:szCs w:val="20"/>
      <w:lang w:eastAsia="pt-BR"/>
    </w:rPr>
    <w:tblPr>
      <w:tblStyleRowBandSize w:val="1"/>
      <w:tblStyleColBandSize w:val="1"/>
      <w:tblCellMar>
        <w:left w:w="115" w:type="dxa"/>
        <w:right w:w="115" w:type="dxa"/>
      </w:tblCellMar>
    </w:tblPr>
  </w:style>
  <w:style w:type="table" w:customStyle="1" w:styleId="5">
    <w:name w:val="5"/>
    <w:basedOn w:val="TableNormal"/>
    <w:rsid w:val="006E3798"/>
    <w:pPr>
      <w:spacing w:after="160" w:line="256" w:lineRule="auto"/>
    </w:pPr>
    <w:rPr>
      <w:rFonts w:ascii="Calibri" w:eastAsia="Calibri" w:hAnsi="Calibri" w:cs="Calibri"/>
      <w:sz w:val="24"/>
      <w:szCs w:val="20"/>
      <w:lang w:eastAsia="pt-BR"/>
    </w:rPr>
    <w:tblPr>
      <w:tblStyleRowBandSize w:val="1"/>
      <w:tblStyleColBandSize w:val="1"/>
      <w:tblCellMar>
        <w:left w:w="115" w:type="dxa"/>
        <w:right w:w="115" w:type="dxa"/>
      </w:tblCellMar>
    </w:tblPr>
  </w:style>
  <w:style w:type="table" w:customStyle="1" w:styleId="4">
    <w:name w:val="4"/>
    <w:basedOn w:val="TableNormal"/>
    <w:rsid w:val="006E3798"/>
    <w:pPr>
      <w:spacing w:after="160" w:line="256" w:lineRule="auto"/>
    </w:pPr>
    <w:rPr>
      <w:rFonts w:ascii="Calibri" w:eastAsia="Calibri" w:hAnsi="Calibri" w:cs="Calibri"/>
      <w:sz w:val="24"/>
      <w:szCs w:val="20"/>
      <w:lang w:eastAsia="pt-BR"/>
    </w:rPr>
    <w:tblPr>
      <w:tblStyleRowBandSize w:val="1"/>
      <w:tblStyleColBandSize w:val="1"/>
      <w:tblCellMar>
        <w:left w:w="115" w:type="dxa"/>
        <w:right w:w="115" w:type="dxa"/>
      </w:tblCellMar>
    </w:tblPr>
  </w:style>
  <w:style w:type="character" w:customStyle="1" w:styleId="tlid-translation">
    <w:name w:val="tlid-translation"/>
    <w:basedOn w:val="DefaultParagraphFont"/>
    <w:rsid w:val="006E3798"/>
  </w:style>
  <w:style w:type="character" w:customStyle="1" w:styleId="EndnoteTextChar">
    <w:name w:val="Endnote Text Char"/>
    <w:basedOn w:val="DefaultParagraphFont"/>
    <w:link w:val="EndnoteText"/>
    <w:uiPriority w:val="99"/>
    <w:semiHidden/>
    <w:rsid w:val="006E3798"/>
    <w:rPr>
      <w:rFonts w:ascii="Calibri" w:eastAsia="Calibri" w:hAnsi="Calibri" w:cs="Calibri"/>
      <w:sz w:val="20"/>
      <w:szCs w:val="20"/>
      <w:lang w:eastAsia="pt-BR"/>
    </w:rPr>
  </w:style>
  <w:style w:type="paragraph" w:styleId="EndnoteText">
    <w:name w:val="endnote text"/>
    <w:basedOn w:val="Normal"/>
    <w:link w:val="EndnoteTextChar"/>
    <w:uiPriority w:val="99"/>
    <w:semiHidden/>
    <w:unhideWhenUsed/>
    <w:rsid w:val="006E3798"/>
    <w:pPr>
      <w:spacing w:after="0" w:line="240" w:lineRule="auto"/>
    </w:pPr>
    <w:rPr>
      <w:rFonts w:ascii="Calibri" w:eastAsia="Calibri" w:hAnsi="Calibri"/>
      <w:sz w:val="20"/>
      <w:lang w:val="en-US" w:eastAsia="pt-BR"/>
    </w:rPr>
  </w:style>
  <w:style w:type="character" w:customStyle="1" w:styleId="EndnoteTextChar1">
    <w:name w:val="Endnote Text Char1"/>
    <w:basedOn w:val="DefaultParagraphFont"/>
    <w:uiPriority w:val="99"/>
    <w:semiHidden/>
    <w:rsid w:val="006E3798"/>
    <w:rPr>
      <w:rFonts w:ascii="Times New Roman" w:hAnsi="Times New Roman" w:cs="Calibri"/>
      <w:sz w:val="20"/>
      <w:szCs w:val="20"/>
      <w:lang w:val="en-CA"/>
    </w:rPr>
  </w:style>
  <w:style w:type="character" w:customStyle="1" w:styleId="fm-role">
    <w:name w:val="fm-role"/>
    <w:basedOn w:val="DefaultParagraphFont"/>
    <w:rsid w:val="006E3798"/>
  </w:style>
  <w:style w:type="paragraph" w:customStyle="1" w:styleId="xmsonormal">
    <w:name w:val="x_msonormal"/>
    <w:basedOn w:val="Normal"/>
    <w:rsid w:val="006E3798"/>
    <w:pPr>
      <w:spacing w:before="100" w:beforeAutospacing="1" w:after="100" w:afterAutospacing="1" w:line="240" w:lineRule="auto"/>
    </w:pPr>
    <w:rPr>
      <w:rFonts w:eastAsia="Times New Roman" w:cs="Times New Roman"/>
      <w:szCs w:val="24"/>
      <w:lang w:val="pt-BR"/>
    </w:rPr>
  </w:style>
  <w:style w:type="character" w:styleId="LineNumber">
    <w:name w:val="line number"/>
    <w:basedOn w:val="DefaultParagraphFont"/>
    <w:uiPriority w:val="99"/>
    <w:semiHidden/>
    <w:unhideWhenUsed/>
    <w:rsid w:val="006E3798"/>
  </w:style>
  <w:style w:type="character" w:styleId="CommentReference">
    <w:name w:val="annotation reference"/>
    <w:basedOn w:val="DefaultParagraphFont"/>
    <w:uiPriority w:val="99"/>
    <w:semiHidden/>
    <w:unhideWhenUsed/>
    <w:rsid w:val="006E3798"/>
    <w:rPr>
      <w:sz w:val="16"/>
      <w:szCs w:val="16"/>
    </w:rPr>
  </w:style>
  <w:style w:type="paragraph" w:styleId="Revision">
    <w:name w:val="Revision"/>
    <w:hidden/>
    <w:uiPriority w:val="99"/>
    <w:semiHidden/>
    <w:rsid w:val="006E3798"/>
    <w:pPr>
      <w:spacing w:after="0" w:line="240" w:lineRule="auto"/>
    </w:pPr>
    <w:rPr>
      <w:rFonts w:ascii="Times New Roman" w:hAnsi="Times New Roman" w:cs="Calibri"/>
      <w:sz w:val="24"/>
      <w:szCs w:val="20"/>
      <w:lang w:val="en-CA"/>
    </w:rPr>
  </w:style>
  <w:style w:type="character" w:customStyle="1" w:styleId="UnresolvedMention1">
    <w:name w:val="Unresolved Mention1"/>
    <w:basedOn w:val="DefaultParagraphFont"/>
    <w:uiPriority w:val="99"/>
    <w:semiHidden/>
    <w:unhideWhenUsed/>
    <w:rsid w:val="006E3798"/>
    <w:rPr>
      <w:color w:val="605E5C"/>
      <w:shd w:val="clear" w:color="auto" w:fill="E1DFDD"/>
    </w:rPr>
  </w:style>
  <w:style w:type="character" w:customStyle="1" w:styleId="cls-response">
    <w:name w:val="cls-response"/>
    <w:basedOn w:val="DefaultParagraphFont"/>
    <w:rsid w:val="006E3798"/>
  </w:style>
  <w:style w:type="character" w:customStyle="1" w:styleId="MenoPendente1">
    <w:name w:val="Menção Pendente1"/>
    <w:basedOn w:val="DefaultParagraphFont"/>
    <w:uiPriority w:val="99"/>
    <w:semiHidden/>
    <w:unhideWhenUsed/>
    <w:rsid w:val="006E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Krishnamoorthy</dc:creator>
  <cp:lastModifiedBy>Suresh Krishnamoorthy</cp:lastModifiedBy>
  <cp:revision>2</cp:revision>
  <dcterms:created xsi:type="dcterms:W3CDTF">2020-04-09T06:36:00Z</dcterms:created>
  <dcterms:modified xsi:type="dcterms:W3CDTF">2020-04-09T06:36:00Z</dcterms:modified>
</cp:coreProperties>
</file>