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CF" w:rsidRPr="00CB5CCF" w:rsidRDefault="00CB5CCF" w:rsidP="003D106F">
      <w:pPr>
        <w:spacing w:line="480" w:lineRule="auto"/>
        <w:rPr>
          <w:lang w:val="en-GB"/>
        </w:rPr>
      </w:pPr>
      <w:r w:rsidRPr="00CB5CCF">
        <w:rPr>
          <w:szCs w:val="22"/>
          <w:lang w:val="en-GB"/>
        </w:rPr>
        <w:t>Table</w:t>
      </w:r>
      <w:r w:rsidRPr="00A93AC6">
        <w:rPr>
          <w:szCs w:val="22"/>
          <w:lang w:val="en-GB"/>
        </w:rPr>
        <w:t xml:space="preserve"> </w:t>
      </w:r>
      <w:proofErr w:type="gramStart"/>
      <w:r w:rsidRPr="00A93AC6">
        <w:rPr>
          <w:szCs w:val="22"/>
          <w:lang w:val="en-GB"/>
        </w:rPr>
        <w:t>A</w:t>
      </w:r>
      <w:proofErr w:type="gramEnd"/>
      <w:r w:rsidRPr="00A93AC6">
        <w:rPr>
          <w:szCs w:val="22"/>
          <w:lang w:val="en-GB"/>
        </w:rPr>
        <w:t xml:space="preserve"> </w:t>
      </w:r>
      <w:r w:rsidRPr="00CB5CCF">
        <w:rPr>
          <w:szCs w:val="22"/>
          <w:lang w:val="en-GB"/>
        </w:rPr>
        <w:t>Medication</w:t>
      </w:r>
      <w:r w:rsidRPr="00CB5CCF">
        <w:rPr>
          <w:lang w:val="en-GB"/>
        </w:rPr>
        <w:t xml:space="preserve"> in the three groups of NSAIDs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835"/>
      </w:tblGrid>
      <w:tr w:rsidR="00CB5CCF" w:rsidRPr="00CB5CCF" w:rsidTr="003D106F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b/>
                <w:lang w:val="en-GB"/>
              </w:rPr>
            </w:pPr>
            <w:r w:rsidRPr="00CB5CCF">
              <w:rPr>
                <w:b/>
                <w:lang w:val="en-GB"/>
              </w:rPr>
              <w:t>Group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b/>
                <w:lang w:val="en-GB"/>
              </w:rPr>
            </w:pPr>
            <w:bookmarkStart w:id="1" w:name="_Hlk506023200"/>
            <w:r w:rsidRPr="004D1D3D">
              <w:rPr>
                <w:b/>
                <w:bCs/>
                <w:szCs w:val="22"/>
                <w:lang w:val="en-GB"/>
              </w:rPr>
              <w:t>NSAID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b/>
                <w:lang w:val="en-GB"/>
              </w:rPr>
              <w:t>Traditional NSAIDs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Diclofenac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Ibuprofen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Ketoprofen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Ketorolac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Mefenamic acid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Naproxen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Sulindac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Indomethacin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Piroxicam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Acemetacin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widowControl/>
              <w:spacing w:line="480" w:lineRule="auto"/>
              <w:ind w:firstLineChars="15" w:firstLine="36"/>
              <w:rPr>
                <w:color w:val="000000"/>
                <w:kern w:val="0"/>
                <w:lang w:val="en-GB"/>
              </w:rPr>
            </w:pPr>
            <w:proofErr w:type="spellStart"/>
            <w:r w:rsidRPr="00CB5CCF">
              <w:rPr>
                <w:color w:val="000000"/>
                <w:kern w:val="0"/>
                <w:lang w:val="en-GB"/>
              </w:rPr>
              <w:t>Aceclofenac</w:t>
            </w:r>
            <w:proofErr w:type="spellEnd"/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widowControl/>
              <w:spacing w:line="480" w:lineRule="auto"/>
              <w:ind w:firstLineChars="15" w:firstLine="36"/>
              <w:rPr>
                <w:color w:val="000000"/>
                <w:kern w:val="0"/>
                <w:lang w:val="en-GB"/>
              </w:rPr>
            </w:pPr>
            <w:r w:rsidRPr="00CB5CCF">
              <w:rPr>
                <w:color w:val="000000"/>
                <w:kern w:val="0"/>
                <w:lang w:val="en-GB"/>
              </w:rPr>
              <w:t>Phenylbutazone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bottom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widowControl/>
              <w:spacing w:line="480" w:lineRule="auto"/>
              <w:ind w:firstLineChars="15" w:firstLine="36"/>
              <w:rPr>
                <w:color w:val="000000"/>
                <w:kern w:val="0"/>
                <w:lang w:val="en-GB"/>
              </w:rPr>
            </w:pPr>
            <w:r w:rsidRPr="00CB5CCF">
              <w:rPr>
                <w:color w:val="000000"/>
                <w:kern w:val="0"/>
                <w:lang w:val="en-GB"/>
              </w:rPr>
              <w:t>Flurbiprofen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 w:val="restart"/>
            <w:tcBorders>
              <w:top w:val="nil"/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b/>
                <w:lang w:val="en-GB"/>
              </w:rPr>
              <w:t>Selective COX-2i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Celecoxib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proofErr w:type="spellStart"/>
            <w:r w:rsidRPr="00CB5CCF">
              <w:rPr>
                <w:lang w:val="en-GB"/>
              </w:rPr>
              <w:t>Rofecoxib</w:t>
            </w:r>
            <w:proofErr w:type="spellEnd"/>
          </w:p>
        </w:tc>
      </w:tr>
      <w:tr w:rsidR="00CB5CCF" w:rsidRPr="00CB5CCF" w:rsidTr="003D106F">
        <w:trPr>
          <w:trHeight w:val="330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proofErr w:type="spellStart"/>
            <w:r w:rsidRPr="00CB5CCF">
              <w:rPr>
                <w:lang w:val="en-GB"/>
              </w:rPr>
              <w:t>Etoricoxib</w:t>
            </w:r>
            <w:proofErr w:type="spellEnd"/>
          </w:p>
        </w:tc>
      </w:tr>
      <w:tr w:rsidR="00CB5CCF" w:rsidRPr="00CB5CCF" w:rsidTr="003D106F">
        <w:trPr>
          <w:trHeight w:val="330"/>
        </w:trPr>
        <w:tc>
          <w:tcPr>
            <w:tcW w:w="3430" w:type="dxa"/>
            <w:vMerge/>
            <w:tcBorders>
              <w:left w:val="nil"/>
              <w:bottom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Parecoxib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 w:val="restart"/>
            <w:tcBorders>
              <w:top w:val="nil"/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b/>
                <w:lang w:val="en-GB"/>
              </w:rPr>
            </w:pPr>
            <w:r w:rsidRPr="00CB5CCF">
              <w:rPr>
                <w:b/>
                <w:lang w:val="en-GB"/>
              </w:rPr>
              <w:t>Preferential COX-2i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Etodolac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r w:rsidRPr="00CB5CCF">
              <w:rPr>
                <w:lang w:val="en-GB"/>
              </w:rPr>
              <w:t>Meloxicam</w:t>
            </w:r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proofErr w:type="spellStart"/>
            <w:r w:rsidRPr="00CB5CCF">
              <w:rPr>
                <w:lang w:val="en-GB"/>
              </w:rPr>
              <w:t>Nabumetone</w:t>
            </w:r>
            <w:proofErr w:type="spellEnd"/>
          </w:p>
        </w:tc>
      </w:tr>
      <w:tr w:rsidR="00CB5CCF" w:rsidRPr="00CB5CCF" w:rsidTr="003D106F">
        <w:trPr>
          <w:trHeight w:val="315"/>
        </w:trPr>
        <w:tc>
          <w:tcPr>
            <w:tcW w:w="34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15" w:firstLine="36"/>
              <w:rPr>
                <w:lang w:val="en-GB"/>
              </w:rPr>
            </w:pPr>
            <w:proofErr w:type="spellStart"/>
            <w:r w:rsidRPr="00CB5CCF">
              <w:rPr>
                <w:lang w:val="en-GB"/>
              </w:rPr>
              <w:t>Nimesulide</w:t>
            </w:r>
            <w:proofErr w:type="spellEnd"/>
          </w:p>
        </w:tc>
      </w:tr>
    </w:tbl>
    <w:bookmarkEnd w:id="1"/>
    <w:p w:rsidR="00CB5CCF" w:rsidRPr="00CB5CCF" w:rsidRDefault="00CB5CCF" w:rsidP="003D106F">
      <w:pPr>
        <w:spacing w:line="480" w:lineRule="auto"/>
        <w:rPr>
          <w:lang w:val="en-GB"/>
        </w:rPr>
      </w:pPr>
      <w:r w:rsidRPr="00CB5CCF">
        <w:rPr>
          <w:lang w:val="en-GB"/>
        </w:rPr>
        <w:lastRenderedPageBreak/>
        <w:t>Abbreviations: NSAID, non-steroidal anti-inflammatory drug; COX-2i, cyclooxygenase-2 inhibitors.</w:t>
      </w:r>
    </w:p>
    <w:p w:rsidR="00CB5CCF" w:rsidRPr="00CB5CCF" w:rsidRDefault="00CB5CCF" w:rsidP="003D106F">
      <w:pPr>
        <w:widowControl/>
        <w:spacing w:line="480" w:lineRule="auto"/>
        <w:rPr>
          <w:kern w:val="0"/>
          <w:lang w:val="en-GB"/>
        </w:rPr>
      </w:pPr>
      <w:r w:rsidRPr="00CB5CCF">
        <w:rPr>
          <w:lang w:val="en-GB"/>
        </w:rPr>
        <w:br w:type="page"/>
      </w:r>
      <w:r w:rsidRPr="00CB5CCF">
        <w:rPr>
          <w:kern w:val="0"/>
          <w:lang w:val="en-GB"/>
        </w:rPr>
        <w:lastRenderedPageBreak/>
        <w:t xml:space="preserve">Table B Crude and multivariable-adjusted analyses of </w:t>
      </w:r>
      <w:r w:rsidR="002276D6">
        <w:rPr>
          <w:kern w:val="0"/>
          <w:lang w:val="en-GB"/>
        </w:rPr>
        <w:t>the relative</w:t>
      </w:r>
      <w:r w:rsidRPr="00CB5CCF">
        <w:rPr>
          <w:kern w:val="0"/>
          <w:lang w:val="en-GB"/>
        </w:rPr>
        <w:t xml:space="preserve"> risk of end-stage renal disease requiring dialysis among 37,070 AS patients </w:t>
      </w:r>
      <w:r w:rsidR="002276D6">
        <w:rPr>
          <w:kern w:val="0"/>
          <w:lang w:val="en-GB"/>
        </w:rPr>
        <w:t xml:space="preserve">compared with </w:t>
      </w:r>
      <w:r w:rsidRPr="00CB5CCF">
        <w:rPr>
          <w:kern w:val="0"/>
          <w:lang w:val="en-GB"/>
        </w:rPr>
        <w:t>370,700 matched non-AS individuals, as shown by hazard ratios with 95% confidence interval</w:t>
      </w:r>
      <w:r w:rsidR="00DE084D">
        <w:rPr>
          <w:kern w:val="0"/>
          <w:lang w:val="en-GB"/>
        </w:rPr>
        <w:t>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CB5CCF" w:rsidRPr="00CB5CCF" w:rsidTr="00F42387">
        <w:trPr>
          <w:trHeight w:val="462"/>
        </w:trPr>
        <w:tc>
          <w:tcPr>
            <w:tcW w:w="322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b/>
                <w:lang w:val="en-GB"/>
              </w:rPr>
            </w:pPr>
            <w:r w:rsidRPr="00CB5CCF">
              <w:rPr>
                <w:b/>
                <w:lang w:val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b/>
                <w:lang w:val="en-GB"/>
              </w:rPr>
            </w:pPr>
            <w:r w:rsidRPr="00CB5CCF">
              <w:rPr>
                <w:b/>
                <w:lang w:val="en-GB"/>
              </w:rPr>
              <w:t>Crude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b/>
                <w:lang w:val="en-GB"/>
              </w:rPr>
            </w:pPr>
            <w:r w:rsidRPr="00CB5CCF">
              <w:rPr>
                <w:b/>
                <w:lang w:val="en-GB"/>
              </w:rPr>
              <w:t>Adjusted</w:t>
            </w:r>
          </w:p>
        </w:tc>
      </w:tr>
      <w:tr w:rsidR="00CB5CCF" w:rsidRPr="00CB5CCF" w:rsidTr="00F42387">
        <w:trPr>
          <w:trHeight w:val="350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HR (95% CI)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HR (95% CI)</w:t>
            </w:r>
          </w:p>
        </w:tc>
      </w:tr>
      <w:tr w:rsidR="00CB5CCF" w:rsidRPr="00CB5CCF" w:rsidTr="00F42387">
        <w:trPr>
          <w:trHeight w:val="35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CCF" w:rsidRPr="003D106F" w:rsidRDefault="00CB5CCF" w:rsidP="003D106F">
            <w:pPr>
              <w:spacing w:line="480" w:lineRule="auto"/>
              <w:rPr>
                <w:b/>
                <w:bCs/>
                <w:lang w:val="en-GB"/>
              </w:rPr>
            </w:pPr>
            <w:r w:rsidRPr="003D106F">
              <w:rPr>
                <w:b/>
                <w:bCs/>
                <w:lang w:val="en-GB"/>
              </w:rPr>
              <w:t>AS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</w:t>
            </w:r>
            <w:r w:rsidR="00531E00">
              <w:rPr>
                <w:lang w:val="en-GB"/>
              </w:rPr>
              <w:t xml:space="preserve">  </w:t>
            </w:r>
            <w:r w:rsidRPr="00CB5CCF">
              <w:rPr>
                <w:lang w:val="en-GB"/>
              </w:rPr>
              <w:t>No</w:t>
            </w:r>
            <w:r w:rsidR="00D8258C">
              <w:rPr>
                <w:lang w:val="en-GB"/>
              </w:rPr>
              <w:t>n-</w:t>
            </w:r>
            <w:r w:rsidR="00531E00">
              <w:rPr>
                <w:lang w:val="en-GB"/>
              </w:rPr>
              <w:t>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</w:t>
            </w:r>
            <w:r w:rsidR="00531E00">
              <w:rPr>
                <w:lang w:val="en-GB"/>
              </w:rPr>
              <w:t xml:space="preserve">  Treated AS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0.</w:t>
            </w:r>
            <w:r w:rsidR="00F37B64">
              <w:rPr>
                <w:lang w:val="en-GB"/>
              </w:rPr>
              <w:t>39</w:t>
            </w:r>
            <w:r w:rsidRPr="00CB5CCF">
              <w:rPr>
                <w:lang w:val="en-GB"/>
              </w:rPr>
              <w:t xml:space="preserve"> (0.</w:t>
            </w:r>
            <w:r w:rsidR="00F37B64">
              <w:rPr>
                <w:lang w:val="en-GB"/>
              </w:rPr>
              <w:t>29</w:t>
            </w:r>
            <w:r w:rsidRPr="00CB5CCF">
              <w:rPr>
                <w:lang w:val="en-GB"/>
              </w:rPr>
              <w:t>–</w:t>
            </w:r>
            <w:r w:rsidR="00F37B64">
              <w:rPr>
                <w:lang w:val="en-GB"/>
              </w:rPr>
              <w:t>0.51</w:t>
            </w:r>
            <w:r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0.</w:t>
            </w:r>
            <w:r w:rsidR="00475C07">
              <w:rPr>
                <w:lang w:val="en-GB"/>
              </w:rPr>
              <w:t>64</w:t>
            </w:r>
            <w:r w:rsidRPr="00CB5CCF">
              <w:rPr>
                <w:lang w:val="en-GB"/>
              </w:rPr>
              <w:t xml:space="preserve"> (0.4</w:t>
            </w:r>
            <w:r w:rsidR="00475C07">
              <w:rPr>
                <w:lang w:val="en-GB"/>
              </w:rPr>
              <w:t>7</w:t>
            </w:r>
            <w:r w:rsidRPr="00CB5CCF">
              <w:rPr>
                <w:lang w:val="en-GB"/>
              </w:rPr>
              <w:t>–</w:t>
            </w:r>
            <w:r w:rsidR="00475C07">
              <w:rPr>
                <w:lang w:val="en-GB"/>
              </w:rPr>
              <w:t>0</w:t>
            </w:r>
            <w:r w:rsidRPr="00CB5CCF">
              <w:rPr>
                <w:lang w:val="en-GB"/>
              </w:rPr>
              <w:t>.</w:t>
            </w:r>
            <w:r w:rsidR="00475C07">
              <w:rPr>
                <w:lang w:val="en-GB"/>
              </w:rPr>
              <w:t>89</w:t>
            </w:r>
            <w:r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b/>
                <w:lang w:val="en-GB"/>
              </w:rPr>
            </w:pPr>
            <w:r w:rsidRPr="00CB5CCF">
              <w:rPr>
                <w:b/>
                <w:lang w:val="en-GB"/>
              </w:rPr>
              <w:t xml:space="preserve">Comorbidities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 w:rsidRPr="00CB5CCF">
              <w:rPr>
                <w:lang w:val="en-GB"/>
              </w:rPr>
              <w:t>Diabetes mellitus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 w:rsidRPr="00CB5CCF">
              <w:rPr>
                <w:lang w:val="en-GB"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 w:rsidRPr="00CB5CCF">
              <w:rPr>
                <w:lang w:val="en-GB"/>
              </w:rPr>
              <w:t>Yes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F37B64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16.71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15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08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18.51</w:t>
            </w:r>
            <w:r w:rsidR="00CB5CCF"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F37B64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2.34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2</w:t>
            </w:r>
            <w:r w:rsidR="00CB5CCF" w:rsidRPr="00CB5CCF">
              <w:rPr>
                <w:lang w:val="en-GB"/>
              </w:rPr>
              <w:t>.1</w:t>
            </w: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2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60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 w:rsidRPr="00CB5CCF">
              <w:rPr>
                <w:lang w:val="en-GB"/>
              </w:rPr>
              <w:t>Hypertension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 w:rsidRPr="00CB5CCF">
              <w:rPr>
                <w:lang w:val="en-GB"/>
              </w:rPr>
              <w:t>No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 w:rsidRPr="00CB5CCF">
              <w:rPr>
                <w:lang w:val="en-GB"/>
              </w:rPr>
              <w:t>Yes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1</w:t>
            </w:r>
            <w:r w:rsidR="00F37B64">
              <w:rPr>
                <w:lang w:val="en-GB"/>
              </w:rPr>
              <w:t>1</w:t>
            </w:r>
            <w:r w:rsidRPr="00CB5CCF">
              <w:rPr>
                <w:lang w:val="en-GB"/>
              </w:rPr>
              <w:t>.</w:t>
            </w:r>
            <w:r w:rsidR="00F37B64">
              <w:rPr>
                <w:lang w:val="en-GB"/>
              </w:rPr>
              <w:t>77</w:t>
            </w:r>
            <w:r w:rsidRPr="00CB5CCF">
              <w:rPr>
                <w:lang w:val="en-GB"/>
              </w:rPr>
              <w:t xml:space="preserve"> (</w:t>
            </w:r>
            <w:r w:rsidR="00F37B64">
              <w:rPr>
                <w:lang w:val="en-GB"/>
              </w:rPr>
              <w:t>10</w:t>
            </w:r>
            <w:r w:rsidRPr="00CB5CCF">
              <w:rPr>
                <w:lang w:val="en-GB"/>
              </w:rPr>
              <w:t>.</w:t>
            </w:r>
            <w:r w:rsidR="00F37B64">
              <w:rPr>
                <w:lang w:val="en-GB"/>
              </w:rPr>
              <w:t>5</w:t>
            </w:r>
            <w:r w:rsidRPr="00CB5CCF">
              <w:rPr>
                <w:lang w:val="en-GB"/>
              </w:rPr>
              <w:t>9–</w:t>
            </w:r>
            <w:r w:rsidR="00F37B64">
              <w:rPr>
                <w:lang w:val="en-GB"/>
              </w:rPr>
              <w:t>13</w:t>
            </w:r>
            <w:r w:rsidRPr="00CB5CCF">
              <w:rPr>
                <w:lang w:val="en-GB"/>
              </w:rPr>
              <w:t>.</w:t>
            </w:r>
            <w:r w:rsidR="00F37B64">
              <w:rPr>
                <w:lang w:val="en-GB"/>
              </w:rPr>
              <w:t>09</w:t>
            </w:r>
            <w:r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F37B64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1.91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1.69</w:t>
            </w:r>
            <w:r w:rsidR="00CB5CCF" w:rsidRPr="00CB5CCF">
              <w:rPr>
                <w:lang w:val="en-GB"/>
              </w:rPr>
              <w:t>–2.</w:t>
            </w:r>
            <w:r>
              <w:rPr>
                <w:lang w:val="en-GB"/>
              </w:rPr>
              <w:t>15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AA7D0B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AA7D0B" w:rsidRPr="00CB5CCF" w:rsidRDefault="00AA7D0B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IgA nephropathy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7D0B" w:rsidRPr="00CB5CCF" w:rsidRDefault="00AA7D0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7D0B" w:rsidRDefault="00AA7D0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AA7D0B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AA7D0B" w:rsidRPr="00CB5CCF" w:rsidRDefault="00AA7D0B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>
              <w:rPr>
                <w:rFonts w:hint="eastAsia"/>
                <w:lang w:val="en-GB"/>
              </w:rPr>
              <w:t>N</w:t>
            </w:r>
            <w:r>
              <w:rPr>
                <w:lang w:val="en-GB"/>
              </w:rPr>
              <w:t>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7D0B" w:rsidRPr="00CB5CCF" w:rsidRDefault="00AA7D0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R</w:t>
            </w:r>
            <w:r>
              <w:rPr>
                <w:lang w:val="en-GB"/>
              </w:rPr>
              <w:t>eference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7D0B" w:rsidRDefault="00AA7D0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R</w:t>
            </w:r>
            <w:r>
              <w:rPr>
                <w:lang w:val="en-GB"/>
              </w:rPr>
              <w:t>eference</w:t>
            </w:r>
          </w:p>
        </w:tc>
      </w:tr>
      <w:tr w:rsidR="00AA7D0B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AA7D0B" w:rsidRPr="00CB5CCF" w:rsidRDefault="00AA7D0B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>
              <w:rPr>
                <w:rFonts w:hint="eastAsia"/>
                <w:lang w:val="en-GB"/>
              </w:rPr>
              <w:lastRenderedPageBreak/>
              <w:t>Y</w:t>
            </w:r>
            <w:r>
              <w:rPr>
                <w:lang w:val="en-GB"/>
              </w:rPr>
              <w:t>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7D0B" w:rsidRPr="00CB5CCF" w:rsidRDefault="00AA7D0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7.52 (20.58–36.80)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7D0B" w:rsidRDefault="00AA7D0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6</w:t>
            </w:r>
            <w:r>
              <w:rPr>
                <w:lang w:val="en-GB"/>
              </w:rPr>
              <w:t>.28 (4.69–8.40)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rPr>
                <w:b/>
                <w:color w:val="000000"/>
                <w:lang w:val="en-GB"/>
              </w:rPr>
            </w:pPr>
            <w:r w:rsidRPr="00660EA7">
              <w:rPr>
                <w:b/>
                <w:noProof/>
                <w:lang w:val="en-GB"/>
              </w:rPr>
              <w:t>Frequency</w:t>
            </w:r>
            <w:r w:rsidRPr="00CB5CCF">
              <w:rPr>
                <w:b/>
                <w:lang w:val="en-GB"/>
              </w:rPr>
              <w:t xml:space="preserve"> of serum creatinine examination during the follow-up period</w:t>
            </w:r>
          </w:p>
        </w:tc>
        <w:tc>
          <w:tcPr>
            <w:tcW w:w="2551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both"/>
              <w:rPr>
                <w:color w:val="000000"/>
                <w:lang w:val="en-GB"/>
              </w:rPr>
            </w:pPr>
            <w:r w:rsidRPr="00CB5CCF">
              <w:rPr>
                <w:color w:val="000000"/>
                <w:lang w:val="en-GB"/>
              </w:rPr>
              <w:t xml:space="preserve">  Number/year</w:t>
            </w:r>
            <w:r w:rsidRPr="004D1D3D">
              <w:rPr>
                <w:color w:val="000000"/>
                <w:szCs w:val="22"/>
                <w:lang w:val="en-GB"/>
              </w:rPr>
              <w:t xml:space="preserve"> = </w:t>
            </w:r>
            <w:r w:rsidRPr="00CB5CCF">
              <w:rPr>
                <w:color w:val="000000"/>
                <w:lang w:val="en-GB"/>
              </w:rPr>
              <w:t>0</w:t>
            </w:r>
          </w:p>
        </w:tc>
        <w:tc>
          <w:tcPr>
            <w:tcW w:w="2551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both"/>
              <w:rPr>
                <w:color w:val="000000"/>
                <w:lang w:val="en-GB"/>
              </w:rPr>
            </w:pPr>
            <w:r w:rsidRPr="00CB5CCF">
              <w:rPr>
                <w:color w:val="000000"/>
                <w:lang w:val="en-GB"/>
              </w:rPr>
              <w:t xml:space="preserve">  0</w:t>
            </w:r>
            <w:r w:rsidRPr="004D1D3D">
              <w:rPr>
                <w:color w:val="000000"/>
                <w:szCs w:val="22"/>
                <w:lang w:val="en-GB"/>
              </w:rPr>
              <w:t xml:space="preserve"> </w:t>
            </w:r>
            <w:r w:rsidRPr="00CB5CCF">
              <w:rPr>
                <w:color w:val="000000"/>
                <w:lang w:val="en-GB"/>
              </w:rPr>
              <w:t>&lt; number/year</w:t>
            </w:r>
            <w:r w:rsidRPr="004D1D3D">
              <w:rPr>
                <w:color w:val="000000"/>
                <w:szCs w:val="22"/>
                <w:lang w:val="en-GB"/>
              </w:rPr>
              <w:t xml:space="preserve"> &lt; </w:t>
            </w:r>
            <w:r w:rsidRPr="00CB5CCF">
              <w:rPr>
                <w:color w:val="000000"/>
                <w:lang w:val="en-GB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3.20 (2.18–4.71)</w:t>
            </w:r>
          </w:p>
        </w:tc>
        <w:tc>
          <w:tcPr>
            <w:tcW w:w="2552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3.</w:t>
            </w:r>
            <w:r w:rsidR="00912920">
              <w:rPr>
                <w:lang w:val="en-GB"/>
              </w:rPr>
              <w:t>3</w:t>
            </w:r>
            <w:r w:rsidR="00AA7D0B">
              <w:rPr>
                <w:lang w:val="en-GB"/>
              </w:rPr>
              <w:t>0</w:t>
            </w:r>
            <w:r w:rsidRPr="00CB5CCF">
              <w:rPr>
                <w:lang w:val="en-GB"/>
              </w:rPr>
              <w:t xml:space="preserve"> (2.</w:t>
            </w:r>
            <w:r w:rsidR="00912920">
              <w:rPr>
                <w:lang w:val="en-GB"/>
              </w:rPr>
              <w:t>2</w:t>
            </w:r>
            <w:r w:rsidR="00AA7D0B">
              <w:rPr>
                <w:lang w:val="en-GB"/>
              </w:rPr>
              <w:t>4</w:t>
            </w:r>
            <w:r w:rsidRPr="00CB5CCF">
              <w:rPr>
                <w:lang w:val="en-GB"/>
              </w:rPr>
              <w:t>–</w:t>
            </w:r>
            <w:r w:rsidR="00912920">
              <w:rPr>
                <w:lang w:val="en-GB"/>
              </w:rPr>
              <w:t>4</w:t>
            </w:r>
            <w:r w:rsidRPr="00CB5CCF">
              <w:rPr>
                <w:lang w:val="en-GB"/>
              </w:rPr>
              <w:t>.</w:t>
            </w:r>
            <w:r w:rsidR="00AA7D0B">
              <w:rPr>
                <w:lang w:val="en-GB"/>
              </w:rPr>
              <w:t>87</w:t>
            </w:r>
            <w:r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both"/>
              <w:rPr>
                <w:color w:val="000000"/>
                <w:lang w:val="en-GB"/>
              </w:rPr>
            </w:pPr>
            <w:r w:rsidRPr="00CB5CCF">
              <w:rPr>
                <w:color w:val="000000"/>
                <w:lang w:val="en-GB"/>
              </w:rPr>
              <w:t xml:space="preserve">  Number/year</w:t>
            </w:r>
            <w:r w:rsidRPr="004D1D3D">
              <w:rPr>
                <w:color w:val="000000"/>
                <w:szCs w:val="22"/>
                <w:lang w:val="en-GB"/>
              </w:rPr>
              <w:t xml:space="preserve"> ≥ </w:t>
            </w:r>
            <w:r w:rsidRPr="00CB5CCF">
              <w:rPr>
                <w:color w:val="000000"/>
                <w:lang w:val="en-GB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105.23 (75.91–145.87)</w:t>
            </w:r>
          </w:p>
        </w:tc>
        <w:tc>
          <w:tcPr>
            <w:tcW w:w="2552" w:type="dxa"/>
            <w:noWrap/>
            <w:vAlign w:val="center"/>
          </w:tcPr>
          <w:p w:rsidR="00CB5CCF" w:rsidRPr="00CB5CCF" w:rsidRDefault="00AA7D0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56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5</w:t>
            </w:r>
            <w:r w:rsidR="00912920"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 w:rsidR="00912920">
              <w:rPr>
                <w:lang w:val="en-GB"/>
              </w:rPr>
              <w:t>85</w:t>
            </w:r>
            <w:r w:rsidR="00CB5CCF" w:rsidRPr="00CB5CCF">
              <w:rPr>
                <w:lang w:val="en-GB"/>
              </w:rPr>
              <w:t>–8</w:t>
            </w:r>
            <w:r>
              <w:rPr>
                <w:lang w:val="en-GB"/>
              </w:rPr>
              <w:t>102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44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3D106F" w:rsidRDefault="00CB5CCF" w:rsidP="003D106F">
            <w:pPr>
              <w:spacing w:line="480" w:lineRule="auto"/>
              <w:rPr>
                <w:b/>
                <w:bCs/>
                <w:lang w:val="en-GB"/>
              </w:rPr>
            </w:pPr>
            <w:r w:rsidRPr="003D106F">
              <w:rPr>
                <w:b/>
                <w:bCs/>
                <w:lang w:val="en-GB"/>
              </w:rPr>
              <w:t>NSAIDs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Traditional NSAIDs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62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proofErr w:type="spellStart"/>
            <w:r w:rsidRPr="00CB5CCF">
              <w:rPr>
                <w:lang w:val="en-GB"/>
              </w:rPr>
              <w:t>cDDD</w:t>
            </w:r>
            <w:proofErr w:type="spellEnd"/>
            <w:r w:rsidRPr="00CB5CCF">
              <w:rPr>
                <w:lang w:val="en-GB"/>
              </w:rPr>
              <w:t>/year</w:t>
            </w:r>
            <w:r w:rsidRPr="004D1D3D">
              <w:rPr>
                <w:szCs w:val="22"/>
                <w:lang w:val="en-GB"/>
              </w:rPr>
              <w:t xml:space="preserve"> ≤ </w:t>
            </w:r>
            <w:r w:rsidR="00912920">
              <w:rPr>
                <w:lang w:val="en-GB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62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CB5CCF" w:rsidRPr="004D1D3D">
              <w:rPr>
                <w:szCs w:val="22"/>
                <w:lang w:val="en-GB"/>
              </w:rPr>
              <w:t xml:space="preserve"> &lt; </w:t>
            </w:r>
            <w:proofErr w:type="spellStart"/>
            <w:r w:rsidR="00CB5CCF" w:rsidRPr="00CB5CCF">
              <w:rPr>
                <w:lang w:val="en-GB"/>
              </w:rPr>
              <w:t>cDDD</w:t>
            </w:r>
            <w:proofErr w:type="spellEnd"/>
            <w:r w:rsidR="00CB5CCF" w:rsidRPr="00CB5CCF">
              <w:rPr>
                <w:lang w:val="en-GB"/>
              </w:rPr>
              <w:t>/year</w:t>
            </w:r>
            <w:r w:rsidR="00CB5CCF" w:rsidRPr="004D1D3D">
              <w:rPr>
                <w:szCs w:val="22"/>
                <w:lang w:val="en-GB"/>
              </w:rPr>
              <w:t xml:space="preserve"> ≤ </w:t>
            </w:r>
            <w:r>
              <w:rPr>
                <w:lang w:val="en-GB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  <w:r w:rsidR="00CB5CCF" w:rsidRPr="00CB5CCF">
              <w:rPr>
                <w:lang w:val="en-GB"/>
              </w:rPr>
              <w:t xml:space="preserve"> (0.</w:t>
            </w:r>
            <w:r>
              <w:rPr>
                <w:lang w:val="en-GB"/>
              </w:rPr>
              <w:t>43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57</w:t>
            </w:r>
            <w:r w:rsidR="00CB5CCF"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0.51</w:t>
            </w:r>
            <w:r w:rsidR="00CB5CCF" w:rsidRPr="00CB5CCF">
              <w:rPr>
                <w:lang w:val="en-GB"/>
              </w:rPr>
              <w:t xml:space="preserve"> (0.</w:t>
            </w:r>
            <w:r>
              <w:rPr>
                <w:lang w:val="en-GB"/>
              </w:rPr>
              <w:t>4</w:t>
            </w:r>
            <w:r w:rsidR="00CB5CCF" w:rsidRPr="00CB5CCF">
              <w:rPr>
                <w:lang w:val="en-GB"/>
              </w:rPr>
              <w:t>5–</w:t>
            </w: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59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62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CB5CCF" w:rsidRPr="004D1D3D">
              <w:rPr>
                <w:szCs w:val="22"/>
                <w:lang w:val="en-GB"/>
              </w:rPr>
              <w:t xml:space="preserve"> &lt; </w:t>
            </w:r>
            <w:proofErr w:type="spellStart"/>
            <w:r w:rsidR="00CB5CCF" w:rsidRPr="00CB5CCF">
              <w:rPr>
                <w:lang w:val="en-GB"/>
              </w:rPr>
              <w:t>cDDD</w:t>
            </w:r>
            <w:proofErr w:type="spellEnd"/>
            <w:r w:rsidR="00CB5CCF" w:rsidRPr="00CB5CCF">
              <w:rPr>
                <w:lang w:val="en-GB"/>
              </w:rPr>
              <w:t>/year</w:t>
            </w:r>
            <w:r w:rsidR="00CB5CCF" w:rsidRPr="004D1D3D">
              <w:rPr>
                <w:szCs w:val="22"/>
                <w:lang w:val="en-GB"/>
              </w:rPr>
              <w:t xml:space="preserve"> ≤ </w:t>
            </w:r>
            <w:r>
              <w:rPr>
                <w:lang w:val="en-GB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0.</w:t>
            </w:r>
            <w:r w:rsidR="00912920">
              <w:rPr>
                <w:lang w:val="en-GB"/>
              </w:rPr>
              <w:t>45</w:t>
            </w:r>
            <w:r w:rsidRPr="00CB5CCF">
              <w:rPr>
                <w:lang w:val="en-GB"/>
              </w:rPr>
              <w:t xml:space="preserve"> (0.</w:t>
            </w:r>
            <w:r w:rsidR="00912920">
              <w:rPr>
                <w:lang w:val="en-GB"/>
              </w:rPr>
              <w:t>39</w:t>
            </w:r>
            <w:r w:rsidRPr="00CB5CCF">
              <w:rPr>
                <w:lang w:val="en-GB"/>
              </w:rPr>
              <w:t>–</w:t>
            </w:r>
            <w:r w:rsidR="00912920">
              <w:rPr>
                <w:lang w:val="en-GB"/>
              </w:rPr>
              <w:t>0.52</w:t>
            </w:r>
            <w:r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0.</w:t>
            </w:r>
            <w:r w:rsidR="00912920">
              <w:rPr>
                <w:lang w:val="en-GB"/>
              </w:rPr>
              <w:t>42</w:t>
            </w:r>
            <w:r w:rsidRPr="00CB5CCF">
              <w:rPr>
                <w:lang w:val="en-GB"/>
              </w:rPr>
              <w:t xml:space="preserve"> (0.3</w:t>
            </w:r>
            <w:r w:rsidR="00912920">
              <w:rPr>
                <w:lang w:val="en-GB"/>
              </w:rPr>
              <w:t>6</w:t>
            </w:r>
            <w:r w:rsidRPr="00CB5CCF">
              <w:rPr>
                <w:lang w:val="en-GB"/>
              </w:rPr>
              <w:t>–</w:t>
            </w:r>
            <w:r w:rsidR="00912920">
              <w:rPr>
                <w:lang w:val="en-GB"/>
              </w:rPr>
              <w:t>0</w:t>
            </w:r>
            <w:r w:rsidRPr="00CB5CCF">
              <w:rPr>
                <w:lang w:val="en-GB"/>
              </w:rPr>
              <w:t>.4</w:t>
            </w:r>
            <w:r w:rsidR="00912920">
              <w:rPr>
                <w:lang w:val="en-GB"/>
              </w:rPr>
              <w:t>9</w:t>
            </w:r>
            <w:r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ind w:firstLineChars="200" w:firstLine="480"/>
              <w:rPr>
                <w:lang w:val="en-GB"/>
              </w:rPr>
            </w:pPr>
            <w:proofErr w:type="spellStart"/>
            <w:r w:rsidRPr="00CB5CCF">
              <w:rPr>
                <w:lang w:val="en-GB"/>
              </w:rPr>
              <w:t>cDDD</w:t>
            </w:r>
            <w:proofErr w:type="spellEnd"/>
            <w:r w:rsidRPr="00CB5CCF">
              <w:rPr>
                <w:lang w:val="en-GB"/>
              </w:rPr>
              <w:t>/year</w:t>
            </w:r>
            <w:r w:rsidRPr="004D1D3D">
              <w:rPr>
                <w:szCs w:val="22"/>
                <w:lang w:val="en-GB"/>
              </w:rPr>
              <w:t xml:space="preserve"> &gt; </w:t>
            </w:r>
            <w:r w:rsidR="00912920">
              <w:rPr>
                <w:lang w:val="en-GB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0.</w:t>
            </w:r>
            <w:r w:rsidR="00912920">
              <w:rPr>
                <w:lang w:val="en-GB"/>
              </w:rPr>
              <w:t>65</w:t>
            </w:r>
            <w:r w:rsidRPr="00CB5CCF">
              <w:rPr>
                <w:lang w:val="en-GB"/>
              </w:rPr>
              <w:t xml:space="preserve"> (0.5</w:t>
            </w:r>
            <w:r w:rsidR="00912920">
              <w:rPr>
                <w:lang w:val="en-GB"/>
              </w:rPr>
              <w:t>7</w:t>
            </w:r>
            <w:r w:rsidRPr="00CB5CCF">
              <w:rPr>
                <w:lang w:val="en-GB"/>
              </w:rPr>
              <w:t>–</w:t>
            </w:r>
            <w:r w:rsidR="00912920">
              <w:rPr>
                <w:lang w:val="en-GB"/>
              </w:rPr>
              <w:t>0.74</w:t>
            </w:r>
            <w:r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.4</w:t>
            </w:r>
            <w:r>
              <w:rPr>
                <w:lang w:val="en-GB"/>
              </w:rPr>
              <w:t>5</w:t>
            </w:r>
            <w:r w:rsidR="00CB5CCF" w:rsidRPr="00CB5CCF">
              <w:rPr>
                <w:lang w:val="en-GB"/>
              </w:rPr>
              <w:t xml:space="preserve"> (0.</w:t>
            </w:r>
            <w:r>
              <w:rPr>
                <w:lang w:val="en-GB"/>
              </w:rPr>
              <w:t>39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0.51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Selective COX-2i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 </w:t>
            </w:r>
            <w:r w:rsidR="00531E00">
              <w:rPr>
                <w:lang w:val="en-GB"/>
              </w:rPr>
              <w:t xml:space="preserve">    </w:t>
            </w:r>
            <w:proofErr w:type="spellStart"/>
            <w:r w:rsidRPr="00CB5CCF">
              <w:rPr>
                <w:lang w:val="en-GB"/>
              </w:rPr>
              <w:t>cDDD</w:t>
            </w:r>
            <w:proofErr w:type="spellEnd"/>
            <w:r w:rsidRPr="00CB5CCF">
              <w:rPr>
                <w:lang w:val="en-GB"/>
              </w:rPr>
              <w:t>/year</w:t>
            </w:r>
            <w:r w:rsidRPr="004D1D3D">
              <w:rPr>
                <w:szCs w:val="22"/>
                <w:lang w:val="en-GB"/>
              </w:rPr>
              <w:t xml:space="preserve"> </w:t>
            </w:r>
            <w:r w:rsidR="00291872" w:rsidRPr="004D1D3D">
              <w:rPr>
                <w:szCs w:val="22"/>
                <w:lang w:val="en-GB"/>
              </w:rPr>
              <w:t xml:space="preserve">≤ </w:t>
            </w:r>
            <w:r w:rsidR="00291872">
              <w:rPr>
                <w:lang w:val="en-GB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 </w:t>
            </w:r>
            <w:r w:rsidR="00531E00">
              <w:rPr>
                <w:lang w:val="en-GB"/>
              </w:rPr>
              <w:t xml:space="preserve">    </w:t>
            </w:r>
            <w:proofErr w:type="spellStart"/>
            <w:r w:rsidRPr="00CB5CCF">
              <w:rPr>
                <w:lang w:val="en-GB"/>
              </w:rPr>
              <w:t>cDDD</w:t>
            </w:r>
            <w:proofErr w:type="spellEnd"/>
            <w:r w:rsidRPr="00CB5CCF">
              <w:rPr>
                <w:lang w:val="en-GB"/>
              </w:rPr>
              <w:t>/year</w:t>
            </w:r>
            <w:r w:rsidRPr="004D1D3D">
              <w:rPr>
                <w:szCs w:val="22"/>
                <w:lang w:val="en-GB"/>
              </w:rPr>
              <w:t xml:space="preserve"> &gt; </w:t>
            </w:r>
            <w:r w:rsidR="00291872">
              <w:rPr>
                <w:lang w:val="en-GB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05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0.86</w:t>
            </w:r>
            <w:r w:rsidR="00CB5CCF" w:rsidRPr="00CB5CCF">
              <w:rPr>
                <w:lang w:val="en-GB"/>
              </w:rPr>
              <w:t>–1.</w:t>
            </w:r>
            <w:r>
              <w:rPr>
                <w:lang w:val="en-GB"/>
              </w:rPr>
              <w:t>28</w:t>
            </w:r>
            <w:r w:rsidR="00CB5CCF"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.5</w:t>
            </w:r>
            <w:r>
              <w:rPr>
                <w:lang w:val="en-GB"/>
              </w:rPr>
              <w:t>2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44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60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lastRenderedPageBreak/>
              <w:t xml:space="preserve">  Preferential COX-2i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 </w:t>
            </w:r>
            <w:r w:rsidR="00531E00">
              <w:rPr>
                <w:lang w:val="en-GB"/>
              </w:rPr>
              <w:t xml:space="preserve">    </w:t>
            </w:r>
            <w:proofErr w:type="spellStart"/>
            <w:r w:rsidRPr="00CB5CCF">
              <w:rPr>
                <w:lang w:val="en-GB"/>
              </w:rPr>
              <w:t>cDDD</w:t>
            </w:r>
            <w:proofErr w:type="spellEnd"/>
            <w:r w:rsidRPr="00CB5CCF">
              <w:rPr>
                <w:lang w:val="en-GB"/>
              </w:rPr>
              <w:t>/year</w:t>
            </w:r>
            <w:r w:rsidRPr="004D1D3D">
              <w:rPr>
                <w:szCs w:val="22"/>
                <w:lang w:val="en-GB"/>
              </w:rPr>
              <w:t xml:space="preserve"> </w:t>
            </w:r>
            <w:r w:rsidR="00291872" w:rsidRPr="004D1D3D">
              <w:rPr>
                <w:szCs w:val="22"/>
                <w:lang w:val="en-GB"/>
              </w:rPr>
              <w:t xml:space="preserve">≤ </w:t>
            </w:r>
            <w:r w:rsidR="00291872">
              <w:rPr>
                <w:lang w:val="en-GB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Reference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 </w:t>
            </w:r>
            <w:r w:rsidR="00531E00">
              <w:rPr>
                <w:lang w:val="en-GB"/>
              </w:rPr>
              <w:t xml:space="preserve">    </w:t>
            </w:r>
            <w:proofErr w:type="spellStart"/>
            <w:r w:rsidRPr="00CB5CCF">
              <w:rPr>
                <w:lang w:val="en-GB"/>
              </w:rPr>
              <w:t>cDDD</w:t>
            </w:r>
            <w:proofErr w:type="spellEnd"/>
            <w:r w:rsidRPr="00CB5CCF">
              <w:rPr>
                <w:lang w:val="en-GB"/>
              </w:rPr>
              <w:t>/year</w:t>
            </w:r>
            <w:r w:rsidRPr="004D1D3D">
              <w:rPr>
                <w:szCs w:val="22"/>
                <w:lang w:val="en-GB"/>
              </w:rPr>
              <w:t xml:space="preserve"> &gt; </w:t>
            </w:r>
            <w:r w:rsidR="00291872">
              <w:rPr>
                <w:lang w:val="en-GB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1.49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.30–</w:t>
            </w: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70</w:t>
            </w:r>
            <w:r w:rsidR="00CB5CCF"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  <w:r w:rsidRPr="00CB5CCF">
              <w:rPr>
                <w:lang w:val="en-GB"/>
              </w:rPr>
              <w:t>0.</w:t>
            </w:r>
            <w:r w:rsidR="00912920">
              <w:rPr>
                <w:lang w:val="en-GB"/>
              </w:rPr>
              <w:t>61</w:t>
            </w:r>
            <w:r w:rsidRPr="00CB5CCF">
              <w:rPr>
                <w:lang w:val="en-GB"/>
              </w:rPr>
              <w:t xml:space="preserve"> (0.</w:t>
            </w:r>
            <w:r w:rsidR="00912920">
              <w:rPr>
                <w:lang w:val="en-GB"/>
              </w:rPr>
              <w:t>53</w:t>
            </w:r>
            <w:r w:rsidRPr="00CB5CCF">
              <w:rPr>
                <w:lang w:val="en-GB"/>
              </w:rPr>
              <w:t>–</w:t>
            </w:r>
            <w:r w:rsidR="00912920">
              <w:rPr>
                <w:lang w:val="en-GB"/>
              </w:rPr>
              <w:t>0.70</w:t>
            </w:r>
            <w:r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CB5CCF" w:rsidRPr="003D106F" w:rsidRDefault="00E81359" w:rsidP="003D106F">
            <w:pPr>
              <w:spacing w:line="480" w:lineRule="auto"/>
              <w:rPr>
                <w:b/>
                <w:bCs/>
                <w:lang w:val="en-GB"/>
              </w:rPr>
            </w:pPr>
            <w:r w:rsidRPr="003D106F">
              <w:rPr>
                <w:b/>
                <w:bCs/>
                <w:lang w:val="en-GB"/>
              </w:rPr>
              <w:t>Medication use vs. not use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5CCF" w:rsidRPr="00CB5CCF" w:rsidRDefault="00CB5CCF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</w:t>
            </w:r>
            <w:r w:rsidR="00E81359">
              <w:rPr>
                <w:lang w:val="en-GB"/>
              </w:rPr>
              <w:t>Methotrexate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  <w:r w:rsidR="00CB5CCF" w:rsidRPr="00CB5CCF">
              <w:rPr>
                <w:lang w:val="en-GB"/>
              </w:rPr>
              <w:t xml:space="preserve"> (0.</w:t>
            </w:r>
            <w:r>
              <w:rPr>
                <w:lang w:val="en-GB"/>
              </w:rPr>
              <w:t>30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0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9</w:t>
            </w:r>
            <w:r w:rsidR="00CB5CCF" w:rsidRPr="00CB5CCF">
              <w:rPr>
                <w:lang w:val="en-GB"/>
              </w:rPr>
              <w:t>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</w:t>
            </w:r>
            <w:r w:rsidR="00291872">
              <w:rPr>
                <w:lang w:val="en-GB"/>
              </w:rPr>
              <w:t>35</w:t>
            </w:r>
            <w:r w:rsidR="00CB5CCF" w:rsidRPr="00CB5CCF">
              <w:rPr>
                <w:lang w:val="en-GB"/>
              </w:rPr>
              <w:t xml:space="preserve"> (0.</w:t>
            </w:r>
            <w:r w:rsidR="00291872">
              <w:rPr>
                <w:lang w:val="en-GB"/>
              </w:rPr>
              <w:t>20</w:t>
            </w:r>
            <w:r w:rsidR="00CB5CCF" w:rsidRPr="00CB5CCF">
              <w:rPr>
                <w:lang w:val="en-GB"/>
              </w:rPr>
              <w:t>–</w:t>
            </w:r>
            <w:r w:rsidR="00291872">
              <w:rPr>
                <w:lang w:val="en-GB"/>
              </w:rPr>
              <w:t>0.61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CB5CCF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CB5CCF" w:rsidRPr="00CB5CCF" w:rsidRDefault="00CB5CCF" w:rsidP="003D106F">
            <w:pPr>
              <w:spacing w:line="480" w:lineRule="auto"/>
              <w:rPr>
                <w:lang w:val="en-GB"/>
              </w:rPr>
            </w:pPr>
            <w:r w:rsidRPr="00CB5CCF">
              <w:rPr>
                <w:lang w:val="en-GB"/>
              </w:rPr>
              <w:t xml:space="preserve">  </w:t>
            </w:r>
            <w:r w:rsidR="00E81359">
              <w:rPr>
                <w:lang w:val="en-GB"/>
              </w:rPr>
              <w:t>Sulfasalazine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61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1.79</w:t>
            </w:r>
            <w:r w:rsidR="00CB5CCF" w:rsidRPr="00CB5CCF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5CCF" w:rsidRPr="00CB5CCF" w:rsidRDefault="00912920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21</w:t>
            </w:r>
            <w:r w:rsidR="00CB5CCF" w:rsidRPr="00CB5CCF">
              <w:rPr>
                <w:lang w:val="en-GB"/>
              </w:rPr>
              <w:t xml:space="preserve"> (</w:t>
            </w:r>
            <w:r>
              <w:rPr>
                <w:lang w:val="en-GB"/>
              </w:rPr>
              <w:t>1.08</w:t>
            </w:r>
            <w:r w:rsidR="00CB5CCF" w:rsidRPr="00CB5CCF">
              <w:rPr>
                <w:lang w:val="en-GB"/>
              </w:rPr>
              <w:t>–</w:t>
            </w:r>
            <w:r>
              <w:rPr>
                <w:lang w:val="en-GB"/>
              </w:rPr>
              <w:t>1</w:t>
            </w:r>
            <w:r w:rsidR="00CB5CCF" w:rsidRPr="00CB5CCF">
              <w:rPr>
                <w:lang w:val="en-GB"/>
              </w:rPr>
              <w:t>.</w:t>
            </w:r>
            <w:r>
              <w:rPr>
                <w:lang w:val="en-GB"/>
              </w:rPr>
              <w:t>35</w:t>
            </w:r>
            <w:r w:rsidR="00CB5CCF" w:rsidRPr="00CB5CCF">
              <w:rPr>
                <w:lang w:val="en-GB"/>
              </w:rPr>
              <w:t>)</w:t>
            </w:r>
          </w:p>
        </w:tc>
      </w:tr>
      <w:tr w:rsidR="00B257F8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B257F8" w:rsidRPr="00CB5CCF" w:rsidRDefault="00AA7D0B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E81359">
              <w:rPr>
                <w:rFonts w:hint="eastAsia"/>
                <w:lang w:val="en-GB"/>
              </w:rPr>
              <w:t>C</w:t>
            </w:r>
            <w:r w:rsidR="00E81359">
              <w:rPr>
                <w:lang w:val="en-GB"/>
              </w:rPr>
              <w:t>iclosporin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257F8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4.15 (2.35–7.33)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57F8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2</w:t>
            </w:r>
            <w:r>
              <w:rPr>
                <w:lang w:val="en-GB"/>
              </w:rPr>
              <w:t>.90 (1.60–5.25)</w:t>
            </w:r>
          </w:p>
        </w:tc>
      </w:tr>
      <w:tr w:rsidR="003D5039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3D5039" w:rsidRPr="00CB5CCF" w:rsidRDefault="003D5039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E81359">
              <w:rPr>
                <w:rFonts w:hint="eastAsia"/>
                <w:lang w:val="en-GB"/>
              </w:rPr>
              <w:t>C</w:t>
            </w:r>
            <w:r w:rsidR="00E81359">
              <w:rPr>
                <w:lang w:val="en-GB"/>
              </w:rPr>
              <w:t>orticosteroid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5039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.61 (1.45–1.79)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5039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.30 (1.16–1.45)</w:t>
            </w:r>
          </w:p>
        </w:tc>
      </w:tr>
      <w:tr w:rsidR="003D5039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3D5039" w:rsidRPr="00CB5CCF" w:rsidRDefault="003D5039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E81359">
              <w:rPr>
                <w:rFonts w:hint="eastAsia"/>
                <w:lang w:val="en-GB"/>
              </w:rPr>
              <w:t>A</w:t>
            </w:r>
            <w:r w:rsidR="00E81359">
              <w:rPr>
                <w:lang w:val="en-GB"/>
              </w:rPr>
              <w:t>minoglycoside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5039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4</w:t>
            </w:r>
            <w:r>
              <w:rPr>
                <w:lang w:val="en-GB"/>
              </w:rPr>
              <w:t>.56 (3.57–5.83)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5039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.30 (1.01–1.66)</w:t>
            </w:r>
          </w:p>
        </w:tc>
      </w:tr>
      <w:tr w:rsidR="003D5039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3D5039" w:rsidRPr="00CB5CCF" w:rsidRDefault="003D5039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E81359">
              <w:rPr>
                <w:rFonts w:hint="eastAsia"/>
                <w:lang w:val="en-GB"/>
              </w:rPr>
              <w:t>A</w:t>
            </w:r>
            <w:r w:rsidR="00E81359">
              <w:rPr>
                <w:lang w:val="en-GB"/>
              </w:rPr>
              <w:t>mphotericin B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D5039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7.92 (3.29–19.06)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5039" w:rsidRDefault="003D503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2.14 (0.88–5.22)</w:t>
            </w:r>
          </w:p>
        </w:tc>
      </w:tr>
      <w:tr w:rsidR="00F37E07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F37E07" w:rsidRPr="00CB5CCF" w:rsidRDefault="00F37E07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E81359">
              <w:rPr>
                <w:rFonts w:hint="eastAsia"/>
                <w:lang w:val="en-GB"/>
              </w:rPr>
              <w:t>C</w:t>
            </w:r>
            <w:r w:rsidR="00E81359">
              <w:rPr>
                <w:lang w:val="en-GB"/>
              </w:rPr>
              <w:t>isplatin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37E07" w:rsidRDefault="00E81359" w:rsidP="003D106F">
            <w:pPr>
              <w:spacing w:line="480" w:lineRule="auto"/>
              <w:jc w:val="center"/>
              <w:rPr>
                <w:lang w:val="en-GB"/>
              </w:rPr>
            </w:pPr>
            <w:r>
              <w:t>0.34</w:t>
            </w:r>
            <w:r w:rsidR="00F37E07">
              <w:rPr>
                <w:rFonts w:hint="eastAsia"/>
                <w:lang w:val="en-GB"/>
              </w:rPr>
              <w:t xml:space="preserve"> </w:t>
            </w:r>
            <w:r w:rsidR="00F37E07">
              <w:rPr>
                <w:lang w:val="en-GB"/>
              </w:rPr>
              <w:t>(</w:t>
            </w:r>
            <w:r>
              <w:rPr>
                <w:lang w:val="en-GB"/>
              </w:rPr>
              <w:t>0.09</w:t>
            </w:r>
            <w:r w:rsidR="00F37E07">
              <w:rPr>
                <w:lang w:val="en-GB"/>
              </w:rPr>
              <w:t>–1.</w:t>
            </w:r>
            <w:r>
              <w:rPr>
                <w:lang w:val="en-GB"/>
              </w:rPr>
              <w:t>35</w:t>
            </w:r>
            <w:r w:rsidR="00F37E07">
              <w:rPr>
                <w:lang w:val="en-GB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E07" w:rsidRDefault="00E8135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0.11</w:t>
            </w:r>
            <w:r w:rsidR="00F37E07">
              <w:rPr>
                <w:lang w:val="en-GB"/>
              </w:rPr>
              <w:t xml:space="preserve"> (0.</w:t>
            </w:r>
            <w:r>
              <w:rPr>
                <w:lang w:val="en-GB"/>
              </w:rPr>
              <w:t>03</w:t>
            </w:r>
            <w:r w:rsidR="00F37E07">
              <w:rPr>
                <w:lang w:val="en-GB"/>
              </w:rPr>
              <w:t>–</w:t>
            </w:r>
            <w:r>
              <w:rPr>
                <w:lang w:val="en-GB"/>
              </w:rPr>
              <w:t>0</w:t>
            </w:r>
            <w:r w:rsidR="00F37E07">
              <w:rPr>
                <w:lang w:val="en-GB"/>
              </w:rPr>
              <w:t>.</w:t>
            </w:r>
            <w:r>
              <w:rPr>
                <w:lang w:val="en-GB"/>
              </w:rPr>
              <w:t>45</w:t>
            </w:r>
            <w:r w:rsidR="00F37E07">
              <w:rPr>
                <w:lang w:val="en-GB"/>
              </w:rPr>
              <w:t>)</w:t>
            </w:r>
          </w:p>
        </w:tc>
      </w:tr>
      <w:tr w:rsidR="00E81359" w:rsidRPr="00CB5CCF" w:rsidTr="00F42387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E81359" w:rsidRPr="00CB5CCF" w:rsidRDefault="00E81359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C</w:t>
            </w:r>
            <w:r>
              <w:rPr>
                <w:lang w:val="en-GB"/>
              </w:rPr>
              <w:t>ontrast agents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81359" w:rsidRDefault="00E8135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2.07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(1.73–2.48)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1359" w:rsidRDefault="00E81359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0.75 (0.62–0.90)</w:t>
            </w:r>
          </w:p>
        </w:tc>
      </w:tr>
    </w:tbl>
    <w:p w:rsidR="00475C07" w:rsidRPr="00CB5CCF" w:rsidRDefault="00CB5CCF" w:rsidP="003D106F">
      <w:pPr>
        <w:spacing w:line="480" w:lineRule="auto"/>
        <w:rPr>
          <w:kern w:val="0"/>
          <w:lang w:val="en-GB"/>
        </w:rPr>
      </w:pPr>
      <w:r w:rsidRPr="00CB5CCF">
        <w:rPr>
          <w:kern w:val="0"/>
          <w:lang w:val="en-GB"/>
        </w:rPr>
        <w:t xml:space="preserve">Abbreviations: AS, ankylosing spondylitis; HR, hazard ratio; </w:t>
      </w:r>
      <w:r w:rsidR="00F276CB">
        <w:rPr>
          <w:kern w:val="0"/>
          <w:lang w:val="en-GB"/>
        </w:rPr>
        <w:t xml:space="preserve">CI, confidence interval; </w:t>
      </w:r>
      <w:r w:rsidRPr="00CB5CCF">
        <w:rPr>
          <w:kern w:val="0"/>
          <w:lang w:val="en-GB"/>
        </w:rPr>
        <w:t xml:space="preserve">NSAIDs, non-steroidal anti-inflammatory drugs; </w:t>
      </w:r>
      <w:proofErr w:type="spellStart"/>
      <w:r w:rsidRPr="00CB5CCF">
        <w:rPr>
          <w:kern w:val="0"/>
          <w:lang w:val="en-GB"/>
        </w:rPr>
        <w:t>cDDD</w:t>
      </w:r>
      <w:proofErr w:type="spellEnd"/>
      <w:r w:rsidRPr="00CB5CCF">
        <w:rPr>
          <w:kern w:val="0"/>
          <w:lang w:val="en-GB"/>
        </w:rPr>
        <w:t>, cumulative defined daily dose; COX-2i, cyclooxygenase-2 inhibitors.</w:t>
      </w:r>
    </w:p>
    <w:p w:rsidR="00F42387" w:rsidRDefault="00F42387" w:rsidP="003D106F">
      <w:pPr>
        <w:spacing w:line="480" w:lineRule="auto"/>
      </w:pPr>
    </w:p>
    <w:p w:rsidR="002276D6" w:rsidRPr="00CB5CCF" w:rsidRDefault="002276D6" w:rsidP="003D106F">
      <w:pPr>
        <w:widowControl/>
        <w:spacing w:line="480" w:lineRule="auto"/>
        <w:rPr>
          <w:kern w:val="0"/>
          <w:lang w:val="en-GB"/>
        </w:rPr>
      </w:pPr>
      <w:r>
        <w:rPr>
          <w:rFonts w:hint="eastAsia"/>
        </w:rPr>
        <w:lastRenderedPageBreak/>
        <w:t>T</w:t>
      </w:r>
      <w:r>
        <w:t xml:space="preserve">able C  </w:t>
      </w:r>
      <w:r>
        <w:rPr>
          <w:kern w:val="0"/>
        </w:rPr>
        <w:t>M</w:t>
      </w:r>
      <w:r w:rsidRPr="00CB5CCF">
        <w:rPr>
          <w:kern w:val="0"/>
          <w:lang w:val="en-GB"/>
        </w:rPr>
        <w:t xml:space="preserve">ultivariable-adjusted </w:t>
      </w:r>
      <w:r w:rsidR="00B21356">
        <w:rPr>
          <w:kern w:val="0"/>
          <w:lang w:val="en-GB"/>
        </w:rPr>
        <w:t xml:space="preserve">Cox regression </w:t>
      </w:r>
      <w:r w:rsidRPr="00CB5CCF">
        <w:rPr>
          <w:kern w:val="0"/>
          <w:lang w:val="en-GB"/>
        </w:rPr>
        <w:t xml:space="preserve">analyses of the </w:t>
      </w:r>
      <w:r>
        <w:rPr>
          <w:kern w:val="0"/>
          <w:lang w:val="en-GB"/>
        </w:rPr>
        <w:t xml:space="preserve">relative risk of </w:t>
      </w:r>
      <w:r w:rsidRPr="00CB5CCF">
        <w:rPr>
          <w:kern w:val="0"/>
          <w:lang w:val="en-GB"/>
        </w:rPr>
        <w:t xml:space="preserve">end-stage renal disease requiring dialysis </w:t>
      </w:r>
      <w:r>
        <w:rPr>
          <w:kern w:val="0"/>
          <w:lang w:val="en-GB"/>
        </w:rPr>
        <w:t xml:space="preserve">shown by hazard ratios with 95% confidence intervals in </w:t>
      </w:r>
      <w:r w:rsidRPr="00CB5CCF">
        <w:rPr>
          <w:kern w:val="0"/>
          <w:lang w:val="en-GB"/>
        </w:rPr>
        <w:t xml:space="preserve">37,070 AS patients </w:t>
      </w:r>
      <w:r>
        <w:rPr>
          <w:kern w:val="0"/>
          <w:lang w:val="en-GB"/>
        </w:rPr>
        <w:t xml:space="preserve">compared with </w:t>
      </w:r>
      <w:r w:rsidRPr="00CB5CCF">
        <w:rPr>
          <w:kern w:val="0"/>
          <w:lang w:val="en-GB"/>
        </w:rPr>
        <w:t xml:space="preserve">370,700 matched non-AS individuals, as </w:t>
      </w:r>
      <w:r>
        <w:rPr>
          <w:kern w:val="0"/>
          <w:lang w:val="en-GB"/>
        </w:rPr>
        <w:t xml:space="preserve">stratified by age and </w:t>
      </w:r>
      <w:r w:rsidR="00F276CB">
        <w:rPr>
          <w:kern w:val="0"/>
          <w:lang w:val="en-GB"/>
        </w:rPr>
        <w:t>sex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2276D6" w:rsidRPr="00786EFA" w:rsidTr="003D106F">
        <w:trPr>
          <w:trHeight w:val="3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6D6" w:rsidRPr="00786EFA" w:rsidRDefault="002276D6" w:rsidP="003D106F">
            <w:pPr>
              <w:spacing w:line="480" w:lineRule="auto"/>
              <w:rPr>
                <w:lang w:val="en-GB"/>
              </w:rPr>
            </w:pPr>
            <w:bookmarkStart w:id="2" w:name="_Hlk487812187"/>
            <w:r>
              <w:rPr>
                <w:rFonts w:hint="eastAsia"/>
                <w:lang w:val="en-GB"/>
              </w:rPr>
              <w:t>G</w:t>
            </w:r>
            <w:r>
              <w:rPr>
                <w:lang w:val="en-GB"/>
              </w:rPr>
              <w:t>roup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  <w:r w:rsidRPr="00786EFA">
              <w:rPr>
                <w:lang w:val="en-GB"/>
              </w:rPr>
              <w:t>HR (95%</w:t>
            </w:r>
            <w:r w:rsidR="00B21356">
              <w:rPr>
                <w:lang w:val="en-GB"/>
              </w:rPr>
              <w:t xml:space="preserve"> </w:t>
            </w:r>
            <w:r w:rsidRPr="00786EFA">
              <w:rPr>
                <w:lang w:val="en-GB"/>
              </w:rPr>
              <w:t>CI)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P-value for interaction</w:t>
            </w:r>
          </w:p>
        </w:tc>
      </w:tr>
      <w:tr w:rsidR="002276D6" w:rsidRPr="00786EFA" w:rsidTr="001D075A">
        <w:trPr>
          <w:trHeight w:val="35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6D6" w:rsidRPr="00C61E49" w:rsidRDefault="00F276CB" w:rsidP="003D106F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Age group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.916</w:t>
            </w:r>
          </w:p>
        </w:tc>
      </w:tr>
      <w:tr w:rsidR="002276D6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2276D6" w:rsidRPr="00786EFA" w:rsidRDefault="00F276CB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>
              <w:rPr>
                <w:lang w:val="en-GB"/>
              </w:rPr>
              <w:t>≤40 years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0.31 (0.10–0.97)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2276D6" w:rsidRPr="00786EFA" w:rsidTr="003D106F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2276D6" w:rsidRPr="00786EFA" w:rsidRDefault="00F276CB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>
              <w:rPr>
                <w:lang w:val="en-GB"/>
              </w:rPr>
              <w:t>&gt;40 years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.61 (0.43–0.85)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2276D6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2276D6" w:rsidRPr="00786EFA" w:rsidRDefault="00F276CB" w:rsidP="003D106F">
            <w:pPr>
              <w:spacing w:line="480" w:lineRule="auto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S</w:t>
            </w:r>
            <w:r>
              <w:rPr>
                <w:b/>
                <w:lang w:val="en-GB"/>
              </w:rPr>
              <w:t>ex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.656</w:t>
            </w:r>
          </w:p>
        </w:tc>
      </w:tr>
      <w:tr w:rsidR="002276D6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2276D6" w:rsidRPr="00786EFA" w:rsidRDefault="00F276CB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0.51 (0.31–0.85)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2276D6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2276D6" w:rsidRPr="00786EFA" w:rsidRDefault="00F276CB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76D6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.66 (0.44–0.99)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76D6" w:rsidRPr="00786EFA" w:rsidRDefault="002276D6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</w:tbl>
    <w:bookmarkEnd w:id="2"/>
    <w:p w:rsidR="00F276CB" w:rsidRDefault="00F276CB" w:rsidP="003D106F">
      <w:pPr>
        <w:spacing w:line="480" w:lineRule="auto"/>
        <w:rPr>
          <w:kern w:val="0"/>
          <w:lang w:val="en-GB"/>
        </w:rPr>
      </w:pPr>
      <w:r>
        <w:rPr>
          <w:rFonts w:hint="eastAsia"/>
          <w:kern w:val="0"/>
          <w:lang w:val="en-GB"/>
        </w:rPr>
        <w:t>M</w:t>
      </w:r>
      <w:r>
        <w:rPr>
          <w:kern w:val="0"/>
          <w:lang w:val="en-GB"/>
        </w:rPr>
        <w:t xml:space="preserve">atched variables included age, sex and year of the index date. Adjusted variables included diabetes, hypertension, IgA nephropathy, frequency of serum creatinine examinations during the follow-up period, </w:t>
      </w:r>
      <w:r w:rsidR="00B21356">
        <w:rPr>
          <w:kern w:val="0"/>
          <w:lang w:val="en-GB"/>
        </w:rPr>
        <w:t xml:space="preserve">average annual number of cumulative defined daily dose of non-steroidal anti-inflammatory drugs, use of methotrexate, sulfasalazine, ciclosporin aminoglycoside, amphotericin B, </w:t>
      </w:r>
      <w:proofErr w:type="gramStart"/>
      <w:r w:rsidR="00B21356">
        <w:rPr>
          <w:kern w:val="0"/>
          <w:lang w:val="en-GB"/>
        </w:rPr>
        <w:t>cisplatin</w:t>
      </w:r>
      <w:proofErr w:type="gramEnd"/>
      <w:r w:rsidR="00B21356">
        <w:rPr>
          <w:kern w:val="0"/>
          <w:lang w:val="en-GB"/>
        </w:rPr>
        <w:t xml:space="preserve"> and contrast agents.</w:t>
      </w:r>
    </w:p>
    <w:p w:rsidR="00EB2431" w:rsidRDefault="00F276CB" w:rsidP="003D106F">
      <w:pPr>
        <w:spacing w:line="480" w:lineRule="auto"/>
        <w:rPr>
          <w:lang w:val="en-GB"/>
        </w:rPr>
      </w:pPr>
      <w:r w:rsidRPr="00CB5CCF">
        <w:rPr>
          <w:kern w:val="0"/>
          <w:lang w:val="en-GB"/>
        </w:rPr>
        <w:t xml:space="preserve">Abbreviations: AS, ankylosing spondylitis; HR, hazard ratio; </w:t>
      </w:r>
      <w:r>
        <w:rPr>
          <w:kern w:val="0"/>
          <w:lang w:val="en-GB"/>
        </w:rPr>
        <w:t>CI, confidence interval.</w:t>
      </w:r>
    </w:p>
    <w:p w:rsidR="00F276CB" w:rsidRDefault="00F276CB" w:rsidP="003D106F">
      <w:pPr>
        <w:spacing w:line="480" w:lineRule="auto"/>
        <w:rPr>
          <w:lang w:val="en-GB"/>
        </w:rPr>
      </w:pPr>
    </w:p>
    <w:p w:rsidR="00F276CB" w:rsidRPr="00CB5CCF" w:rsidRDefault="00F276CB" w:rsidP="003D106F">
      <w:pPr>
        <w:widowControl/>
        <w:spacing w:line="480" w:lineRule="auto"/>
        <w:rPr>
          <w:kern w:val="0"/>
          <w:lang w:val="en-GB"/>
        </w:rPr>
      </w:pPr>
      <w:r>
        <w:rPr>
          <w:rFonts w:hint="eastAsia"/>
        </w:rPr>
        <w:t>T</w:t>
      </w:r>
      <w:r>
        <w:t xml:space="preserve">able D  </w:t>
      </w:r>
      <w:r>
        <w:rPr>
          <w:kern w:val="0"/>
        </w:rPr>
        <w:t>M</w:t>
      </w:r>
      <w:r w:rsidRPr="00CB5CCF">
        <w:rPr>
          <w:kern w:val="0"/>
          <w:lang w:val="en-GB"/>
        </w:rPr>
        <w:t xml:space="preserve">ultivariable-adjusted </w:t>
      </w:r>
      <w:r w:rsidR="00B21356">
        <w:rPr>
          <w:kern w:val="0"/>
          <w:lang w:val="en-GB"/>
        </w:rPr>
        <w:t xml:space="preserve">Cox regression </w:t>
      </w:r>
      <w:r w:rsidRPr="00CB5CCF">
        <w:rPr>
          <w:kern w:val="0"/>
          <w:lang w:val="en-GB"/>
        </w:rPr>
        <w:t xml:space="preserve">analyses of the </w:t>
      </w:r>
      <w:r>
        <w:rPr>
          <w:kern w:val="0"/>
          <w:lang w:val="en-GB"/>
        </w:rPr>
        <w:t xml:space="preserve">relative risk of </w:t>
      </w:r>
      <w:r w:rsidRPr="00CB5CCF">
        <w:rPr>
          <w:kern w:val="0"/>
          <w:lang w:val="en-GB"/>
        </w:rPr>
        <w:t xml:space="preserve">end-stage renal disease requiring dialysis </w:t>
      </w:r>
      <w:r>
        <w:rPr>
          <w:kern w:val="0"/>
          <w:lang w:val="en-GB"/>
        </w:rPr>
        <w:t>shown by hazard ratios with 95% confidence intervals in 6,621</w:t>
      </w:r>
      <w:r w:rsidRPr="00CB5CCF">
        <w:rPr>
          <w:kern w:val="0"/>
          <w:lang w:val="en-GB"/>
        </w:rPr>
        <w:t xml:space="preserve"> AS patients </w:t>
      </w:r>
      <w:r>
        <w:rPr>
          <w:kern w:val="0"/>
          <w:lang w:val="en-GB"/>
        </w:rPr>
        <w:t>compared with 6,621</w:t>
      </w:r>
      <w:r w:rsidRPr="00CB5CCF">
        <w:rPr>
          <w:kern w:val="0"/>
          <w:lang w:val="en-GB"/>
        </w:rPr>
        <w:t xml:space="preserve"> matched non-AS individuals, as </w:t>
      </w:r>
      <w:r>
        <w:rPr>
          <w:kern w:val="0"/>
          <w:lang w:val="en-GB"/>
        </w:rPr>
        <w:t>stratified by age and gender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F276CB" w:rsidRPr="00786EFA" w:rsidTr="001D075A">
        <w:trPr>
          <w:trHeight w:val="3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>G</w:t>
            </w:r>
            <w:r>
              <w:rPr>
                <w:lang w:val="en-GB"/>
              </w:rPr>
              <w:t>roup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 w:rsidRPr="00786EFA">
              <w:rPr>
                <w:lang w:val="en-GB"/>
              </w:rPr>
              <w:t>HR (95%</w:t>
            </w:r>
            <w:r w:rsidR="00B21356">
              <w:rPr>
                <w:lang w:val="en-GB"/>
              </w:rPr>
              <w:t xml:space="preserve"> </w:t>
            </w:r>
            <w:r w:rsidRPr="00786EFA">
              <w:rPr>
                <w:lang w:val="en-GB"/>
              </w:rPr>
              <w:t>CI)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P-value for interaction</w:t>
            </w:r>
          </w:p>
        </w:tc>
      </w:tr>
      <w:tr w:rsidR="00F276CB" w:rsidRPr="00786EFA" w:rsidTr="001D075A">
        <w:trPr>
          <w:trHeight w:val="35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6CB" w:rsidRPr="00C61E49" w:rsidRDefault="00F276CB" w:rsidP="003D106F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Age group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.895</w:t>
            </w:r>
          </w:p>
        </w:tc>
      </w:tr>
      <w:tr w:rsidR="00F276CB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F276CB" w:rsidRPr="00786EFA" w:rsidRDefault="00F276CB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>
              <w:rPr>
                <w:lang w:val="en-GB"/>
              </w:rPr>
              <w:t>≤40 years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1.23 (0.13–11.74)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F276CB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>
              <w:rPr>
                <w:lang w:val="en-GB"/>
              </w:rPr>
              <w:lastRenderedPageBreak/>
              <w:t>&gt;40 years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.86 (0.30–2.43)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F276CB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Gender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.656</w:t>
            </w:r>
          </w:p>
        </w:tc>
      </w:tr>
      <w:tr w:rsidR="00F276CB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F276CB" w:rsidRPr="00786EFA" w:rsidRDefault="00F276CB" w:rsidP="003D106F">
            <w:pPr>
              <w:spacing w:line="480" w:lineRule="auto"/>
              <w:ind w:firstLineChars="100" w:firstLine="240"/>
              <w:rPr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.06 (0.17–6.71)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F276CB" w:rsidRPr="00786EFA" w:rsidTr="001D075A">
        <w:trPr>
          <w:trHeight w:val="340"/>
        </w:trPr>
        <w:tc>
          <w:tcPr>
            <w:tcW w:w="3227" w:type="dxa"/>
            <w:shd w:val="clear" w:color="auto" w:fill="auto"/>
            <w:noWrap/>
            <w:vAlign w:val="center"/>
          </w:tcPr>
          <w:p w:rsidR="00F276CB" w:rsidRPr="00786EFA" w:rsidRDefault="00F276CB" w:rsidP="003D106F">
            <w:pPr>
              <w:spacing w:line="480" w:lineRule="auto"/>
              <w:rPr>
                <w:lang w:val="en-GB"/>
              </w:rPr>
            </w:pP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Male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0</w:t>
            </w:r>
            <w:r>
              <w:rPr>
                <w:lang w:val="en-GB"/>
              </w:rPr>
              <w:t>.85 (0.28–2.63)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76CB" w:rsidRPr="00786EFA" w:rsidRDefault="00F276CB" w:rsidP="003D106F">
            <w:pPr>
              <w:spacing w:line="480" w:lineRule="auto"/>
              <w:jc w:val="center"/>
              <w:rPr>
                <w:lang w:val="en-GB"/>
              </w:rPr>
            </w:pPr>
          </w:p>
        </w:tc>
      </w:tr>
    </w:tbl>
    <w:p w:rsidR="00B21356" w:rsidRDefault="00B21356" w:rsidP="00B21356">
      <w:pPr>
        <w:spacing w:line="480" w:lineRule="auto"/>
        <w:rPr>
          <w:kern w:val="0"/>
          <w:lang w:val="en-GB"/>
        </w:rPr>
      </w:pPr>
      <w:r>
        <w:rPr>
          <w:rFonts w:hint="eastAsia"/>
          <w:kern w:val="0"/>
          <w:lang w:val="en-GB"/>
        </w:rPr>
        <w:t>M</w:t>
      </w:r>
      <w:r>
        <w:rPr>
          <w:kern w:val="0"/>
          <w:lang w:val="en-GB"/>
        </w:rPr>
        <w:t>atched variables included age, sex, year of the index date and</w:t>
      </w:r>
      <w:r w:rsidRPr="00B21356">
        <w:rPr>
          <w:kern w:val="0"/>
          <w:lang w:val="en-GB"/>
        </w:rPr>
        <w:t xml:space="preserve"> </w:t>
      </w:r>
      <w:r>
        <w:rPr>
          <w:kern w:val="0"/>
          <w:lang w:val="en-GB"/>
        </w:rPr>
        <w:t xml:space="preserve">average annual number of cumulative defined daily dose of non-steroidal anti-inflammatory drugs. Adjusted variables included diabetes, hypertension, IgA nephropathy, frequency of serum creatinine examinations during the follow-up period, use of methotrexate, sulfasalazine, ciclosporin aminoglycoside, amphotericin B, </w:t>
      </w:r>
      <w:proofErr w:type="gramStart"/>
      <w:r>
        <w:rPr>
          <w:kern w:val="0"/>
          <w:lang w:val="en-GB"/>
        </w:rPr>
        <w:t>cisplatin</w:t>
      </w:r>
      <w:proofErr w:type="gramEnd"/>
      <w:r>
        <w:rPr>
          <w:kern w:val="0"/>
          <w:lang w:val="en-GB"/>
        </w:rPr>
        <w:t xml:space="preserve"> and contrast agents.</w:t>
      </w:r>
    </w:p>
    <w:p w:rsidR="00B21356" w:rsidRDefault="00B21356" w:rsidP="00B21356">
      <w:pPr>
        <w:spacing w:line="480" w:lineRule="auto"/>
        <w:rPr>
          <w:lang w:val="en-GB"/>
        </w:rPr>
      </w:pPr>
      <w:r w:rsidRPr="00CB5CCF">
        <w:rPr>
          <w:kern w:val="0"/>
          <w:lang w:val="en-GB"/>
        </w:rPr>
        <w:t xml:space="preserve">Abbreviations: AS, ankylosing spondylitis; HR, hazard ratio; </w:t>
      </w:r>
      <w:r>
        <w:rPr>
          <w:kern w:val="0"/>
          <w:lang w:val="en-GB"/>
        </w:rPr>
        <w:t>CI, confidence interval.</w:t>
      </w:r>
    </w:p>
    <w:p w:rsidR="00F276CB" w:rsidRPr="003D106F" w:rsidRDefault="00F276CB" w:rsidP="003D106F">
      <w:pPr>
        <w:spacing w:line="480" w:lineRule="auto"/>
        <w:rPr>
          <w:lang w:val="en-GB"/>
        </w:rPr>
      </w:pPr>
    </w:p>
    <w:sectPr w:rsidR="00F276CB" w:rsidRPr="003D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18" w:rsidRDefault="00752518" w:rsidP="00475C07">
      <w:r>
        <w:separator/>
      </w:r>
    </w:p>
  </w:endnote>
  <w:endnote w:type="continuationSeparator" w:id="0">
    <w:p w:rsidR="00752518" w:rsidRDefault="00752518" w:rsidP="0047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18" w:rsidRDefault="00752518" w:rsidP="00475C07">
      <w:r>
        <w:separator/>
      </w:r>
    </w:p>
  </w:footnote>
  <w:footnote w:type="continuationSeparator" w:id="0">
    <w:p w:rsidR="00752518" w:rsidRDefault="00752518" w:rsidP="00475C0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信華 陳">
    <w15:presenceInfo w15:providerId="Windows Live" w15:userId="891919724530c0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bawNLYwMTQxszRX0lEKTi0uzszPAykwqgUAuBYp0SwAAAA="/>
  </w:docVars>
  <w:rsids>
    <w:rsidRoot w:val="00CB5CCF"/>
    <w:rsid w:val="000536AE"/>
    <w:rsid w:val="00153E8D"/>
    <w:rsid w:val="001A129E"/>
    <w:rsid w:val="001A511D"/>
    <w:rsid w:val="001D075A"/>
    <w:rsid w:val="002276D6"/>
    <w:rsid w:val="00291872"/>
    <w:rsid w:val="003169F0"/>
    <w:rsid w:val="003A7A2B"/>
    <w:rsid w:val="003C37D3"/>
    <w:rsid w:val="003D106F"/>
    <w:rsid w:val="003D5039"/>
    <w:rsid w:val="0045163D"/>
    <w:rsid w:val="0046119B"/>
    <w:rsid w:val="00475C07"/>
    <w:rsid w:val="004A00DC"/>
    <w:rsid w:val="00500ABB"/>
    <w:rsid w:val="00511351"/>
    <w:rsid w:val="00531E00"/>
    <w:rsid w:val="006436D3"/>
    <w:rsid w:val="00660EA7"/>
    <w:rsid w:val="0068423E"/>
    <w:rsid w:val="00743AA2"/>
    <w:rsid w:val="00752518"/>
    <w:rsid w:val="00912920"/>
    <w:rsid w:val="009932CE"/>
    <w:rsid w:val="009C7856"/>
    <w:rsid w:val="00A33693"/>
    <w:rsid w:val="00AA7D0B"/>
    <w:rsid w:val="00B21356"/>
    <w:rsid w:val="00B257F8"/>
    <w:rsid w:val="00BE17AD"/>
    <w:rsid w:val="00CB5CCF"/>
    <w:rsid w:val="00CD4C73"/>
    <w:rsid w:val="00D8258C"/>
    <w:rsid w:val="00DE084D"/>
    <w:rsid w:val="00E05D3B"/>
    <w:rsid w:val="00E81359"/>
    <w:rsid w:val="00EB2431"/>
    <w:rsid w:val="00F276CB"/>
    <w:rsid w:val="00F37B64"/>
    <w:rsid w:val="00F37E07"/>
    <w:rsid w:val="00F42387"/>
    <w:rsid w:val="00F550D9"/>
    <w:rsid w:val="00FD3D0F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CF"/>
    <w:pPr>
      <w:widowControl w:val="0"/>
    </w:pPr>
    <w:rPr>
      <w:rFonts w:ascii="Times New Roman" w:eastAsia="PMingLiU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CCF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7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75C07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7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75C07"/>
    <w:rPr>
      <w:rFonts w:ascii="Times New Roman" w:eastAsia="PMingLiU" w:hAnsi="Times New Roman" w:cs="Times New Roma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CF"/>
    <w:pPr>
      <w:widowControl w:val="0"/>
    </w:pPr>
    <w:rPr>
      <w:rFonts w:ascii="Times New Roman" w:eastAsia="PMingLiU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CCF"/>
    <w:rPr>
      <w:rFonts w:ascii="Tahoma" w:eastAsia="PMingLiU" w:hAnsi="Tahoma" w:cs="Tahoma"/>
      <w:kern w:val="2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7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75C07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75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75C07"/>
    <w:rPr>
      <w:rFonts w:ascii="Times New Roman" w:eastAsia="PMingLiU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Vijayakumar AG</cp:lastModifiedBy>
  <cp:revision>3</cp:revision>
  <dcterms:created xsi:type="dcterms:W3CDTF">2020-03-12T00:11:00Z</dcterms:created>
  <dcterms:modified xsi:type="dcterms:W3CDTF">2020-04-12T15:41:00Z</dcterms:modified>
</cp:coreProperties>
</file>