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9A43F" w14:textId="63FEDD01" w:rsidR="00C5655A" w:rsidRPr="00565C4C" w:rsidRDefault="00C5655A" w:rsidP="00302190">
      <w:pPr>
        <w:spacing w:line="480" w:lineRule="auto"/>
        <w:rPr>
          <w:rFonts w:ascii="Calibri" w:hAnsi="Calibri"/>
          <w:b/>
          <w:bCs/>
          <w:sz w:val="36"/>
          <w:szCs w:val="36"/>
        </w:rPr>
      </w:pPr>
      <w:r w:rsidRPr="00565C4C">
        <w:rPr>
          <w:rFonts w:ascii="Calibri" w:hAnsi="Calibri"/>
          <w:b/>
          <w:bCs/>
          <w:sz w:val="36"/>
          <w:szCs w:val="36"/>
        </w:rPr>
        <w:t>Supplemental Methods</w:t>
      </w:r>
    </w:p>
    <w:p w14:paraId="30E65632" w14:textId="0FAB313A" w:rsidR="00C5655A" w:rsidRPr="00565C4C" w:rsidRDefault="00C5655A" w:rsidP="00302190">
      <w:pPr>
        <w:pStyle w:val="NormalWeb"/>
        <w:shd w:val="clear" w:color="auto" w:fill="FFFFFF"/>
        <w:spacing w:before="0" w:beforeAutospacing="0" w:after="0" w:afterAutospacing="0" w:line="480" w:lineRule="auto"/>
        <w:rPr>
          <w:rFonts w:ascii="Calibri" w:hAnsi="Calibri" w:cs="Calibri"/>
          <w:b/>
          <w:bCs/>
          <w:iCs/>
          <w:sz w:val="32"/>
          <w:szCs w:val="32"/>
        </w:rPr>
      </w:pPr>
      <w:r w:rsidRPr="00565C4C">
        <w:rPr>
          <w:rFonts w:ascii="Calibri" w:hAnsi="Calibri" w:cs="Calibri"/>
          <w:b/>
          <w:bCs/>
          <w:iCs/>
          <w:sz w:val="32"/>
          <w:szCs w:val="32"/>
        </w:rPr>
        <w:t xml:space="preserve">DNA </w:t>
      </w:r>
      <w:r w:rsidR="00565C4C" w:rsidRPr="00565C4C">
        <w:rPr>
          <w:rFonts w:ascii="Calibri" w:hAnsi="Calibri" w:cs="Calibri"/>
          <w:b/>
          <w:bCs/>
          <w:iCs/>
          <w:sz w:val="32"/>
          <w:szCs w:val="32"/>
        </w:rPr>
        <w:t>e</w:t>
      </w:r>
      <w:r w:rsidRPr="00565C4C">
        <w:rPr>
          <w:rFonts w:ascii="Calibri" w:hAnsi="Calibri" w:cs="Calibri"/>
          <w:b/>
          <w:bCs/>
          <w:iCs/>
          <w:sz w:val="32"/>
          <w:szCs w:val="32"/>
        </w:rPr>
        <w:t xml:space="preserve">xtraction, DNA </w:t>
      </w:r>
      <w:r w:rsidR="00565C4C" w:rsidRPr="00565C4C">
        <w:rPr>
          <w:rFonts w:ascii="Calibri" w:hAnsi="Calibri" w:cs="Calibri"/>
          <w:b/>
          <w:bCs/>
          <w:iCs/>
          <w:sz w:val="32"/>
          <w:szCs w:val="32"/>
        </w:rPr>
        <w:t>q</w:t>
      </w:r>
      <w:r w:rsidRPr="00565C4C">
        <w:rPr>
          <w:rFonts w:ascii="Calibri" w:hAnsi="Calibri" w:cs="Calibri"/>
          <w:b/>
          <w:bCs/>
          <w:iCs/>
          <w:sz w:val="32"/>
          <w:szCs w:val="32"/>
        </w:rPr>
        <w:t xml:space="preserve">uantification, and </w:t>
      </w:r>
      <w:r w:rsidR="00565C4C">
        <w:rPr>
          <w:rFonts w:ascii="Calibri" w:hAnsi="Calibri" w:cs="Calibri"/>
          <w:b/>
          <w:bCs/>
          <w:iCs/>
          <w:sz w:val="32"/>
          <w:szCs w:val="32"/>
        </w:rPr>
        <w:t>p</w:t>
      </w:r>
      <w:r w:rsidRPr="00565C4C">
        <w:rPr>
          <w:rFonts w:ascii="Calibri" w:hAnsi="Calibri" w:cs="Calibri"/>
          <w:b/>
          <w:bCs/>
          <w:iCs/>
          <w:sz w:val="32"/>
          <w:szCs w:val="32"/>
        </w:rPr>
        <w:t xml:space="preserve">olymerase </w:t>
      </w:r>
      <w:r w:rsidR="00565C4C">
        <w:rPr>
          <w:rFonts w:ascii="Calibri" w:hAnsi="Calibri" w:cs="Calibri"/>
          <w:b/>
          <w:bCs/>
          <w:iCs/>
          <w:sz w:val="32"/>
          <w:szCs w:val="32"/>
        </w:rPr>
        <w:t>c</w:t>
      </w:r>
      <w:r w:rsidRPr="00565C4C">
        <w:rPr>
          <w:rFonts w:ascii="Calibri" w:hAnsi="Calibri" w:cs="Calibri"/>
          <w:b/>
          <w:bCs/>
          <w:iCs/>
          <w:sz w:val="32"/>
          <w:szCs w:val="32"/>
        </w:rPr>
        <w:t xml:space="preserve">hain </w:t>
      </w:r>
      <w:r w:rsidR="00565C4C">
        <w:rPr>
          <w:rFonts w:ascii="Calibri" w:hAnsi="Calibri" w:cs="Calibri"/>
          <w:b/>
          <w:bCs/>
          <w:iCs/>
          <w:sz w:val="32"/>
          <w:szCs w:val="32"/>
        </w:rPr>
        <w:t>r</w:t>
      </w:r>
      <w:r w:rsidRPr="00565C4C">
        <w:rPr>
          <w:rFonts w:ascii="Calibri" w:hAnsi="Calibri" w:cs="Calibri"/>
          <w:b/>
          <w:bCs/>
          <w:iCs/>
          <w:sz w:val="32"/>
          <w:szCs w:val="32"/>
        </w:rPr>
        <w:t xml:space="preserve">eaction </w:t>
      </w:r>
    </w:p>
    <w:p w14:paraId="0F857F27" w14:textId="1CAF021A" w:rsidR="00C5655A" w:rsidRPr="00144455" w:rsidRDefault="00C5655A" w:rsidP="00302190">
      <w:pPr>
        <w:pStyle w:val="NormalWeb"/>
        <w:shd w:val="clear" w:color="auto" w:fill="FFFFFF"/>
        <w:spacing w:before="0" w:beforeAutospacing="0" w:after="0" w:afterAutospacing="0" w:line="480" w:lineRule="auto"/>
        <w:ind w:firstLine="720"/>
        <w:rPr>
          <w:rFonts w:ascii="Calibri" w:hAnsi="Calibri" w:cs="Calibri"/>
        </w:rPr>
      </w:pPr>
      <w:r w:rsidRPr="00144455">
        <w:rPr>
          <w:rFonts w:ascii="Calibri" w:hAnsi="Calibri" w:cs="Calibri"/>
        </w:rPr>
        <w:t>DNA was extracted from each swab using the BiOstic Bacteremia DNA Isolation Kit (Mobio, Carlsbad, CA).</w:t>
      </w:r>
      <w:r w:rsidR="001F7CCE">
        <w:rPr>
          <w:rFonts w:ascii="Calibri" w:hAnsi="Calibri"/>
          <w:noProof/>
        </w:rPr>
        <w:t>[1,2]</w:t>
      </w:r>
      <w:r w:rsidRPr="00144455">
        <w:rPr>
          <w:rFonts w:ascii="Calibri" w:hAnsi="Calibri" w:cs="Calibri"/>
        </w:rPr>
        <w:t xml:space="preserve"> </w:t>
      </w:r>
      <w:bookmarkStart w:id="0" w:name="_GoBack"/>
      <w:bookmarkEnd w:id="0"/>
      <w:r w:rsidRPr="00144455">
        <w:rPr>
          <w:rFonts w:ascii="Calibri" w:hAnsi="Calibri" w:cs="Calibri"/>
        </w:rPr>
        <w:t xml:space="preserve">Contamination from reaction buffers and/or collection swabs was assessed with sham digests from swabs without human contact. </w:t>
      </w:r>
      <w:r w:rsidRPr="00144455">
        <w:rPr>
          <w:rStyle w:val="CommentReference"/>
          <w:rFonts w:ascii="Calibri" w:eastAsiaTheme="minorHAnsi" w:hAnsi="Calibri" w:cs="Calibri"/>
          <w:sz w:val="24"/>
          <w:szCs w:val="24"/>
        </w:rPr>
        <w:t>No-template water controls were included with every assay to assess contamination from</w:t>
      </w:r>
      <w:r w:rsidR="00615ED7">
        <w:rPr>
          <w:rStyle w:val="CommentReference"/>
          <w:rFonts w:ascii="Calibri" w:eastAsiaTheme="minorHAnsi" w:hAnsi="Calibri" w:cs="Calibri"/>
          <w:sz w:val="24"/>
          <w:szCs w:val="24"/>
        </w:rPr>
        <w:t xml:space="preserve"> </w:t>
      </w:r>
      <w:r w:rsidR="00615ED7" w:rsidRPr="00615ED7">
        <w:rPr>
          <w:rStyle w:val="CommentReference"/>
          <w:rFonts w:ascii="Calibri" w:eastAsiaTheme="minorHAnsi" w:hAnsi="Calibri" w:cs="Calibri"/>
          <w:sz w:val="24"/>
          <w:szCs w:val="24"/>
        </w:rPr>
        <w:t>Polymerase Chain Reaction</w:t>
      </w:r>
      <w:r w:rsidRPr="00144455">
        <w:rPr>
          <w:rStyle w:val="CommentReference"/>
          <w:rFonts w:ascii="Calibri" w:eastAsiaTheme="minorHAnsi" w:hAnsi="Calibri" w:cs="Calibri"/>
          <w:sz w:val="24"/>
          <w:szCs w:val="24"/>
        </w:rPr>
        <w:t xml:space="preserve"> </w:t>
      </w:r>
      <w:r w:rsidR="00615ED7">
        <w:rPr>
          <w:rStyle w:val="CommentReference"/>
          <w:rFonts w:ascii="Calibri" w:eastAsiaTheme="minorHAnsi" w:hAnsi="Calibri" w:cs="Calibri"/>
          <w:sz w:val="24"/>
          <w:szCs w:val="24"/>
        </w:rPr>
        <w:t>(</w:t>
      </w:r>
      <w:r w:rsidRPr="00144455">
        <w:rPr>
          <w:rStyle w:val="CommentReference"/>
          <w:rFonts w:ascii="Calibri" w:eastAsiaTheme="minorHAnsi" w:hAnsi="Calibri" w:cs="Calibri"/>
          <w:sz w:val="24"/>
          <w:szCs w:val="24"/>
        </w:rPr>
        <w:t>PCR</w:t>
      </w:r>
      <w:r w:rsidR="00615ED7">
        <w:rPr>
          <w:rStyle w:val="CommentReference"/>
          <w:rFonts w:ascii="Calibri" w:eastAsiaTheme="minorHAnsi" w:hAnsi="Calibri" w:cs="Calibri"/>
          <w:sz w:val="24"/>
          <w:szCs w:val="24"/>
        </w:rPr>
        <w:t>)</w:t>
      </w:r>
      <w:r w:rsidRPr="00144455">
        <w:rPr>
          <w:rStyle w:val="CommentReference"/>
          <w:rFonts w:ascii="Calibri" w:eastAsiaTheme="minorHAnsi" w:hAnsi="Calibri" w:cs="Calibri"/>
          <w:sz w:val="24"/>
          <w:szCs w:val="24"/>
        </w:rPr>
        <w:t xml:space="preserve"> reagents. </w:t>
      </w:r>
      <w:r w:rsidRPr="00144455">
        <w:rPr>
          <w:rFonts w:ascii="Calibri" w:hAnsi="Calibri" w:cs="Calibri"/>
        </w:rPr>
        <w:t>DNA samples were tested for PCR inhibitors,</w:t>
      </w:r>
      <w:r w:rsidR="001F7CCE">
        <w:rPr>
          <w:rFonts w:ascii="Calibri" w:hAnsi="Calibri" w:cs="Calibri"/>
          <w:noProof/>
        </w:rPr>
        <w:t>[3]</w:t>
      </w:r>
      <w:r w:rsidRPr="00144455">
        <w:rPr>
          <w:rFonts w:ascii="Calibri" w:hAnsi="Calibri" w:cs="Calibri"/>
        </w:rPr>
        <w:t xml:space="preserve"> and 16S rRNA gene copies in each sample (total bacterial load) were measured using a broad-range qPCR assay.</w:t>
      </w:r>
      <w:r w:rsidR="001F7CCE">
        <w:rPr>
          <w:rFonts w:ascii="Calibri" w:hAnsi="Calibri" w:cs="Calibri"/>
          <w:noProof/>
        </w:rPr>
        <w:t>[2]</w:t>
      </w:r>
      <w:r w:rsidRPr="00144455">
        <w:rPr>
          <w:rStyle w:val="CommentReference"/>
          <w:rFonts w:ascii="Calibri" w:eastAsiaTheme="minorHAnsi" w:hAnsi="Calibri" w:cs="Calibri"/>
          <w:sz w:val="24"/>
          <w:szCs w:val="24"/>
          <w:highlight w:val="yellow"/>
        </w:rPr>
        <w:t xml:space="preserve"> </w:t>
      </w:r>
    </w:p>
    <w:p w14:paraId="468D9880" w14:textId="55FC71A7" w:rsidR="00450726" w:rsidRPr="00144455" w:rsidRDefault="00C5655A" w:rsidP="00302190">
      <w:pPr>
        <w:pStyle w:val="NormalWeb"/>
        <w:shd w:val="clear" w:color="auto" w:fill="FFFFFF"/>
        <w:spacing w:before="0" w:beforeAutospacing="0" w:after="0" w:afterAutospacing="0" w:line="480" w:lineRule="auto"/>
        <w:ind w:firstLine="720"/>
        <w:rPr>
          <w:rFonts w:ascii="Calibri" w:hAnsi="Calibri" w:cs="Calibri"/>
        </w:rPr>
        <w:sectPr w:rsidR="00450726" w:rsidRPr="00144455" w:rsidSect="00E52A96">
          <w:footerReference w:type="even" r:id="rId8"/>
          <w:footerReference w:type="default" r:id="rId9"/>
          <w:pgSz w:w="12240" w:h="15840"/>
          <w:pgMar w:top="1440" w:right="1440" w:bottom="1440" w:left="1440" w:header="720" w:footer="720" w:gutter="0"/>
          <w:lnNumType w:countBy="1" w:restart="continuous"/>
          <w:pgNumType w:chapSep="enDash"/>
          <w:cols w:space="720"/>
          <w:docGrid w:linePitch="360"/>
        </w:sectPr>
      </w:pPr>
      <w:r w:rsidRPr="00144455">
        <w:rPr>
          <w:rFonts w:ascii="Calibri" w:hAnsi="Calibri" w:cs="Calibri"/>
        </w:rPr>
        <w:t xml:space="preserve"> MicroAmp® Fast Optical 96-well reaction plates (ThermoFisher Scientific, Waltham, MA, USA) were used to setup qPCR assays. TaqMan® Fast Advanced Master Mix (Life Technologies, Grand Island, NY, USA) was used and primers were added at 0.8 μM per reaction. Assays underwent 45 cycles of amplification on the StepOnePlus real-time PCR system or the QuantStudio6 real-time PCR system (Life Technologies, Grand Island, NY, USA). Plasmid standards were run in duplicate, and sensitivity and specificity of each qPCR was assessed. Two microliters of DNA were added to each qPCR mixture and values are reported as 16S rRNA gene copies/swab.</w:t>
      </w:r>
      <w:r w:rsidR="000F00BC" w:rsidRPr="00144455">
        <w:rPr>
          <w:rFonts w:ascii="Calibri" w:hAnsi="Calibri" w:cs="Calibri"/>
        </w:rPr>
        <w:t xml:space="preserve"> Technicians processing samples were blinded to contraception type.</w:t>
      </w:r>
    </w:p>
    <w:p w14:paraId="235F0EE9" w14:textId="40551062" w:rsidR="007E3E45" w:rsidRDefault="00450726" w:rsidP="00825751">
      <w:pPr>
        <w:pStyle w:val="NormalWeb"/>
        <w:shd w:val="clear" w:color="auto" w:fill="FFFFFF"/>
        <w:spacing w:before="0" w:beforeAutospacing="0" w:after="0" w:afterAutospacing="0" w:line="480" w:lineRule="auto"/>
        <w:rPr>
          <w:rFonts w:ascii="Calibri" w:hAnsi="Calibri" w:cs="Calibri"/>
          <w:b/>
          <w:bCs/>
          <w:sz w:val="36"/>
          <w:szCs w:val="36"/>
        </w:rPr>
      </w:pPr>
      <w:r w:rsidRPr="00565C4C">
        <w:rPr>
          <w:rFonts w:ascii="Calibri" w:hAnsi="Calibri" w:cs="Calibri"/>
          <w:b/>
          <w:bCs/>
          <w:sz w:val="36"/>
          <w:szCs w:val="36"/>
        </w:rPr>
        <w:lastRenderedPageBreak/>
        <w:t>References</w:t>
      </w:r>
    </w:p>
    <w:p w14:paraId="3F4E9FFA" w14:textId="550CB32E" w:rsidR="00552CAB" w:rsidRPr="004D4528" w:rsidRDefault="00552CAB" w:rsidP="004D4528">
      <w:pPr>
        <w:widowControl w:val="0"/>
        <w:autoSpaceDE w:val="0"/>
        <w:autoSpaceDN w:val="0"/>
        <w:adjustRightInd w:val="0"/>
        <w:spacing w:after="240"/>
        <w:ind w:left="540" w:hanging="540"/>
        <w:rPr>
          <w:rFonts w:ascii="Calibri" w:hAnsi="Calibri" w:cs="Calibri"/>
        </w:rPr>
      </w:pPr>
      <w:r w:rsidRPr="004D4528">
        <w:rPr>
          <w:rFonts w:ascii="Calibri" w:hAnsi="Calibri" w:cs="Calibri"/>
        </w:rPr>
        <w:t xml:space="preserve">1. </w:t>
      </w:r>
      <w:r w:rsidRPr="004D4528">
        <w:rPr>
          <w:rFonts w:ascii="Calibri" w:hAnsi="Calibri" w:cs="Calibri"/>
        </w:rPr>
        <w:tab/>
        <w:t>Fredricks DN, Fiedler TL, Thomas KK, Oakley BB, Marrazzo JM. Targeted PCR for Detection of Vaginal Bacteria Associated with Bacterial Vaginosis. Journal of Clinical Microbiology. 2007;45: 3270–3276. doi:10.1128/JCM.01272-07</w:t>
      </w:r>
    </w:p>
    <w:p w14:paraId="465C1CF3" w14:textId="77777777" w:rsidR="00552CAB" w:rsidRPr="004D4528" w:rsidRDefault="00552CAB" w:rsidP="004D4528">
      <w:pPr>
        <w:widowControl w:val="0"/>
        <w:autoSpaceDE w:val="0"/>
        <w:autoSpaceDN w:val="0"/>
        <w:adjustRightInd w:val="0"/>
        <w:spacing w:after="240"/>
        <w:ind w:left="540" w:hanging="540"/>
        <w:rPr>
          <w:rFonts w:ascii="Calibri" w:hAnsi="Calibri" w:cs="Calibri"/>
        </w:rPr>
      </w:pPr>
      <w:r w:rsidRPr="004D4528">
        <w:rPr>
          <w:rFonts w:ascii="Calibri" w:hAnsi="Calibri" w:cs="Calibri"/>
        </w:rPr>
        <w:t xml:space="preserve">2. </w:t>
      </w:r>
      <w:r w:rsidRPr="004D4528">
        <w:rPr>
          <w:rFonts w:ascii="Calibri" w:hAnsi="Calibri" w:cs="Calibri"/>
        </w:rPr>
        <w:tab/>
        <w:t>Srinivasan S, Hoffman NG, Morgan MT, Matsen FA, Fiedler TL, Hall RW, et al. Bacterial Communities in Women with Bacterial Vaginosis: High Resolution Phylogenetic Analyses Reveal Relationships of Microbiota to Clinical Criteria. PLOS ONE. 2012;7: e37818. doi:10.1371/journal.pone.0037818</w:t>
      </w:r>
    </w:p>
    <w:p w14:paraId="56CF7C07" w14:textId="77777777" w:rsidR="00552CAB" w:rsidRPr="004D4528" w:rsidRDefault="00552CAB" w:rsidP="004D4528">
      <w:pPr>
        <w:widowControl w:val="0"/>
        <w:autoSpaceDE w:val="0"/>
        <w:autoSpaceDN w:val="0"/>
        <w:adjustRightInd w:val="0"/>
        <w:spacing w:after="240"/>
        <w:ind w:left="540" w:hanging="540"/>
        <w:rPr>
          <w:rFonts w:ascii="Calibri" w:hAnsi="Calibri" w:cs="Calibri"/>
        </w:rPr>
      </w:pPr>
      <w:r w:rsidRPr="004D4528">
        <w:rPr>
          <w:rFonts w:ascii="Calibri" w:hAnsi="Calibri" w:cs="Calibri"/>
        </w:rPr>
        <w:t xml:space="preserve">3. </w:t>
      </w:r>
      <w:r w:rsidRPr="004D4528">
        <w:rPr>
          <w:rFonts w:ascii="Calibri" w:hAnsi="Calibri" w:cs="Calibri"/>
        </w:rPr>
        <w:tab/>
        <w:t>Khot PD, Ko DL, Hackman RC, Fredricks DN. Development and optimization of quantitative PCR for the diagnosis of invasive aspergillosis with bronchoalveolar lavage fluid. BMC Infectious Diseases. 2008;8. doi:10.1186/1471-2334-8-73</w:t>
      </w:r>
    </w:p>
    <w:p w14:paraId="1A6248E2" w14:textId="69509FBB" w:rsidR="00825751" w:rsidRPr="004D4528" w:rsidRDefault="00825751" w:rsidP="004D4528">
      <w:pPr>
        <w:pStyle w:val="NormalWeb"/>
        <w:shd w:val="clear" w:color="auto" w:fill="FFFFFF"/>
        <w:tabs>
          <w:tab w:val="left" w:pos="990"/>
        </w:tabs>
        <w:spacing w:before="0" w:beforeAutospacing="0" w:after="240" w:afterAutospacing="0"/>
        <w:ind w:left="540" w:hanging="540"/>
        <w:rPr>
          <w:rFonts w:ascii="Calibri" w:hAnsi="Calibri" w:cs="Calibri"/>
        </w:rPr>
      </w:pPr>
    </w:p>
    <w:sectPr w:rsidR="00825751" w:rsidRPr="004D4528" w:rsidSect="00467FBC">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C0C72" w14:textId="77777777" w:rsidR="00CF6140" w:rsidRDefault="00CF6140">
      <w:r>
        <w:separator/>
      </w:r>
    </w:p>
  </w:endnote>
  <w:endnote w:type="continuationSeparator" w:id="0">
    <w:p w14:paraId="500E1F6B" w14:textId="77777777" w:rsidR="00CF6140" w:rsidRDefault="00CF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1134205"/>
      <w:docPartObj>
        <w:docPartGallery w:val="Page Numbers (Bottom of Page)"/>
        <w:docPartUnique/>
      </w:docPartObj>
    </w:sdtPr>
    <w:sdtEndPr>
      <w:rPr>
        <w:rStyle w:val="PageNumber"/>
      </w:rPr>
    </w:sdtEndPr>
    <w:sdtContent>
      <w:p w14:paraId="699E7F6E" w14:textId="77777777" w:rsidR="002A189B" w:rsidRDefault="00450726" w:rsidP="008849E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8B811F" w14:textId="77777777" w:rsidR="002A189B" w:rsidRDefault="00CF6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6529472"/>
      <w:docPartObj>
        <w:docPartGallery w:val="Page Numbers (Bottom of Page)"/>
        <w:docPartUnique/>
      </w:docPartObj>
    </w:sdtPr>
    <w:sdtEndPr>
      <w:rPr>
        <w:rStyle w:val="PageNumber"/>
      </w:rPr>
    </w:sdtEndPr>
    <w:sdtContent>
      <w:p w14:paraId="2E00A8B2" w14:textId="25D00338" w:rsidR="002A189B" w:rsidRDefault="00302190" w:rsidP="008849EF">
        <w:pPr>
          <w:pStyle w:val="Footer"/>
          <w:framePr w:wrap="none" w:vAnchor="text" w:hAnchor="margin" w:xAlign="center" w:y="1"/>
          <w:rPr>
            <w:rStyle w:val="PageNumber"/>
          </w:rPr>
        </w:pPr>
        <w:r>
          <w:rPr>
            <w:rStyle w:val="PageNumber"/>
          </w:rPr>
          <w:t>S-</w:t>
        </w:r>
        <w:r w:rsidR="00450726">
          <w:rPr>
            <w:rStyle w:val="PageNumber"/>
          </w:rPr>
          <w:fldChar w:fldCharType="begin"/>
        </w:r>
        <w:r w:rsidR="00450726">
          <w:rPr>
            <w:rStyle w:val="PageNumber"/>
          </w:rPr>
          <w:instrText xml:space="preserve"> PAGE </w:instrText>
        </w:r>
        <w:r w:rsidR="00450726">
          <w:rPr>
            <w:rStyle w:val="PageNumber"/>
          </w:rPr>
          <w:fldChar w:fldCharType="separate"/>
        </w:r>
        <w:r w:rsidR="00BE5839">
          <w:rPr>
            <w:rStyle w:val="PageNumber"/>
            <w:noProof/>
          </w:rPr>
          <w:t>1</w:t>
        </w:r>
        <w:r w:rsidR="00450726">
          <w:rPr>
            <w:rStyle w:val="PageNumber"/>
          </w:rPr>
          <w:fldChar w:fldCharType="end"/>
        </w:r>
      </w:p>
    </w:sdtContent>
  </w:sdt>
  <w:p w14:paraId="6A54919C" w14:textId="77777777" w:rsidR="002A189B" w:rsidRDefault="00CF6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6C7E7" w14:textId="77777777" w:rsidR="00CF6140" w:rsidRDefault="00CF6140">
      <w:r>
        <w:separator/>
      </w:r>
    </w:p>
  </w:footnote>
  <w:footnote w:type="continuationSeparator" w:id="0">
    <w:p w14:paraId="6CD13ADB" w14:textId="77777777" w:rsidR="00CF6140" w:rsidRDefault="00CF6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22E76"/>
    <w:multiLevelType w:val="hybridMultilevel"/>
    <w:tmpl w:val="4C2CBA1C"/>
    <w:lvl w:ilvl="0" w:tplc="84CC011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5A"/>
    <w:rsid w:val="00087B2C"/>
    <w:rsid w:val="00096FBE"/>
    <w:rsid w:val="000F00BC"/>
    <w:rsid w:val="00144455"/>
    <w:rsid w:val="00187F17"/>
    <w:rsid w:val="001F7CCE"/>
    <w:rsid w:val="00284385"/>
    <w:rsid w:val="002C62BB"/>
    <w:rsid w:val="00302190"/>
    <w:rsid w:val="0044149E"/>
    <w:rsid w:val="00450726"/>
    <w:rsid w:val="00463DD4"/>
    <w:rsid w:val="00467FBC"/>
    <w:rsid w:val="004D4528"/>
    <w:rsid w:val="00551C7C"/>
    <w:rsid w:val="00552CAB"/>
    <w:rsid w:val="00565C4C"/>
    <w:rsid w:val="005F02CE"/>
    <w:rsid w:val="00615ED7"/>
    <w:rsid w:val="007E3E45"/>
    <w:rsid w:val="0080095F"/>
    <w:rsid w:val="00825751"/>
    <w:rsid w:val="00864346"/>
    <w:rsid w:val="008900B1"/>
    <w:rsid w:val="00936633"/>
    <w:rsid w:val="00937487"/>
    <w:rsid w:val="0098209C"/>
    <w:rsid w:val="00A03DA9"/>
    <w:rsid w:val="00A17922"/>
    <w:rsid w:val="00B1169A"/>
    <w:rsid w:val="00BE5839"/>
    <w:rsid w:val="00C2769D"/>
    <w:rsid w:val="00C5655A"/>
    <w:rsid w:val="00C72241"/>
    <w:rsid w:val="00CF6140"/>
    <w:rsid w:val="00D77CB2"/>
    <w:rsid w:val="00E30522"/>
    <w:rsid w:val="00E31B91"/>
    <w:rsid w:val="00E52A96"/>
    <w:rsid w:val="00EF40C5"/>
    <w:rsid w:val="00F1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CE16"/>
  <w14:defaultImageDpi w14:val="32767"/>
  <w15:docId w15:val="{022A1EB0-9654-574F-B14D-BB47BC39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48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55A"/>
    <w:pPr>
      <w:spacing w:before="100" w:beforeAutospacing="1" w:after="100" w:afterAutospacing="1"/>
    </w:pPr>
  </w:style>
  <w:style w:type="character" w:styleId="CommentReference">
    <w:name w:val="annotation reference"/>
    <w:basedOn w:val="DefaultParagraphFont"/>
    <w:uiPriority w:val="99"/>
    <w:semiHidden/>
    <w:unhideWhenUsed/>
    <w:rsid w:val="00C5655A"/>
    <w:rPr>
      <w:sz w:val="16"/>
      <w:szCs w:val="16"/>
    </w:rPr>
  </w:style>
  <w:style w:type="paragraph" w:styleId="Bibliography">
    <w:name w:val="Bibliography"/>
    <w:basedOn w:val="Normal"/>
    <w:next w:val="Normal"/>
    <w:uiPriority w:val="37"/>
    <w:unhideWhenUsed/>
    <w:rsid w:val="00C5655A"/>
    <w:pPr>
      <w:tabs>
        <w:tab w:val="left" w:pos="260"/>
        <w:tab w:val="left" w:pos="380"/>
      </w:tabs>
      <w:spacing w:after="240"/>
      <w:ind w:left="384" w:hanging="384"/>
    </w:pPr>
    <w:rPr>
      <w:rFonts w:asciiTheme="minorHAnsi" w:eastAsiaTheme="minorHAnsi" w:hAnsiTheme="minorHAnsi" w:cstheme="minorBidi"/>
    </w:rPr>
  </w:style>
  <w:style w:type="character" w:customStyle="1" w:styleId="FooterChar">
    <w:name w:val="Footer Char"/>
    <w:basedOn w:val="DefaultParagraphFont"/>
    <w:link w:val="Footer"/>
    <w:uiPriority w:val="99"/>
    <w:rsid w:val="00C5655A"/>
  </w:style>
  <w:style w:type="paragraph" w:styleId="Footer">
    <w:name w:val="footer"/>
    <w:basedOn w:val="Normal"/>
    <w:link w:val="FooterChar"/>
    <w:uiPriority w:val="99"/>
    <w:unhideWhenUsed/>
    <w:rsid w:val="00C5655A"/>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C5655A"/>
  </w:style>
  <w:style w:type="character" w:styleId="PageNumber">
    <w:name w:val="page number"/>
    <w:basedOn w:val="DefaultParagraphFont"/>
    <w:uiPriority w:val="99"/>
    <w:semiHidden/>
    <w:unhideWhenUsed/>
    <w:rsid w:val="00C5655A"/>
  </w:style>
  <w:style w:type="paragraph" w:styleId="BalloonText">
    <w:name w:val="Balloon Text"/>
    <w:basedOn w:val="Normal"/>
    <w:link w:val="BalloonTextChar"/>
    <w:uiPriority w:val="99"/>
    <w:semiHidden/>
    <w:unhideWhenUsed/>
    <w:rsid w:val="00C5655A"/>
    <w:rPr>
      <w:rFonts w:eastAsiaTheme="minorHAnsi"/>
      <w:sz w:val="18"/>
      <w:szCs w:val="18"/>
    </w:rPr>
  </w:style>
  <w:style w:type="character" w:customStyle="1" w:styleId="BalloonTextChar">
    <w:name w:val="Balloon Text Char"/>
    <w:basedOn w:val="DefaultParagraphFont"/>
    <w:link w:val="BalloonText"/>
    <w:uiPriority w:val="99"/>
    <w:semiHidden/>
    <w:rsid w:val="00C5655A"/>
    <w:rPr>
      <w:rFonts w:ascii="Times New Roman" w:hAnsi="Times New Roman" w:cs="Times New Roman"/>
      <w:sz w:val="18"/>
      <w:szCs w:val="18"/>
    </w:rPr>
  </w:style>
  <w:style w:type="character" w:customStyle="1" w:styleId="apple-converted-space">
    <w:name w:val="apple-converted-space"/>
    <w:basedOn w:val="DefaultParagraphFont"/>
    <w:rsid w:val="00937487"/>
  </w:style>
  <w:style w:type="paragraph" w:styleId="Header">
    <w:name w:val="header"/>
    <w:basedOn w:val="Normal"/>
    <w:link w:val="HeaderChar"/>
    <w:uiPriority w:val="99"/>
    <w:unhideWhenUsed/>
    <w:rsid w:val="00302190"/>
    <w:pPr>
      <w:tabs>
        <w:tab w:val="center" w:pos="4680"/>
        <w:tab w:val="right" w:pos="9360"/>
      </w:tabs>
    </w:pPr>
  </w:style>
  <w:style w:type="character" w:customStyle="1" w:styleId="HeaderChar">
    <w:name w:val="Header Char"/>
    <w:basedOn w:val="DefaultParagraphFont"/>
    <w:link w:val="Header"/>
    <w:uiPriority w:val="99"/>
    <w:rsid w:val="00302190"/>
    <w:rPr>
      <w:rFonts w:ascii="Times New Roman" w:eastAsia="Times New Roman" w:hAnsi="Times New Roman" w:cs="Times New Roman"/>
    </w:rPr>
  </w:style>
  <w:style w:type="paragraph" w:styleId="CommentText">
    <w:name w:val="annotation text"/>
    <w:basedOn w:val="Normal"/>
    <w:link w:val="CommentTextChar"/>
    <w:uiPriority w:val="99"/>
    <w:unhideWhenUsed/>
    <w:rsid w:val="00936633"/>
    <w:rPr>
      <w:sz w:val="20"/>
      <w:szCs w:val="20"/>
    </w:rPr>
  </w:style>
  <w:style w:type="character" w:customStyle="1" w:styleId="CommentTextChar">
    <w:name w:val="Comment Text Char"/>
    <w:basedOn w:val="DefaultParagraphFont"/>
    <w:link w:val="CommentText"/>
    <w:uiPriority w:val="99"/>
    <w:rsid w:val="009366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633"/>
    <w:rPr>
      <w:b/>
      <w:bCs/>
    </w:rPr>
  </w:style>
  <w:style w:type="character" w:customStyle="1" w:styleId="CommentSubjectChar">
    <w:name w:val="Comment Subject Char"/>
    <w:basedOn w:val="CommentTextChar"/>
    <w:link w:val="CommentSubject"/>
    <w:uiPriority w:val="99"/>
    <w:semiHidden/>
    <w:rsid w:val="00936633"/>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E5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53981">
      <w:bodyDiv w:val="1"/>
      <w:marLeft w:val="0"/>
      <w:marRight w:val="0"/>
      <w:marTop w:val="0"/>
      <w:marBottom w:val="0"/>
      <w:divBdr>
        <w:top w:val="none" w:sz="0" w:space="0" w:color="auto"/>
        <w:left w:val="none" w:sz="0" w:space="0" w:color="auto"/>
        <w:bottom w:val="none" w:sz="0" w:space="0" w:color="auto"/>
        <w:right w:val="none" w:sz="0" w:space="0" w:color="auto"/>
      </w:divBdr>
    </w:div>
    <w:div w:id="1118839893">
      <w:bodyDiv w:val="1"/>
      <w:marLeft w:val="0"/>
      <w:marRight w:val="0"/>
      <w:marTop w:val="0"/>
      <w:marBottom w:val="0"/>
      <w:divBdr>
        <w:top w:val="none" w:sz="0" w:space="0" w:color="auto"/>
        <w:left w:val="none" w:sz="0" w:space="0" w:color="auto"/>
        <w:bottom w:val="none" w:sz="0" w:space="0" w:color="auto"/>
        <w:right w:val="none" w:sz="0" w:space="0" w:color="auto"/>
      </w:divBdr>
    </w:div>
    <w:div w:id="1222908137">
      <w:bodyDiv w:val="1"/>
      <w:marLeft w:val="0"/>
      <w:marRight w:val="0"/>
      <w:marTop w:val="0"/>
      <w:marBottom w:val="0"/>
      <w:divBdr>
        <w:top w:val="none" w:sz="0" w:space="0" w:color="auto"/>
        <w:left w:val="none" w:sz="0" w:space="0" w:color="auto"/>
        <w:bottom w:val="none" w:sz="0" w:space="0" w:color="auto"/>
        <w:right w:val="none" w:sz="0" w:space="0" w:color="auto"/>
      </w:divBdr>
      <w:divsChild>
        <w:div w:id="359209771">
          <w:marLeft w:val="0"/>
          <w:marRight w:val="0"/>
          <w:marTop w:val="0"/>
          <w:marBottom w:val="0"/>
          <w:divBdr>
            <w:top w:val="none" w:sz="0" w:space="0" w:color="auto"/>
            <w:left w:val="none" w:sz="0" w:space="0" w:color="auto"/>
            <w:bottom w:val="none" w:sz="0" w:space="0" w:color="auto"/>
            <w:right w:val="none" w:sz="0" w:space="0" w:color="auto"/>
          </w:divBdr>
          <w:divsChild>
            <w:div w:id="453792000">
              <w:marLeft w:val="0"/>
              <w:marRight w:val="0"/>
              <w:marTop w:val="0"/>
              <w:marBottom w:val="0"/>
              <w:divBdr>
                <w:top w:val="none" w:sz="0" w:space="0" w:color="auto"/>
                <w:left w:val="none" w:sz="0" w:space="0" w:color="auto"/>
                <w:bottom w:val="none" w:sz="0" w:space="0" w:color="auto"/>
                <w:right w:val="none" w:sz="0" w:space="0" w:color="auto"/>
              </w:divBdr>
              <w:divsChild>
                <w:div w:id="9471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8458">
      <w:bodyDiv w:val="1"/>
      <w:marLeft w:val="0"/>
      <w:marRight w:val="0"/>
      <w:marTop w:val="0"/>
      <w:marBottom w:val="0"/>
      <w:divBdr>
        <w:top w:val="none" w:sz="0" w:space="0" w:color="auto"/>
        <w:left w:val="none" w:sz="0" w:space="0" w:color="auto"/>
        <w:bottom w:val="none" w:sz="0" w:space="0" w:color="auto"/>
        <w:right w:val="none" w:sz="0" w:space="0" w:color="auto"/>
      </w:divBdr>
    </w:div>
    <w:div w:id="189866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E98CE-30BE-4D47-991C-A94380FA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M Whitney</dc:creator>
  <cp:lastModifiedBy>Bridget M Whitney</cp:lastModifiedBy>
  <cp:revision>12</cp:revision>
  <dcterms:created xsi:type="dcterms:W3CDTF">2019-07-14T18:57:00Z</dcterms:created>
  <dcterms:modified xsi:type="dcterms:W3CDTF">2019-08-15T02:14:00Z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id="ZcaXOpmJ"/&gt;&lt;style id="http://www.zotero.org/styles/plos-one" hasBibliography="1" bibliographyStyleHasBeenSet="1"/&gt;&lt;prefs&gt;&lt;pref name="fieldType" value="Field"/&gt;&lt;/prefs&gt;&lt;/data&gt;</vt:lpwstr>
  </property>
  <property fmtid="{D5CDD505-2E9C-101B-9397-08002B2CF9AE}" pid="3" name="ZOTERO_PREF_2">
    <vt:lpwstr/>
  </property>
</Properties>
</file>