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ook w:val="04A0" w:firstRow="1" w:lastRow="0" w:firstColumn="1" w:lastColumn="0" w:noHBand="0" w:noVBand="1"/>
      </w:tblPr>
      <w:tblGrid>
        <w:gridCol w:w="772"/>
        <w:gridCol w:w="694"/>
        <w:gridCol w:w="516"/>
        <w:gridCol w:w="1406"/>
        <w:gridCol w:w="1406"/>
        <w:gridCol w:w="1406"/>
        <w:gridCol w:w="1406"/>
        <w:gridCol w:w="1406"/>
        <w:gridCol w:w="1406"/>
      </w:tblGrid>
      <w:tr w:rsidR="00A438B4" w:rsidRPr="00F80C9D" w:rsidTr="008663A9">
        <w:trPr>
          <w:trHeight w:val="555"/>
        </w:trPr>
        <w:tc>
          <w:tcPr>
            <w:tcW w:w="10060" w:type="dxa"/>
            <w:gridSpan w:val="9"/>
            <w:tcBorders>
              <w:top w:val="nil"/>
              <w:left w:val="nil"/>
              <w:bottom w:val="single" w:sz="4" w:space="0" w:color="auto"/>
              <w:right w:val="nil"/>
            </w:tcBorders>
            <w:shd w:val="clear" w:color="auto" w:fill="auto"/>
            <w:hideMark/>
          </w:tcPr>
          <w:p w:rsidR="00A438B4" w:rsidRPr="00F80C9D" w:rsidRDefault="00A438B4" w:rsidP="008663A9">
            <w:pPr>
              <w:rPr>
                <w:rFonts w:ascii="Arial" w:eastAsia="Times New Roman" w:hAnsi="Arial" w:cs="Arial"/>
                <w:b/>
                <w:bCs/>
                <w:sz w:val="20"/>
                <w:szCs w:val="20"/>
              </w:rPr>
            </w:pPr>
            <w:r>
              <w:rPr>
                <w:rFonts w:ascii="Arial" w:eastAsia="Times New Roman" w:hAnsi="Arial" w:cs="Arial"/>
                <w:b/>
                <w:bCs/>
                <w:sz w:val="20"/>
                <w:szCs w:val="20"/>
              </w:rPr>
              <w:t>S3 Table</w:t>
            </w:r>
            <w:r w:rsidRPr="00F80C9D">
              <w:rPr>
                <w:rFonts w:ascii="Arial" w:eastAsia="Times New Roman" w:hAnsi="Arial" w:cs="Arial"/>
                <w:b/>
                <w:bCs/>
                <w:sz w:val="20"/>
                <w:szCs w:val="20"/>
              </w:rPr>
              <w:t xml:space="preserve">: </w:t>
            </w:r>
            <w:r>
              <w:rPr>
                <w:rFonts w:ascii="Arial" w:eastAsia="Times New Roman" w:hAnsi="Arial" w:cs="Arial"/>
                <w:b/>
                <w:bCs/>
                <w:sz w:val="20"/>
                <w:szCs w:val="20"/>
              </w:rPr>
              <w:t>Adjusted o</w:t>
            </w:r>
            <w:r w:rsidRPr="00F80C9D">
              <w:rPr>
                <w:rFonts w:ascii="Arial" w:eastAsia="Times New Roman" w:hAnsi="Arial" w:cs="Arial"/>
                <w:b/>
                <w:bCs/>
                <w:sz w:val="20"/>
                <w:szCs w:val="20"/>
              </w:rPr>
              <w:t>dds ratios of ADRD incidence associated with use of statin-AHT combinations, relative to users of other statin-AHT combinations, with use defined as 180 days and 2 claims</w:t>
            </w:r>
          </w:p>
        </w:tc>
      </w:tr>
      <w:tr w:rsidR="00A438B4" w:rsidRPr="00F80C9D" w:rsidTr="008663A9">
        <w:trPr>
          <w:trHeight w:val="255"/>
        </w:trPr>
        <w:tc>
          <w:tcPr>
            <w:tcW w:w="668"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Statin</w:t>
            </w:r>
          </w:p>
        </w:tc>
        <w:tc>
          <w:tcPr>
            <w:tcW w:w="579"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AHT</w:t>
            </w:r>
          </w:p>
        </w:tc>
        <w:tc>
          <w:tcPr>
            <w:tcW w:w="377"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 </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All</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Fem</w:t>
            </w:r>
            <w:r>
              <w:rPr>
                <w:rFonts w:ascii="Arial" w:eastAsia="Times New Roman" w:hAnsi="Arial" w:cs="Arial"/>
                <w:b/>
                <w:bCs/>
                <w:sz w:val="20"/>
                <w:szCs w:val="20"/>
              </w:rPr>
              <w:t>ale</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Mal</w:t>
            </w:r>
            <w:r>
              <w:rPr>
                <w:rFonts w:ascii="Arial" w:eastAsia="Times New Roman" w:hAnsi="Arial" w:cs="Arial"/>
                <w:b/>
                <w:bCs/>
                <w:sz w:val="20"/>
                <w:szCs w:val="20"/>
              </w:rPr>
              <w:t>e</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White</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Black</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jc w:val="center"/>
              <w:rPr>
                <w:rFonts w:ascii="Arial" w:eastAsia="Times New Roman" w:hAnsi="Arial" w:cs="Arial"/>
                <w:b/>
                <w:bCs/>
                <w:sz w:val="20"/>
                <w:szCs w:val="20"/>
              </w:rPr>
            </w:pPr>
            <w:r w:rsidRPr="00F80C9D">
              <w:rPr>
                <w:rFonts w:ascii="Arial" w:eastAsia="Times New Roman" w:hAnsi="Arial" w:cs="Arial"/>
                <w:b/>
                <w:bCs/>
                <w:sz w:val="20"/>
                <w:szCs w:val="20"/>
              </w:rPr>
              <w:t>Hispanic</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Ator</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ACEI</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0.974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0.979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0.944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(0.939-1.010)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(0.958-1.047)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(0.863-0.979)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(0.941-1.018)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(0.820-1.071)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(0.815-1.094)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0.150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0.951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0.279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0.343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0.444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Sim</w:t>
            </w: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ACEI</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0.959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0.969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0.958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0.897</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(0.933-0.986)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(0.937-1.003)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(0.892-0.984)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(0.929-0.988)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(0.847-1.031)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(0.813-0.990)</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0.070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0.010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0.177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0.032</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Pra</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ACEI</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0.925</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0.989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0.786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0.898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1.074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(0.879-0.973)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(0.928-1.053)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(0.714-0.866)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(0.864-0.965)</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(0.733-1.100)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(0.857-1.344)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0.726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0.298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0.536</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Rosu</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ACEI</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0.840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0.663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0.890</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(0.776-0.891)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(0.763-0.902)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(0.742-0.936)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(0.779-0.906)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(0.522-0.840)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(0.719-1.100)</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0.280</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Ator</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ARB</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0.909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0.897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0.904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0.885</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0.914</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(0.872-0.948)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(0.871-0.963)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(0.824-0.976)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(0.862-0.948)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(0.771-1.016)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(0.762-1.095)</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0.012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0.083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0.327</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Sim</w:t>
            </w: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ARB</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0.874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0.888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0.870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0.858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0.913</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(0.842-0.907)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(0.852-0.926)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(0.780-0.902)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(0.836-0.907)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(0.749-0.984)</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(0.803-1.039)</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0.029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0.167</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Pra</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ARB</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0.802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0.698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0.805</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0.762</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(0.749-0.860)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(0.774-0.903)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(0.595-0.818)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(0.747-0.868)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(0.660-1.066)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(0.561-1.035)</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0.151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0.082</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proofErr w:type="spellStart"/>
            <w:r w:rsidRPr="00F80C9D">
              <w:rPr>
                <w:rFonts w:ascii="Arial" w:eastAsia="Times New Roman" w:hAnsi="Arial" w:cs="Arial"/>
                <w:b/>
                <w:bCs/>
                <w:sz w:val="20"/>
                <w:szCs w:val="20"/>
              </w:rPr>
              <w:t>Rosu</w:t>
            </w:r>
            <w:proofErr w:type="spellEnd"/>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ARB</w:t>
            </w: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OR</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0.837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0.857</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0.788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0.798</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1.002</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0.917</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CI</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(0.779-0.899)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(0.793-0.926)</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(0.675-0.921)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(0.733-0.869)</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(0.784-1.280)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(0.741-1.133)</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p</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0.003</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Pr>
                <w:rFonts w:ascii="Arial" w:eastAsia="Times New Roman" w:hAnsi="Arial" w:cs="Arial"/>
                <w:sz w:val="18"/>
                <w:szCs w:val="18"/>
              </w:rPr>
              <w:t>&lt;0.001</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0.990</w:t>
            </w: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0.421</w:t>
            </w:r>
          </w:p>
        </w:tc>
      </w:tr>
      <w:tr w:rsidR="00A438B4" w:rsidRPr="00F80C9D" w:rsidTr="008663A9">
        <w:trPr>
          <w:trHeight w:val="255"/>
        </w:trPr>
        <w:tc>
          <w:tcPr>
            <w:tcW w:w="668" w:type="dxa"/>
            <w:tcBorders>
              <w:top w:val="nil"/>
              <w:left w:val="nil"/>
              <w:bottom w:val="nil"/>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p>
        </w:tc>
        <w:tc>
          <w:tcPr>
            <w:tcW w:w="579"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377"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c>
          <w:tcPr>
            <w:tcW w:w="1406" w:type="dxa"/>
            <w:tcBorders>
              <w:top w:val="nil"/>
              <w:left w:val="nil"/>
              <w:bottom w:val="nil"/>
              <w:right w:val="nil"/>
            </w:tcBorders>
            <w:shd w:val="clear" w:color="auto" w:fill="auto"/>
            <w:noWrap/>
            <w:vAlign w:val="bottom"/>
            <w:hideMark/>
          </w:tcPr>
          <w:p w:rsidR="00A438B4" w:rsidRPr="00F80C9D" w:rsidRDefault="00A438B4" w:rsidP="008663A9">
            <w:pPr>
              <w:rPr>
                <w:rFonts w:ascii="Times New Roman" w:eastAsia="Times New Roman" w:hAnsi="Times New Roman" w:cs="Times New Roman"/>
                <w:sz w:val="18"/>
                <w:szCs w:val="18"/>
              </w:rPr>
            </w:pPr>
          </w:p>
        </w:tc>
      </w:tr>
      <w:tr w:rsidR="00A438B4" w:rsidRPr="00F80C9D" w:rsidTr="008663A9">
        <w:trPr>
          <w:trHeight w:val="255"/>
        </w:trPr>
        <w:tc>
          <w:tcPr>
            <w:tcW w:w="668"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N</w:t>
            </w:r>
          </w:p>
        </w:tc>
        <w:tc>
          <w:tcPr>
            <w:tcW w:w="579"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b/>
                <w:bCs/>
                <w:sz w:val="20"/>
                <w:szCs w:val="20"/>
              </w:rPr>
            </w:pPr>
            <w:r w:rsidRPr="00F80C9D">
              <w:rPr>
                <w:rFonts w:ascii="Arial" w:eastAsia="Times New Roman" w:hAnsi="Arial" w:cs="Arial"/>
                <w:b/>
                <w:bCs/>
                <w:sz w:val="20"/>
                <w:szCs w:val="20"/>
              </w:rPr>
              <w:t> </w:t>
            </w:r>
          </w:p>
        </w:tc>
        <w:tc>
          <w:tcPr>
            <w:tcW w:w="377"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20"/>
                <w:szCs w:val="20"/>
              </w:rPr>
            </w:pPr>
            <w:r w:rsidRPr="00F80C9D">
              <w:rPr>
                <w:rFonts w:ascii="Arial" w:eastAsia="Times New Roman" w:hAnsi="Arial" w:cs="Arial"/>
                <w:sz w:val="20"/>
                <w:szCs w:val="20"/>
              </w:rPr>
              <w:t> </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1,663,308</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1,019,291</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644,017</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1,404,259</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98,384</w:t>
            </w:r>
          </w:p>
        </w:tc>
        <w:tc>
          <w:tcPr>
            <w:tcW w:w="1406" w:type="dxa"/>
            <w:tcBorders>
              <w:top w:val="nil"/>
              <w:left w:val="nil"/>
              <w:bottom w:val="single" w:sz="4" w:space="0" w:color="auto"/>
              <w:right w:val="nil"/>
            </w:tcBorders>
            <w:shd w:val="clear" w:color="auto" w:fill="auto"/>
            <w:noWrap/>
            <w:vAlign w:val="bottom"/>
            <w:hideMark/>
          </w:tcPr>
          <w:p w:rsidR="00A438B4" w:rsidRPr="00F80C9D" w:rsidRDefault="00A438B4" w:rsidP="008663A9">
            <w:pPr>
              <w:rPr>
                <w:rFonts w:ascii="Arial" w:eastAsia="Times New Roman" w:hAnsi="Arial" w:cs="Arial"/>
                <w:sz w:val="18"/>
                <w:szCs w:val="18"/>
              </w:rPr>
            </w:pPr>
            <w:r w:rsidRPr="00F80C9D">
              <w:rPr>
                <w:rFonts w:ascii="Arial" w:eastAsia="Times New Roman" w:hAnsi="Arial" w:cs="Arial"/>
                <w:sz w:val="18"/>
                <w:szCs w:val="18"/>
              </w:rPr>
              <w:t>81,316</w:t>
            </w:r>
          </w:p>
        </w:tc>
      </w:tr>
      <w:tr w:rsidR="00A438B4" w:rsidRPr="00F80C9D" w:rsidTr="008663A9">
        <w:trPr>
          <w:trHeight w:val="1695"/>
        </w:trPr>
        <w:tc>
          <w:tcPr>
            <w:tcW w:w="10060" w:type="dxa"/>
            <w:gridSpan w:val="9"/>
            <w:tcBorders>
              <w:top w:val="single" w:sz="4" w:space="0" w:color="auto"/>
              <w:left w:val="nil"/>
              <w:bottom w:val="nil"/>
              <w:right w:val="nil"/>
            </w:tcBorders>
            <w:shd w:val="clear" w:color="auto" w:fill="auto"/>
            <w:hideMark/>
          </w:tcPr>
          <w:p w:rsidR="00A438B4" w:rsidRPr="00F80C9D" w:rsidRDefault="00A438B4" w:rsidP="008663A9">
            <w:pPr>
              <w:jc w:val="both"/>
              <w:rPr>
                <w:rFonts w:ascii="Arial" w:eastAsia="Times New Roman" w:hAnsi="Arial" w:cs="Arial"/>
                <w:color w:val="000000"/>
                <w:sz w:val="16"/>
                <w:szCs w:val="16"/>
              </w:rPr>
            </w:pPr>
            <w:r w:rsidRPr="00F80C9D">
              <w:rPr>
                <w:rFonts w:ascii="Arial" w:eastAsia="Times New Roman" w:hAnsi="Arial" w:cs="Arial"/>
                <w:color w:val="000000"/>
                <w:sz w:val="16"/>
                <w:szCs w:val="16"/>
              </w:rPr>
              <w:t xml:space="preserve">Logistic regression results for ADRD incidence in sample of 2009-2014 Medicare person-years with 180 possession days and 2 claims of both an AHT and a statin in both years t-1 and t-2. AHTs are antihypertensive (AHT) prescription drugs (angiotensin converting enzyme inhibitors (ACEIs), angiotensin-II receptor blockers (ARBs), beta-blockers, calcium channel blockers, loop diuretics, and thiazide diuretics), and statins are atorvastatin, pravastatin, rosuvastatin, and simvastatin. Sample restricted to person-years with 3 years fee-for-service, 3 years Part D, age 67+, no deaths in the reference year (year t), no prior ADRD diagnoses, and no prior use of acetylcholinesterase inhibitors (AChEIs) or memantine. Controls are age, age squared, sex, education, income quartiles, statin use (t-1), years since hypertension and </w:t>
            </w:r>
            <w:proofErr w:type="spellStart"/>
            <w:r w:rsidRPr="00F80C9D">
              <w:rPr>
                <w:rFonts w:ascii="Arial" w:eastAsia="Times New Roman" w:hAnsi="Arial" w:cs="Arial"/>
                <w:color w:val="000000"/>
                <w:sz w:val="16"/>
                <w:szCs w:val="16"/>
              </w:rPr>
              <w:t>hyperlipidemic</w:t>
            </w:r>
            <w:proofErr w:type="spellEnd"/>
            <w:r w:rsidRPr="00F80C9D">
              <w:rPr>
                <w:rFonts w:ascii="Arial" w:eastAsia="Times New Roman" w:hAnsi="Arial" w:cs="Arial"/>
                <w:color w:val="000000"/>
                <w:sz w:val="16"/>
                <w:szCs w:val="16"/>
              </w:rPr>
              <w:t xml:space="preserve"> diagnoses, HCC comorbidity index, number of physician visits, and indicators for past diagnoses of diabetes, atrial fibrillation, acute myocardial infarction, and stroke. Standard errors are clustered at the county level. </w:t>
            </w:r>
          </w:p>
        </w:tc>
      </w:tr>
    </w:tbl>
    <w:p w:rsidR="00FD0D72" w:rsidRDefault="00FD0D72">
      <w:bookmarkStart w:id="0" w:name="_GoBack"/>
      <w:bookmarkEnd w:id="0"/>
    </w:p>
    <w:sectPr w:rsidR="00FD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B4"/>
    <w:rsid w:val="00A438B4"/>
    <w:rsid w:val="00FD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6EFB-B6CC-4A3A-A51D-5A662BA0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Barthold</dc:creator>
  <cp:keywords/>
  <dc:description/>
  <cp:lastModifiedBy>Doug Barthold</cp:lastModifiedBy>
  <cp:revision>1</cp:revision>
  <dcterms:created xsi:type="dcterms:W3CDTF">2019-09-09T18:33:00Z</dcterms:created>
  <dcterms:modified xsi:type="dcterms:W3CDTF">2019-09-09T18:33:00Z</dcterms:modified>
</cp:coreProperties>
</file>