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53" w:rsidRDefault="00201753" w:rsidP="00201753">
      <w:pPr>
        <w:jc w:val="center"/>
        <w:rPr>
          <w:rFonts w:ascii="Times New Roman" w:hAnsi="Times New Roman" w:cs="Times New Roman"/>
        </w:rPr>
      </w:pPr>
      <w:r>
        <w:rPr>
          <w:rFonts w:ascii="Times New Roman" w:hAnsi="Times New Roman" w:cs="Times New Roman"/>
        </w:rPr>
        <w:t>S2 Tabl</w:t>
      </w:r>
      <w:bookmarkStart w:id="0" w:name="_GoBack"/>
      <w:bookmarkEnd w:id="0"/>
      <w:r>
        <w:rPr>
          <w:rFonts w:ascii="Times New Roman" w:hAnsi="Times New Roman" w:cs="Times New Roman"/>
        </w:rPr>
        <w:t>e. Extracted associations for each exposure-outcome set in 36 articles</w:t>
      </w:r>
    </w:p>
    <w:tbl>
      <w:tblPr>
        <w:tblW w:w="14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835"/>
        <w:gridCol w:w="3912"/>
        <w:gridCol w:w="737"/>
        <w:gridCol w:w="1020"/>
        <w:gridCol w:w="3969"/>
        <w:gridCol w:w="454"/>
      </w:tblGrid>
      <w:tr w:rsidR="00201753" w:rsidRPr="00552A36" w:rsidTr="0086242F">
        <w:trPr>
          <w:trHeight w:val="360"/>
          <w:tblHeader/>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t>Study</w:t>
            </w:r>
          </w:p>
        </w:tc>
        <w:tc>
          <w:tcPr>
            <w:tcW w:w="2835" w:type="dxa"/>
            <w:vAlign w:val="center"/>
          </w:tcPr>
          <w:p w:rsidR="00201753" w:rsidRPr="00552A36" w:rsidRDefault="00201753" w:rsidP="0086242F">
            <w:pPr>
              <w:pStyle w:val="NoSpacing"/>
              <w:rPr>
                <w:rFonts w:cs="Arial"/>
                <w:szCs w:val="20"/>
              </w:rPr>
            </w:pPr>
            <w:r w:rsidRPr="00552A36">
              <w:rPr>
                <w:rFonts w:cs="Arial"/>
                <w:szCs w:val="20"/>
              </w:rPr>
              <w:t>Exposure and outcome</w:t>
            </w:r>
          </w:p>
        </w:tc>
        <w:tc>
          <w:tcPr>
            <w:tcW w:w="3912" w:type="dxa"/>
            <w:vAlign w:val="center"/>
          </w:tcPr>
          <w:p w:rsidR="00201753" w:rsidRPr="00552A36" w:rsidRDefault="00201753" w:rsidP="0086242F">
            <w:pPr>
              <w:pStyle w:val="NoSpacing"/>
              <w:rPr>
                <w:rFonts w:cs="Arial"/>
                <w:szCs w:val="20"/>
              </w:rPr>
            </w:pPr>
            <w:r w:rsidRPr="00552A36">
              <w:rPr>
                <w:rFonts w:cs="Arial"/>
                <w:szCs w:val="20"/>
              </w:rPr>
              <w:t>Association (</w:t>
            </w:r>
            <w:r>
              <w:rPr>
                <w:rFonts w:cs="Arial"/>
                <w:szCs w:val="20"/>
              </w:rPr>
              <w:t>β</w:t>
            </w:r>
            <w:r w:rsidRPr="00552A36">
              <w:rPr>
                <w:rFonts w:cs="Arial"/>
                <w:szCs w:val="20"/>
              </w:rPr>
              <w:t>,</w:t>
            </w:r>
            <w:r>
              <w:rPr>
                <w:rFonts w:cs="Arial"/>
                <w:szCs w:val="20"/>
              </w:rPr>
              <w:t>SE,95%CI,</w:t>
            </w:r>
            <w:r w:rsidRPr="00A90C2C">
              <w:rPr>
                <w:rFonts w:cs="Arial"/>
                <w:i/>
                <w:szCs w:val="20"/>
              </w:rPr>
              <w:t>P</w:t>
            </w:r>
            <w:r w:rsidRPr="00552A36">
              <w:rPr>
                <w:rFonts w:cs="Arial"/>
                <w:szCs w:val="20"/>
              </w:rPr>
              <w:t>-value)</w:t>
            </w:r>
            <w:r w:rsidRPr="00E21D50">
              <w:rPr>
                <w:rFonts w:cs="Arial"/>
                <w:szCs w:val="20"/>
                <w:vertAlign w:val="superscript"/>
              </w:rPr>
              <w:t>#</w:t>
            </w:r>
          </w:p>
        </w:tc>
        <w:tc>
          <w:tcPr>
            <w:tcW w:w="737" w:type="dxa"/>
            <w:vAlign w:val="center"/>
          </w:tcPr>
          <w:p w:rsidR="00201753" w:rsidRPr="00552A36" w:rsidRDefault="00201753" w:rsidP="0086242F">
            <w:pPr>
              <w:pStyle w:val="NoSpacing"/>
              <w:rPr>
                <w:rFonts w:cs="Arial"/>
                <w:szCs w:val="20"/>
              </w:rPr>
            </w:pPr>
            <w:r w:rsidRPr="00552A36">
              <w:rPr>
                <w:rFonts w:cs="Arial"/>
                <w:szCs w:val="20"/>
              </w:rPr>
              <w:t xml:space="preserve">Sex </w:t>
            </w:r>
            <w:proofErr w:type="spellStart"/>
            <w:r w:rsidRPr="00552A36">
              <w:rPr>
                <w:rFonts w:cs="Arial"/>
                <w:szCs w:val="20"/>
              </w:rPr>
              <w:t>dif</w:t>
            </w:r>
            <w:proofErr w:type="spellEnd"/>
            <w:r>
              <w:rPr>
                <w:rFonts w:cs="Arial"/>
                <w:szCs w:val="20"/>
                <w:vertAlign w:val="superscript"/>
              </w:rPr>
              <w:t>§</w:t>
            </w:r>
          </w:p>
        </w:tc>
        <w:tc>
          <w:tcPr>
            <w:tcW w:w="1020" w:type="dxa"/>
            <w:vAlign w:val="center"/>
          </w:tcPr>
          <w:p w:rsidR="00201753" w:rsidRPr="00552A36" w:rsidRDefault="00201753" w:rsidP="0086242F">
            <w:pPr>
              <w:pStyle w:val="NoSpacing"/>
              <w:rPr>
                <w:rFonts w:cs="Arial"/>
                <w:szCs w:val="20"/>
              </w:rPr>
            </w:pPr>
            <w:r>
              <w:rPr>
                <w:rFonts w:cs="Arial"/>
                <w:szCs w:val="20"/>
              </w:rPr>
              <w:t>Model</w:t>
            </w:r>
            <w:r w:rsidRPr="0087571B">
              <w:rPr>
                <w:rFonts w:cs="Arial"/>
                <w:szCs w:val="20"/>
                <w:vertAlign w:val="superscript"/>
              </w:rPr>
              <w:sym w:font="Symbol" w:char="F026"/>
            </w:r>
          </w:p>
        </w:tc>
        <w:tc>
          <w:tcPr>
            <w:tcW w:w="3969" w:type="dxa"/>
            <w:vAlign w:val="center"/>
            <w:hideMark/>
          </w:tcPr>
          <w:p w:rsidR="00201753" w:rsidRPr="00552A36" w:rsidRDefault="00201753" w:rsidP="0086242F">
            <w:pPr>
              <w:pStyle w:val="NoSpacing"/>
              <w:rPr>
                <w:rFonts w:cs="Arial"/>
                <w:szCs w:val="20"/>
              </w:rPr>
            </w:pPr>
            <w:r w:rsidRPr="00552A36">
              <w:rPr>
                <w:rFonts w:cs="Arial"/>
                <w:szCs w:val="20"/>
              </w:rPr>
              <w:t>Covariates</w:t>
            </w:r>
          </w:p>
        </w:tc>
        <w:tc>
          <w:tcPr>
            <w:tcW w:w="454" w:type="dxa"/>
            <w:vAlign w:val="center"/>
          </w:tcPr>
          <w:p w:rsidR="00201753" w:rsidRPr="00552A36" w:rsidRDefault="00201753" w:rsidP="0086242F">
            <w:pPr>
              <w:pStyle w:val="NoSpacing"/>
              <w:rPr>
                <w:rFonts w:cs="Arial"/>
                <w:szCs w:val="20"/>
              </w:rPr>
            </w:pPr>
            <w:r w:rsidRPr="00552A36">
              <w:rPr>
                <w:rFonts w:cs="Arial"/>
                <w:szCs w:val="20"/>
              </w:rPr>
              <w:t>QA</w:t>
            </w:r>
            <w:r>
              <w:rPr>
                <w:rFonts w:cs="Arial"/>
                <w:szCs w:val="20"/>
              </w:rPr>
              <w:t>*</w:t>
            </w: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b/>
                <w:bCs/>
                <w:szCs w:val="20"/>
              </w:rPr>
            </w:pPr>
            <w:r w:rsidRPr="00552A36">
              <w:rPr>
                <w:rFonts w:cs="Arial"/>
                <w:szCs w:val="20"/>
              </w:rPr>
              <w:t>Berg et al. (2018)</w:t>
            </w:r>
            <w:r w:rsidRPr="00552A36">
              <w:rPr>
                <w:rFonts w:cs="Arial"/>
                <w:szCs w:val="20"/>
              </w:rPr>
              <w:fldChar w:fldCharType="begin"/>
            </w:r>
            <w:r>
              <w:rPr>
                <w:rFonts w:cs="Arial"/>
                <w:szCs w:val="20"/>
              </w:rPr>
              <w:instrText xml:space="preserve"> ADDIN ZOTERO_ITEM CSL_CITATION {"citationID":"kD48adrq","properties":{"formattedCitation":"[1]","plainCitation":"[1]","noteIndex":0},"citationItems":[{"id":2190,"uris":["http://zotero.org/users/3535616/items/4URPQPHM"],"uri":["http://zotero.org/users/3535616/items/4URPQPHM"],"itemData":{"id":2190,"type":"article-journal","title":"Longitudinal prospective associations between psychological symptoms and heavy episodic drinking from adolescence to midlife","container-title":"Scandinavian Journal of Public Health","page":"1403494818769174","source":"SAGE Journals","abstract":"Aim: This study examined whether development of psychological symptoms (PS) differed between persons with different longitudinal profiles of heavy episodic drinking (HED) from adolescence to midlife. In addition, the reciprocal associations between PS and HED were studied. Methods: Participants of a Finnish cohort study in 1983 at age 16 (N = 2194) were followed up at ages 22 (N = 1656), 32 (N = 1471), and 42 (N = 1334). HED was assessed with frequency of intoxication (16–22 years) and having six or more drinks in a session (32–42 years). Using latent class analysis, the participants were allocated to steady high, increased, moderate, and steady low groups according to their longitudinal profiles of HED. The PS scale (16–42 years) covered five mental complaints. The latent growth curve of PS was estimated in the HED groups for comparisons. In addition, the prospective associations between symptoms and HED were examined using cross-lagged autoregressive models. Results: PS grew from 16 to 32 years, but declined after that, with women having higher level of PS than men. PS trajectory followed a path at highest and lowest level in the steady high and steady low HED groups, respectively. Symptoms predicted later HED, but the association in the opposite direction was not found. Conclusions: The more the HED trajectory indicated frequent HED, the higher was the level of PS throughout the follow-up. Results support the self-medication hypothesis, suggesting that alcohol is used to ease the burden of PS. More attention should be paid to alcohol use of people with mental symptoms in health services.","DOI":"10.1177/1403494818769174","ISSN":"1403-4948","journalAbbreviation":"Scand J Public Health","language":"en","author":[{"family":"Berg","given":"Noora J."},{"family":"Kiviruusu","given":"Olli H."},{"family":"Lintonen","given":"Tomi P."},{"family":"Huurre","given":"Taina M."}],"issued":{"date-parts":[["2018",4,12]]}}}],"schema":"https://github.com/citation-style-language/schema/raw/master/csl-citation.json"} </w:instrText>
            </w:r>
            <w:r w:rsidRPr="00552A36">
              <w:rPr>
                <w:rFonts w:cs="Arial"/>
                <w:szCs w:val="20"/>
              </w:rPr>
              <w:fldChar w:fldCharType="separate"/>
            </w:r>
            <w:r w:rsidRPr="005D70E3">
              <w:rPr>
                <w:rFonts w:cs="Arial"/>
              </w:rPr>
              <w:t>[1]</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INT (15.9)-H/P Drinking (22)</w:t>
            </w:r>
          </w:p>
        </w:tc>
        <w:tc>
          <w:tcPr>
            <w:tcW w:w="3912" w:type="dxa"/>
            <w:vAlign w:val="center"/>
          </w:tcPr>
          <w:p w:rsidR="00201753" w:rsidRPr="00552A36" w:rsidRDefault="00201753" w:rsidP="0086242F">
            <w:pPr>
              <w:pStyle w:val="NoSpacing"/>
              <w:rPr>
                <w:rFonts w:cs="Arial"/>
                <w:szCs w:val="20"/>
              </w:rPr>
            </w:pPr>
            <w:r w:rsidRPr="00552A36">
              <w:rPr>
                <w:rFonts w:cs="Arial"/>
                <w:szCs w:val="20"/>
              </w:rPr>
              <w:t>Female: 0.07,NR,p&lt;0.05</w:t>
            </w:r>
          </w:p>
          <w:p w:rsidR="00201753" w:rsidRPr="00552A36" w:rsidRDefault="00201753" w:rsidP="0086242F">
            <w:pPr>
              <w:pStyle w:val="NoSpacing"/>
              <w:rPr>
                <w:rFonts w:cs="Arial"/>
                <w:szCs w:val="20"/>
              </w:rPr>
            </w:pPr>
            <w:r w:rsidRPr="00552A36">
              <w:rPr>
                <w:rFonts w:cs="Arial"/>
                <w:szCs w:val="20"/>
              </w:rPr>
              <w:t>Male: 0.10,NR,p&lt;0.01</w:t>
            </w:r>
          </w:p>
        </w:tc>
        <w:tc>
          <w:tcPr>
            <w:tcW w:w="737" w:type="dxa"/>
            <w:vAlign w:val="center"/>
          </w:tcPr>
          <w:p w:rsidR="00201753" w:rsidRPr="00552A36" w:rsidRDefault="00201753" w:rsidP="0086242F">
            <w:pPr>
              <w:pStyle w:val="NoSpacing"/>
              <w:rPr>
                <w:rFonts w:cs="Arial"/>
                <w:szCs w:val="20"/>
              </w:rPr>
            </w:pPr>
            <w:r w:rsidRPr="00552A36">
              <w:rPr>
                <w:rFonts w:cs="Arial"/>
                <w:szCs w:val="20"/>
              </w:rPr>
              <w:t xml:space="preserve">No </w:t>
            </w:r>
          </w:p>
        </w:tc>
        <w:tc>
          <w:tcPr>
            <w:tcW w:w="1020" w:type="dxa"/>
            <w:vAlign w:val="center"/>
          </w:tcPr>
          <w:p w:rsidR="00201753" w:rsidRPr="00552A36" w:rsidRDefault="00201753" w:rsidP="0086242F">
            <w:pPr>
              <w:pStyle w:val="NoSpacing"/>
              <w:rPr>
                <w:rFonts w:cs="Arial"/>
                <w:szCs w:val="20"/>
              </w:rPr>
            </w:pPr>
            <w:r w:rsidRPr="00552A36">
              <w:rPr>
                <w:rFonts w:cs="Arial"/>
                <w:szCs w:val="20"/>
              </w:rPr>
              <w:t>Cross-lagged</w:t>
            </w:r>
          </w:p>
        </w:tc>
        <w:tc>
          <w:tcPr>
            <w:tcW w:w="3969" w:type="dxa"/>
            <w:vAlign w:val="center"/>
          </w:tcPr>
          <w:p w:rsidR="00201753" w:rsidRPr="00552A36" w:rsidRDefault="00201753" w:rsidP="0086242F">
            <w:pPr>
              <w:pStyle w:val="NoSpacing"/>
              <w:rPr>
                <w:rFonts w:cs="Arial"/>
                <w:szCs w:val="20"/>
              </w:rPr>
            </w:pPr>
            <w:r w:rsidRPr="00552A36">
              <w:rPr>
                <w:rFonts w:cs="Arial"/>
                <w:szCs w:val="20"/>
              </w:rPr>
              <w:t>Parental social economic position (16), basic education, marital and parental status, smoking, and unemployment (22, 32, 42)</w:t>
            </w:r>
          </w:p>
        </w:tc>
        <w:tc>
          <w:tcPr>
            <w:tcW w:w="454" w:type="dxa"/>
            <w:vAlign w:val="center"/>
          </w:tcPr>
          <w:p w:rsidR="00201753" w:rsidRPr="00552A36" w:rsidRDefault="00201753" w:rsidP="0086242F">
            <w:pPr>
              <w:pStyle w:val="NoSpacing"/>
              <w:rPr>
                <w:rFonts w:cs="Arial"/>
                <w:szCs w:val="20"/>
              </w:rPr>
            </w:pPr>
            <w:r w:rsidRPr="00552A36">
              <w:rPr>
                <w:rFonts w:cs="Arial"/>
                <w:szCs w:val="20"/>
              </w:rPr>
              <w:t>6</w:t>
            </w:r>
          </w:p>
        </w:tc>
      </w:tr>
      <w:tr w:rsidR="00201753" w:rsidRPr="00552A36" w:rsidTr="0086242F">
        <w:trPr>
          <w:trHeight w:val="471"/>
          <w:jc w:val="center"/>
        </w:trPr>
        <w:tc>
          <w:tcPr>
            <w:tcW w:w="1417" w:type="dxa"/>
            <w:vMerge w:val="restart"/>
            <w:vAlign w:val="center"/>
          </w:tcPr>
          <w:p w:rsidR="00201753" w:rsidRPr="00552A36" w:rsidRDefault="00201753" w:rsidP="0086242F">
            <w:pPr>
              <w:pStyle w:val="NoSpacing"/>
              <w:rPr>
                <w:rFonts w:cs="Arial"/>
                <w:szCs w:val="20"/>
              </w:rPr>
            </w:pPr>
            <w:proofErr w:type="spellStart"/>
            <w:r w:rsidRPr="00552A36">
              <w:rPr>
                <w:rFonts w:cs="Arial"/>
                <w:szCs w:val="20"/>
              </w:rPr>
              <w:t>Kendler</w:t>
            </w:r>
            <w:proofErr w:type="spellEnd"/>
            <w:r w:rsidRPr="00552A36">
              <w:rPr>
                <w:rFonts w:cs="Arial"/>
                <w:szCs w:val="20"/>
              </w:rPr>
              <w:t xml:space="preserve"> et al. (2018)</w:t>
            </w:r>
            <w:r w:rsidRPr="00552A36">
              <w:rPr>
                <w:rFonts w:cs="Arial"/>
                <w:szCs w:val="20"/>
              </w:rPr>
              <w:fldChar w:fldCharType="begin"/>
            </w:r>
            <w:r>
              <w:rPr>
                <w:rFonts w:cs="Arial"/>
                <w:szCs w:val="20"/>
              </w:rPr>
              <w:instrText xml:space="preserve"> ADDIN ZOTERO_ITEM CSL_CITATION {"citationID":"p9JmXMpf","properties":{"formattedCitation":"[2]","plainCitation":"[2]","noteIndex":0},"citationItems":[{"id":2192,"uris":["http://zotero.org/users/3535616/items/9WWBR43B"],"uri":["http://zotero.org/users/3535616/items/9WWBR43B"],"itemData":{"id":2192,"type":"article-journal","title":"Childhood risk factors for heavy episodic alcohol use and alcohol problems in late adolescence: A Marginal Structural Model analysis","container-title":"Journal of Studies on Alcohol and Drugs","page":"370-379","volume":"79","issue":"3","source":"jsad.com (Atypon)","abstract":"Objective:This study seeks to clarify the nature of the association between five well-studied late childhood predictors and alcohol-related behaviors in adolescence.Method:We examined, in 7,168 subjects from the Avon Longitudinal Study of Parents and Children (ALSPAC), using linear probability and marginal structural models, the association between parental alcohol problems, peer group deviance, antisocial behavior, and low parental monitoring, and sensation seeking assessed at multiple times from ages 12.5 to 18 years and heavy episodic drinking and alcohol problems at ages 16.5, 17.5, and 20 years.Results:Based on the pattern of the attenuation in the association with heavy episodic drinking and alcohol problems from the linear probability to marginal structural models, our five factors were divisible into three groups. For parental alcohol problems, no substantial attenuation was seen. For peer group deviance and antisocial behavior, the associations in the marginal structural models were modestly attenuated (10%–20%). By contrast, for low parental monitoring and sensation seeking, moderate attenuations of 41% and 35%, respectively, were observed.Conclusions:Our results are consistent with the hypothesis that all or nearly all of the association between parental alcohol problems and heavy episodic drinking and alcohol problems in mid to late adolescence is causal. For peer group deviance and antisocial behavior, the large majority of the associations appear to be causal, but confounding influences are also present. However, for low parental monitoring and sensation seeking, our findings suggest that a substantial proportion of the observed association with alcohol outcomes reflects confounding rather than causal influences.","DOI":"10.15288/jsad.2018.79.370","ISSN":"1937-1888","title-short":"Childhood Risk Factors for Heavy Episodic Alcohol Use and Alcohol Problems in Late Adolescence","journalAbbreviation":"J. Stud. Alcohol Drugs","author":[{"family":"Kendler","given":"Kenneth S."},{"family":"Gardner","given":"Charles O."},{"family":"Edwards","given":"Alexis C."},{"family":"Dick","given":"Danielle M."},{"family":"Hickman","given":"Matt"},{"family":"MacLeod","given":"John"},{"family":"Heron","given":"Jon"}],"issued":{"date-parts":[["2018",5,1]]}}}],"schema":"https://github.com/citation-style-language/schema/raw/master/csl-citation.json"} </w:instrText>
            </w:r>
            <w:r w:rsidRPr="00552A36">
              <w:rPr>
                <w:rFonts w:cs="Arial"/>
                <w:szCs w:val="20"/>
              </w:rPr>
              <w:fldChar w:fldCharType="separate"/>
            </w:r>
            <w:r w:rsidRPr="005D70E3">
              <w:rPr>
                <w:rFonts w:cs="Arial"/>
              </w:rPr>
              <w:t>[2]</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 (13.5)- H/P Drinking(HD) (20)</w:t>
            </w:r>
          </w:p>
        </w:tc>
        <w:tc>
          <w:tcPr>
            <w:tcW w:w="3912" w:type="dxa"/>
            <w:vAlign w:val="center"/>
          </w:tcPr>
          <w:p w:rsidR="00201753" w:rsidRPr="00552A36" w:rsidRDefault="00201753" w:rsidP="0086242F">
            <w:pPr>
              <w:pStyle w:val="NoSpacing"/>
              <w:rPr>
                <w:rFonts w:cs="Arial"/>
                <w:szCs w:val="20"/>
              </w:rPr>
            </w:pPr>
            <w:r w:rsidRPr="00552A36">
              <w:rPr>
                <w:rFonts w:cs="Arial"/>
                <w:szCs w:val="20"/>
              </w:rPr>
              <w:t>0.024 (-0.006,0.054)</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MSM</w:t>
            </w:r>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Sex, parental socioeconomic status before age 8, parental alcohol problems (from pregnancy to age 12), sensation seeking at age 13.5 and 18, peer group deviance at age 12.5 and 17.5, lack of parental monitoring at age 13.5 and 15.5</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6</w:t>
            </w:r>
          </w:p>
        </w:tc>
      </w:tr>
      <w:tr w:rsidR="00201753" w:rsidRPr="00552A36" w:rsidTr="0086242F">
        <w:trPr>
          <w:trHeight w:val="471"/>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 (15.5)- H/P Drinking(HD) (20)</w:t>
            </w:r>
          </w:p>
        </w:tc>
        <w:tc>
          <w:tcPr>
            <w:tcW w:w="3912" w:type="dxa"/>
            <w:vAlign w:val="center"/>
          </w:tcPr>
          <w:p w:rsidR="00201753" w:rsidRPr="00552A36" w:rsidRDefault="00201753" w:rsidP="0086242F">
            <w:pPr>
              <w:pStyle w:val="NoSpacing"/>
              <w:rPr>
                <w:rFonts w:cs="Arial"/>
                <w:szCs w:val="20"/>
              </w:rPr>
            </w:pPr>
            <w:r w:rsidRPr="00552A36">
              <w:rPr>
                <w:rFonts w:cs="Arial"/>
                <w:szCs w:val="20"/>
              </w:rPr>
              <w:t>0.042 (0.007,0.077)</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471"/>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 (13.5)- H/P Drinking(PD) (20)</w:t>
            </w:r>
          </w:p>
        </w:tc>
        <w:tc>
          <w:tcPr>
            <w:tcW w:w="3912" w:type="dxa"/>
            <w:vAlign w:val="center"/>
          </w:tcPr>
          <w:p w:rsidR="00201753" w:rsidRPr="00552A36" w:rsidRDefault="00201753" w:rsidP="0086242F">
            <w:pPr>
              <w:pStyle w:val="NoSpacing"/>
              <w:rPr>
                <w:rFonts w:cs="Arial"/>
                <w:szCs w:val="20"/>
              </w:rPr>
            </w:pPr>
            <w:r w:rsidRPr="00552A36">
              <w:rPr>
                <w:rFonts w:cs="Arial"/>
                <w:szCs w:val="20"/>
              </w:rPr>
              <w:t>0.000 (-0.028, 0.028)</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471"/>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 (15.5)- H/P Drinking(PD) (20)</w:t>
            </w:r>
          </w:p>
        </w:tc>
        <w:tc>
          <w:tcPr>
            <w:tcW w:w="3912" w:type="dxa"/>
            <w:vAlign w:val="center"/>
          </w:tcPr>
          <w:p w:rsidR="00201753" w:rsidRPr="00552A36" w:rsidRDefault="00201753" w:rsidP="0086242F">
            <w:pPr>
              <w:pStyle w:val="NoSpacing"/>
              <w:rPr>
                <w:rFonts w:cs="Arial"/>
                <w:szCs w:val="20"/>
              </w:rPr>
            </w:pPr>
            <w:r w:rsidRPr="00552A36">
              <w:rPr>
                <w:rFonts w:cs="Arial"/>
                <w:szCs w:val="20"/>
              </w:rPr>
              <w:t>0.078 (0.038, 0.118)</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roofErr w:type="spellStart"/>
            <w:r w:rsidRPr="00552A36">
              <w:rPr>
                <w:rFonts w:cs="Arial"/>
                <w:szCs w:val="20"/>
              </w:rPr>
              <w:t>Soloski</w:t>
            </w:r>
            <w:proofErr w:type="spellEnd"/>
            <w:r w:rsidRPr="00552A36">
              <w:rPr>
                <w:rFonts w:cs="Arial"/>
                <w:szCs w:val="20"/>
              </w:rPr>
              <w:t xml:space="preserve"> et al. (2018)</w:t>
            </w:r>
            <w:r w:rsidRPr="00552A36">
              <w:rPr>
                <w:rFonts w:cs="Arial"/>
                <w:szCs w:val="20"/>
              </w:rPr>
              <w:fldChar w:fldCharType="begin"/>
            </w:r>
            <w:r>
              <w:rPr>
                <w:rFonts w:cs="Arial"/>
                <w:szCs w:val="20"/>
              </w:rPr>
              <w:instrText xml:space="preserve"> ADDIN ZOTERO_ITEM CSL_CITATION {"citationID":"NLxFPTDN","properties":{"formattedCitation":"[3]","plainCitation":"[3]","noteIndex":0},"citationItems":[{"id":2201,"uris":["http://zotero.org/users/3535616/items/6BYCEZQT"],"uri":["http://zotero.org/users/3535616/items/6BYCEZQT"],"itemData":{"id":2201,"type":"article-journal","title":"Self-medication hypothesis and family socialization theory: Examining independent and common mechanisms responsible for binge drinking","container-title":"Family Process","volume":"x","issue":"x","source":"Wiley Online Library","abstract":"For many, binge drinking behaviors start early and become a persistent pattern of use throughout the lifespan. In an effort to strengthen understanding of etiology, this study considered the mechanisms from the self-medication hypothesis and family socialization theory. The goal was to identify whether emotional distress is a potential shared mechanism that accounts for the development of binge drinking in different developmental periods. This study used the National Longitudinal Study of Adolescent to Adult Health (Add Health) dataset to examine binge drinking across time for n = 9,421 participants ranging in age from 11 to 18 (M = 15.39, SD = 1.62) at Wave I and ranging from 24 to 32 (M = 28.09, SD = 1.61) at Wave IV of the study. Using an autoregressive cross-lagged model, I examined how parent-child closeness, depressive symptoms, and binge drinking were related over three developmental periods. In examining cross-sectional and longitudinal relations, depressive symptoms were significantly related to binge drinking more often than parent-child closeness; however, results indicated the self-medication model may primarily account for concurrent drinking behaviors rather than long-term. The family socialization theory was indicated to account for some variability above and beyond the self-medication hypothesis. No indirect association between binge drinking and the parent-child relationship was detected through depressive symptoms, failing to support a shared mechanism between the two theories. The results provide support for a multifaceted assessment process for substance using clients, and support the use of Multisystemic Family Therapy, Multidimensional Family Therapy, and perhaps Attachment-Based Family Therapy.","URL":"https://onlinelibrary.wiley.com/doi/abs/10.1111/famp.12403","DOI":"10.1111/famp.12403","ISSN":"1545-5300","title-short":"Self-medication Hypothesis and Family Socialization Theory","language":"en","author":[{"family":"Soloski","given":"Kristy L."}],"issued":{"date-parts":[["2018"]]},"accessed":{"date-parts":[["2019",2,21]]}}}],"schema":"https://github.com/citation-style-language/schema/raw/master/csl-citation.json"} </w:instrText>
            </w:r>
            <w:r w:rsidRPr="00552A36">
              <w:rPr>
                <w:rFonts w:cs="Arial"/>
                <w:szCs w:val="20"/>
              </w:rPr>
              <w:fldChar w:fldCharType="separate"/>
            </w:r>
            <w:r w:rsidRPr="005D70E3">
              <w:rPr>
                <w:rFonts w:cs="Arial"/>
              </w:rPr>
              <w:t>[3]</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DEP (14.9)- H/P Drinking (21.6)</w:t>
            </w:r>
          </w:p>
        </w:tc>
        <w:tc>
          <w:tcPr>
            <w:tcW w:w="3912" w:type="dxa"/>
            <w:vAlign w:val="center"/>
          </w:tcPr>
          <w:p w:rsidR="00201753" w:rsidRPr="00552A36" w:rsidRDefault="00201753" w:rsidP="0086242F">
            <w:pPr>
              <w:pStyle w:val="NoSpacing"/>
              <w:rPr>
                <w:rFonts w:cs="Arial"/>
                <w:szCs w:val="20"/>
              </w:rPr>
            </w:pPr>
            <w:r w:rsidRPr="00552A36">
              <w:rPr>
                <w:rFonts w:cs="Arial"/>
                <w:szCs w:val="20"/>
              </w:rPr>
              <w:t>-0.09 (0.04)</w:t>
            </w:r>
          </w:p>
        </w:tc>
        <w:tc>
          <w:tcPr>
            <w:tcW w:w="737" w:type="dxa"/>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Align w:val="center"/>
          </w:tcPr>
          <w:p w:rsidR="00201753" w:rsidRPr="00552A36" w:rsidRDefault="00201753" w:rsidP="0086242F">
            <w:pPr>
              <w:pStyle w:val="NoSpacing"/>
              <w:rPr>
                <w:rFonts w:cs="Arial"/>
                <w:szCs w:val="20"/>
              </w:rPr>
            </w:pPr>
            <w:r w:rsidRPr="00552A36">
              <w:rPr>
                <w:rFonts w:cs="Arial"/>
                <w:szCs w:val="20"/>
              </w:rPr>
              <w:t>Cross-lagged</w:t>
            </w:r>
          </w:p>
        </w:tc>
        <w:tc>
          <w:tcPr>
            <w:tcW w:w="3969" w:type="dxa"/>
            <w:vAlign w:val="center"/>
          </w:tcPr>
          <w:p w:rsidR="00201753" w:rsidRPr="00552A36" w:rsidRDefault="00201753" w:rsidP="0086242F">
            <w:pPr>
              <w:pStyle w:val="NoSpacing"/>
              <w:rPr>
                <w:rFonts w:cs="Arial"/>
                <w:szCs w:val="20"/>
              </w:rPr>
            </w:pPr>
            <w:r w:rsidRPr="00552A36">
              <w:rPr>
                <w:rFonts w:cs="Arial"/>
                <w:szCs w:val="20"/>
              </w:rPr>
              <w:t>Age, sex, race, ethnicity, number of parents living in the household with the adolescent, parent alcohol use, number of three closest friends who used alcohol</w:t>
            </w:r>
          </w:p>
        </w:tc>
        <w:tc>
          <w:tcPr>
            <w:tcW w:w="454" w:type="dxa"/>
            <w:vAlign w:val="center"/>
          </w:tcPr>
          <w:p w:rsidR="00201753" w:rsidRPr="00552A36" w:rsidRDefault="00201753" w:rsidP="0086242F">
            <w:pPr>
              <w:pStyle w:val="NoSpacing"/>
              <w:rPr>
                <w:rFonts w:cs="Arial"/>
                <w:szCs w:val="20"/>
              </w:rPr>
            </w:pPr>
            <w:r w:rsidRPr="00552A36">
              <w:rPr>
                <w:rFonts w:cs="Arial"/>
                <w:szCs w:val="20"/>
              </w:rPr>
              <w:t>5</w:t>
            </w: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roofErr w:type="spellStart"/>
            <w:r w:rsidRPr="00552A36">
              <w:rPr>
                <w:rFonts w:cs="Arial"/>
                <w:szCs w:val="20"/>
              </w:rPr>
              <w:t>Hoyland</w:t>
            </w:r>
            <w:proofErr w:type="spellEnd"/>
            <w:r w:rsidRPr="00552A36">
              <w:rPr>
                <w:rFonts w:cs="Arial"/>
                <w:szCs w:val="20"/>
              </w:rPr>
              <w:t xml:space="preserve"> et al. (2017)</w:t>
            </w:r>
            <w:r w:rsidRPr="00552A36">
              <w:rPr>
                <w:rFonts w:cs="Arial"/>
                <w:szCs w:val="20"/>
              </w:rPr>
              <w:fldChar w:fldCharType="begin"/>
            </w:r>
            <w:r>
              <w:rPr>
                <w:rFonts w:cs="Arial"/>
                <w:szCs w:val="20"/>
              </w:rPr>
              <w:instrText xml:space="preserve"> ADDIN ZOTERO_ITEM CSL_CITATION {"citationID":"Bek2higv","properties":{"formattedCitation":"[4]","plainCitation":"[4]","noteIndex":0},"citationItems":[{"id":2198,"uris":["http://zotero.org/users/3535616/items/W4VDZRQM"],"uri":["http://zotero.org/users/3535616/items/W4VDZRQM"],"itemData":{"id":2198,"type":"article-journal","title":"Prior delinquency and depression differentially predict conditional associations between discrete patterns of adolescent religiosity and adult alcohol use patterns","container-title":"Substance Abuse: Research and Treatment","volume":"10","source":"PubMed Central","abstract":"Prior research has demonstrated that adolescent delinquency and depression are prospectively related to adult alcohol use and that adolescent religiosity may influence these relationships. However, such associations have not been investigated using person-centered approaches that provide nuanced explorations of these constructs. Using data from the National Longitudinal Study of Adolescent to Adult Health, we examined whether adolescent delinquency and depression differentiated typologies of adult alcohol users and whether these relationships varied across religiosity profiles. Three typologies of self-identified Christian adolescents and 4 types of adult alcohol users were identified via latent profile analysis. Delinquency and depression were related to increased likelihood of membership in heavy drinking or problematic alcohol use profiles, but this relationship was most evident among those likely to be involved in religious practices. These results demonstrate the importance of person-centered approaches in characterizing the influences of internalizing and externalizing behaviors on subsequent patterns of alcohol use.","URL":"https://www.ncbi.nlm.nih.gov/pmc/articles/PMC5398377/","DOI":"10.1177/1178221816686060","ISSN":"1178-2218","note":"PMID: 28469423\nPMCID: PMC5398377","journalAbbreviation":"Subst Abuse","author":[{"family":"Hoyland","given":"Meredith A"},{"family":"Rowatt","given":"Wade C"},{"family":"Latendresse","given":"Shawn J"}],"issued":{"date-parts":[["2017",2,14]]},"accessed":{"date-parts":[["2019",2,21]]}}}],"schema":"https://github.com/citation-style-language/schema/raw/master/csl-citation.json"} </w:instrText>
            </w:r>
            <w:r w:rsidRPr="00552A36">
              <w:rPr>
                <w:rFonts w:cs="Arial"/>
                <w:szCs w:val="20"/>
              </w:rPr>
              <w:fldChar w:fldCharType="separate"/>
            </w:r>
            <w:r w:rsidRPr="005D70E3">
              <w:rPr>
                <w:rFonts w:cs="Arial"/>
              </w:rPr>
              <w:t>[4]</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DEP (15.6)- H/P Drinking (29.6)</w:t>
            </w:r>
          </w:p>
        </w:tc>
        <w:tc>
          <w:tcPr>
            <w:tcW w:w="3912" w:type="dxa"/>
            <w:vAlign w:val="center"/>
          </w:tcPr>
          <w:p w:rsidR="00201753" w:rsidRPr="00552A36" w:rsidRDefault="00201753" w:rsidP="0086242F">
            <w:pPr>
              <w:pStyle w:val="NoSpacing"/>
              <w:rPr>
                <w:rFonts w:cs="Arial"/>
                <w:szCs w:val="20"/>
              </w:rPr>
            </w:pPr>
            <w:r w:rsidRPr="00552A36">
              <w:rPr>
                <w:rFonts w:cs="Arial"/>
                <w:szCs w:val="20"/>
              </w:rPr>
              <w:t>Problem vs low-intake:</w:t>
            </w:r>
          </w:p>
          <w:p w:rsidR="00201753" w:rsidRPr="00552A36" w:rsidRDefault="00201753" w:rsidP="0086242F">
            <w:pPr>
              <w:pStyle w:val="NoSpacing"/>
              <w:rPr>
                <w:rFonts w:cs="Arial"/>
                <w:szCs w:val="20"/>
              </w:rPr>
            </w:pPr>
            <w:r w:rsidRPr="00552A36">
              <w:rPr>
                <w:rFonts w:cs="Arial"/>
                <w:szCs w:val="20"/>
              </w:rPr>
              <w:t>OR 1.139, p=0.361</w:t>
            </w:r>
          </w:p>
          <w:p w:rsidR="00201753" w:rsidRPr="00552A36" w:rsidRDefault="00201753" w:rsidP="0086242F">
            <w:pPr>
              <w:pStyle w:val="NoSpacing"/>
              <w:rPr>
                <w:rFonts w:cs="Arial"/>
                <w:szCs w:val="20"/>
              </w:rPr>
            </w:pPr>
            <w:r w:rsidRPr="00552A36">
              <w:rPr>
                <w:rFonts w:cs="Arial"/>
                <w:szCs w:val="20"/>
              </w:rPr>
              <w:t>Non-problem vs low-intake:</w:t>
            </w:r>
          </w:p>
          <w:p w:rsidR="00201753" w:rsidRPr="00552A36" w:rsidRDefault="00201753" w:rsidP="0086242F">
            <w:pPr>
              <w:pStyle w:val="NoSpacing"/>
              <w:rPr>
                <w:rFonts w:cs="Arial"/>
                <w:szCs w:val="20"/>
              </w:rPr>
            </w:pPr>
            <w:r w:rsidRPr="00552A36">
              <w:rPr>
                <w:rFonts w:cs="Arial"/>
                <w:szCs w:val="20"/>
              </w:rPr>
              <w:t>OR 0.532, p=0.129</w:t>
            </w:r>
          </w:p>
          <w:p w:rsidR="00201753" w:rsidRPr="00552A36" w:rsidRDefault="00201753" w:rsidP="0086242F">
            <w:pPr>
              <w:pStyle w:val="NoSpacing"/>
              <w:rPr>
                <w:rFonts w:cs="Arial"/>
                <w:szCs w:val="20"/>
              </w:rPr>
            </w:pPr>
            <w:r w:rsidRPr="00552A36">
              <w:rPr>
                <w:rFonts w:cs="Arial"/>
                <w:szCs w:val="20"/>
              </w:rPr>
              <w:t>Abstainer vs low-intake:</w:t>
            </w:r>
          </w:p>
          <w:p w:rsidR="00201753" w:rsidRPr="00552A36" w:rsidRDefault="00201753" w:rsidP="0086242F">
            <w:pPr>
              <w:pStyle w:val="NoSpacing"/>
              <w:rPr>
                <w:rFonts w:cs="Arial"/>
                <w:szCs w:val="20"/>
              </w:rPr>
            </w:pPr>
            <w:r w:rsidRPr="00552A36">
              <w:rPr>
                <w:rFonts w:cs="Arial"/>
                <w:szCs w:val="20"/>
              </w:rPr>
              <w:t>OR 0.929, p=0.482</w:t>
            </w:r>
          </w:p>
          <w:p w:rsidR="00201753" w:rsidRPr="00552A36" w:rsidRDefault="00201753" w:rsidP="0086242F">
            <w:pPr>
              <w:pStyle w:val="NoSpacing"/>
              <w:rPr>
                <w:rFonts w:cs="Arial"/>
                <w:szCs w:val="20"/>
              </w:rPr>
            </w:pPr>
            <w:r w:rsidRPr="00552A36">
              <w:rPr>
                <w:rFonts w:cs="Arial"/>
                <w:szCs w:val="20"/>
              </w:rPr>
              <w:t>Problem vs abstainers:</w:t>
            </w:r>
          </w:p>
          <w:p w:rsidR="00201753" w:rsidRPr="00552A36" w:rsidRDefault="00201753" w:rsidP="0086242F">
            <w:pPr>
              <w:pStyle w:val="NoSpacing"/>
              <w:rPr>
                <w:rFonts w:cs="Arial"/>
                <w:szCs w:val="20"/>
              </w:rPr>
            </w:pPr>
            <w:r w:rsidRPr="00552A36">
              <w:rPr>
                <w:rFonts w:cs="Arial"/>
                <w:szCs w:val="20"/>
              </w:rPr>
              <w:t>OR 1.059, P=0.681</w:t>
            </w:r>
          </w:p>
          <w:p w:rsidR="00201753" w:rsidRPr="00552A36" w:rsidRDefault="00201753" w:rsidP="0086242F">
            <w:pPr>
              <w:pStyle w:val="NoSpacing"/>
              <w:rPr>
                <w:rFonts w:cs="Arial"/>
                <w:szCs w:val="20"/>
              </w:rPr>
            </w:pPr>
            <w:proofErr w:type="spellStart"/>
            <w:r w:rsidRPr="00552A36">
              <w:rPr>
                <w:rFonts w:cs="Arial"/>
                <w:szCs w:val="20"/>
              </w:rPr>
              <w:t>Nonproblem</w:t>
            </w:r>
            <w:proofErr w:type="spellEnd"/>
            <w:r w:rsidRPr="00552A36">
              <w:rPr>
                <w:rFonts w:cs="Arial"/>
                <w:szCs w:val="20"/>
              </w:rPr>
              <w:t xml:space="preserve"> vs abstainers:</w:t>
            </w:r>
          </w:p>
          <w:p w:rsidR="00201753" w:rsidRPr="00552A36" w:rsidRDefault="00201753" w:rsidP="0086242F">
            <w:pPr>
              <w:pStyle w:val="NoSpacing"/>
              <w:rPr>
                <w:rFonts w:cs="Arial"/>
                <w:szCs w:val="20"/>
              </w:rPr>
            </w:pPr>
            <w:r w:rsidRPr="00552A36">
              <w:rPr>
                <w:rFonts w:cs="Arial"/>
                <w:szCs w:val="20"/>
              </w:rPr>
              <w:t>OR 0.782, p=0.019</w:t>
            </w:r>
          </w:p>
          <w:p w:rsidR="00201753" w:rsidRPr="00552A36" w:rsidRDefault="00201753" w:rsidP="0086242F">
            <w:pPr>
              <w:pStyle w:val="NoSpacing"/>
              <w:rPr>
                <w:rFonts w:cs="Arial"/>
                <w:szCs w:val="20"/>
              </w:rPr>
            </w:pPr>
            <w:r w:rsidRPr="00552A36">
              <w:rPr>
                <w:rFonts w:cs="Arial"/>
                <w:szCs w:val="20"/>
              </w:rPr>
              <w:t xml:space="preserve">Problem vs </w:t>
            </w:r>
            <w:proofErr w:type="spellStart"/>
            <w:r w:rsidRPr="00552A36">
              <w:rPr>
                <w:rFonts w:cs="Arial"/>
                <w:szCs w:val="20"/>
              </w:rPr>
              <w:t>nonproblem</w:t>
            </w:r>
            <w:proofErr w:type="spellEnd"/>
            <w:r w:rsidRPr="00552A36">
              <w:rPr>
                <w:rFonts w:cs="Arial"/>
                <w:szCs w:val="20"/>
              </w:rPr>
              <w:t>:</w:t>
            </w:r>
          </w:p>
          <w:p w:rsidR="00201753" w:rsidRPr="00552A36" w:rsidRDefault="00201753" w:rsidP="0086242F">
            <w:pPr>
              <w:pStyle w:val="NoSpacing"/>
              <w:rPr>
                <w:rFonts w:cs="Arial"/>
                <w:szCs w:val="20"/>
              </w:rPr>
            </w:pPr>
            <w:r w:rsidRPr="00552A36">
              <w:rPr>
                <w:rFonts w:cs="Arial"/>
                <w:szCs w:val="20"/>
              </w:rPr>
              <w:t>OR 1.353, p=0.023</w:t>
            </w:r>
          </w:p>
        </w:tc>
        <w:tc>
          <w:tcPr>
            <w:tcW w:w="737" w:type="dxa"/>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Align w:val="center"/>
          </w:tcPr>
          <w:p w:rsidR="00201753" w:rsidRPr="00552A36" w:rsidRDefault="00201753" w:rsidP="0086242F">
            <w:pPr>
              <w:pStyle w:val="NoSpacing"/>
              <w:rPr>
                <w:rFonts w:cs="Arial"/>
                <w:szCs w:val="20"/>
              </w:rPr>
            </w:pPr>
            <w:r w:rsidRPr="00552A36">
              <w:rPr>
                <w:rFonts w:cs="Arial"/>
                <w:szCs w:val="20"/>
              </w:rPr>
              <w:t xml:space="preserve">Logistic </w:t>
            </w:r>
            <w:proofErr w:type="spellStart"/>
            <w:r w:rsidRPr="00552A36">
              <w:rPr>
                <w:rFonts w:cs="Arial"/>
                <w:szCs w:val="20"/>
              </w:rPr>
              <w:t>reg</w:t>
            </w:r>
            <w:proofErr w:type="spellEnd"/>
          </w:p>
        </w:tc>
        <w:tc>
          <w:tcPr>
            <w:tcW w:w="3969" w:type="dxa"/>
            <w:vAlign w:val="center"/>
          </w:tcPr>
          <w:p w:rsidR="00201753" w:rsidRPr="00552A36" w:rsidRDefault="00201753" w:rsidP="0086242F">
            <w:pPr>
              <w:pStyle w:val="NoSpacing"/>
              <w:rPr>
                <w:rFonts w:cs="Arial"/>
                <w:szCs w:val="20"/>
              </w:rPr>
            </w:pPr>
            <w:r w:rsidRPr="00552A36">
              <w:rPr>
                <w:rFonts w:cs="Arial"/>
                <w:szCs w:val="20"/>
              </w:rPr>
              <w:t>Age, race, and sex, wave one alcohol use and Catholic/Protestant identification, delinquency, delinquency*depression</w:t>
            </w:r>
          </w:p>
        </w:tc>
        <w:tc>
          <w:tcPr>
            <w:tcW w:w="454" w:type="dxa"/>
            <w:vAlign w:val="center"/>
          </w:tcPr>
          <w:p w:rsidR="00201753" w:rsidRPr="00552A36" w:rsidRDefault="00201753" w:rsidP="0086242F">
            <w:pPr>
              <w:pStyle w:val="NoSpacing"/>
              <w:rPr>
                <w:rFonts w:cs="Arial"/>
                <w:szCs w:val="20"/>
              </w:rPr>
            </w:pPr>
            <w:r w:rsidRPr="00552A36">
              <w:rPr>
                <w:rFonts w:cs="Arial"/>
                <w:szCs w:val="20"/>
              </w:rPr>
              <w:t>3</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roofErr w:type="spellStart"/>
            <w:r w:rsidRPr="00552A36">
              <w:rPr>
                <w:rFonts w:cs="Arial"/>
                <w:szCs w:val="20"/>
              </w:rPr>
              <w:t>Squeglia</w:t>
            </w:r>
            <w:proofErr w:type="spellEnd"/>
            <w:r w:rsidRPr="00552A36">
              <w:rPr>
                <w:rFonts w:cs="Arial"/>
                <w:szCs w:val="20"/>
              </w:rPr>
              <w:t xml:space="preserve"> et al. (2017)</w:t>
            </w:r>
            <w:r w:rsidRPr="00552A36">
              <w:rPr>
                <w:rFonts w:cs="Arial"/>
                <w:szCs w:val="20"/>
              </w:rPr>
              <w:fldChar w:fldCharType="begin"/>
            </w:r>
            <w:r>
              <w:rPr>
                <w:rFonts w:cs="Arial"/>
                <w:szCs w:val="20"/>
              </w:rPr>
              <w:instrText xml:space="preserve"> ADDIN ZOTERO_ITEM CSL_CITATION {"citationID":"b3yNTOSk","properties":{"formattedCitation":"[5]","plainCitation":"[5]","noteIndex":0},"citationItems":[{"id":207,"uris":["http://zotero.org/users/3535616/items/9EXCFPNN"],"uri":["http://zotero.org/users/3535616/items/9EXCFPNN"],"itemData":{"id":207,"type":"article-journal","title":"Neural predictors of initiating alcohol use during adolescence","container-title":"American Journal of Psychiatry","page":"172-185","volume":"174","issue":"2","abstract":"Objective: Underage drinking is widely recognized as a leading public health and social problem for adolescents in the United States. Being able to identify at-risk adolescents before they initiate heavy alcohol use could have important clinical and public health implications; however, few investigations have explored individual-level precursors of adolescent substance use. This prospective investigation used machine learning with demographic, neurocognitive, and neuroimaging data in substance-naive adolescents to identify predictors of alcohol use initiation by age 18. Method: Participants (N=137) were healthy substancenaive adolescents (ages 12-14) who underwent neuropsychological testing and structural and functional magnetic resonance imaging (sMRI and fMRI), and then were followed annually. By age 18, 70 youths (51%) initiated moderate to heavy alcohol use, and 67 remained nonusers. Random forest classification models identified the most important predictors of alcohol use from a large set of demographic, neuropsychological, sMRI, and fMRI variables. Results: Random forest models identified 34 predictors contributing to alcohol use by age 18, including several demographic and behavioral factors (being male, higher socioeconomic status, early dating, more externalizing behaviors, positive alcohol expectancies), worse executive functioning, and thinner cortices and less brain activation in diffusely distributed regions of the brain. Conclusions: Incorporating a mix of demographic, behavioral, neuropsychological, and neuroimaging datamaybe the best strategy for identifying youths at risk for initiating alcohol use during adolescence. The identified risk factors will be useful for alcohol prevention efforts and in research to address brain mechanisms that may contribute to early drinking.","ISSN":"0002-953X","author":[{"literal":"Squeglia L M"},{"literal":"Ball T M"},{"literal":"Jacobus J"},{"literal":"Brumback T"},{"literal":"McKenna B S"},{"literal":"Nguyen-Louie T T"},{"literal":"Sorg S F"},{"literal":"Paulus M P"},{"literal":"Tapert S F"}],"issued":{"date-parts":[["2017"]]}}}],"schema":"https://github.com/citation-style-language/schema/raw/master/csl-citation.json"} </w:instrText>
            </w:r>
            <w:r w:rsidRPr="00552A36">
              <w:rPr>
                <w:rFonts w:cs="Arial"/>
                <w:szCs w:val="20"/>
              </w:rPr>
              <w:fldChar w:fldCharType="separate"/>
            </w:r>
            <w:r w:rsidRPr="005D70E3">
              <w:rPr>
                <w:rFonts w:cs="Arial"/>
              </w:rPr>
              <w:t>[5]</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 (13)-AC (18)</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NR, </w:t>
            </w:r>
            <w:r>
              <w:rPr>
                <w:rFonts w:cs="Arial"/>
                <w:szCs w:val="20"/>
              </w:rPr>
              <w:t xml:space="preserve">positive, </w:t>
            </w:r>
            <w:r w:rsidRPr="00552A36">
              <w:rPr>
                <w:rFonts w:cs="Arial"/>
                <w:szCs w:val="20"/>
              </w:rPr>
              <w:t>p=0.007</w:t>
            </w:r>
          </w:p>
        </w:tc>
        <w:tc>
          <w:tcPr>
            <w:tcW w:w="737" w:type="dxa"/>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Align w:val="center"/>
          </w:tcPr>
          <w:p w:rsidR="00201753" w:rsidRPr="00552A36" w:rsidRDefault="00201753" w:rsidP="0086242F">
            <w:pPr>
              <w:pStyle w:val="NoSpacing"/>
              <w:rPr>
                <w:rFonts w:cs="Arial"/>
                <w:szCs w:val="20"/>
              </w:rPr>
            </w:pPr>
            <w:r w:rsidRPr="00552A36">
              <w:rPr>
                <w:rFonts w:cs="Arial"/>
                <w:szCs w:val="20"/>
              </w:rPr>
              <w:t>Random forest analyses</w:t>
            </w:r>
          </w:p>
        </w:tc>
        <w:tc>
          <w:tcPr>
            <w:tcW w:w="3969" w:type="dxa"/>
            <w:vAlign w:val="center"/>
          </w:tcPr>
          <w:p w:rsidR="00201753" w:rsidRPr="00552A36" w:rsidRDefault="00201753" w:rsidP="0086242F">
            <w:pPr>
              <w:pStyle w:val="NoSpacing"/>
              <w:rPr>
                <w:rFonts w:cs="Arial"/>
                <w:szCs w:val="20"/>
              </w:rPr>
            </w:pPr>
            <w:r w:rsidRPr="00552A36">
              <w:rPr>
                <w:rFonts w:cs="Arial"/>
                <w:szCs w:val="20"/>
              </w:rPr>
              <w:t>A series of demographic, neuropsychological and neuroimaging variables, but not sex</w:t>
            </w:r>
          </w:p>
        </w:tc>
        <w:tc>
          <w:tcPr>
            <w:tcW w:w="454" w:type="dxa"/>
            <w:vAlign w:val="center"/>
          </w:tcPr>
          <w:p w:rsidR="00201753" w:rsidRPr="00552A36" w:rsidRDefault="00201753" w:rsidP="0086242F">
            <w:pPr>
              <w:pStyle w:val="NoSpacing"/>
              <w:rPr>
                <w:rFonts w:cs="Arial"/>
                <w:szCs w:val="20"/>
              </w:rPr>
            </w:pPr>
            <w:r w:rsidRPr="00552A36">
              <w:rPr>
                <w:rFonts w:cs="Arial"/>
                <w:szCs w:val="20"/>
              </w:rPr>
              <w:t>4</w:t>
            </w:r>
          </w:p>
        </w:tc>
      </w:tr>
      <w:tr w:rsidR="00201753" w:rsidRPr="00552A36" w:rsidTr="0086242F">
        <w:trPr>
          <w:trHeight w:val="706"/>
          <w:jc w:val="center"/>
        </w:trPr>
        <w:tc>
          <w:tcPr>
            <w:tcW w:w="1417" w:type="dxa"/>
            <w:vMerge w:val="restart"/>
            <w:vAlign w:val="center"/>
            <w:hideMark/>
          </w:tcPr>
          <w:p w:rsidR="00201753" w:rsidRPr="00552A36" w:rsidRDefault="00201753" w:rsidP="0086242F">
            <w:pPr>
              <w:pStyle w:val="NoSpacing"/>
              <w:rPr>
                <w:rFonts w:cs="Arial"/>
                <w:szCs w:val="20"/>
              </w:rPr>
            </w:pPr>
            <w:r w:rsidRPr="00552A36">
              <w:rPr>
                <w:rFonts w:cs="Arial"/>
                <w:szCs w:val="20"/>
              </w:rPr>
              <w:t>Edwards et al. (2016)</w:t>
            </w:r>
            <w:r w:rsidRPr="00552A36">
              <w:rPr>
                <w:rFonts w:cs="Arial"/>
                <w:szCs w:val="20"/>
              </w:rPr>
              <w:fldChar w:fldCharType="begin"/>
            </w:r>
            <w:r>
              <w:rPr>
                <w:rFonts w:cs="Arial"/>
                <w:szCs w:val="20"/>
              </w:rPr>
              <w:instrText xml:space="preserve"> ADDIN ZOTERO_ITEM CSL_CITATION {"citationID":"68bPlonM","properties":{"formattedCitation":"[6]","plainCitation":"[6]","noteIndex":0},"citationItems":[{"id":710,"uris":["http://zotero.org/users/3535616/items/U7UEGXIK"],"uri":["http://zotero.org/users/3535616/items/U7UEGXIK"],"itemData":{"id":710,"type":"article-journal","title":"A prospective longitudinal model predicting early adult alcohol problems: evidence for a robust externalizing pathway","container-title":"Psychological medicine","page":"957-968","volume":"46","issue":"5","abstract":"BACKGROUND: Risk factors for alcohol problems (AP) include biological and environmental factors that are relevant across development. The pathways through which these factors are related, and how they lead to AP, are optimally considered in the context of a comprehensive developmental model., METHOD: Using data from a prospectively assessed, population-based UK cohort, we constructed a structural equation model that integrated risk factors reflecting individual, family and peer/community-level constructs across childhood, adolescence and young adulthood. These variables were used to predict AP at the age of 20 years., RESULTS: The final model explained over 30% of the variance in liability to age 20 years AP. Most prominent in the model was an externalizing pathway to AP, with conduct problems, sensation seeking, AP at age 17.5 years and illicit substance use acting as robust predictors. In conjunction with these individual-level risk factors, familial AP, peer relationships and low parental monitoring also predicted AP. Internalizing problems were less consistently associated with AP. Some risk factors previously identified were not associated with AP in the context of this comprehensive model., CONCLUSIONS: The etiology of young adult AP is complex, influenced by risk factors that manifest across development. The most prominent pathway to AP is via externalizing and related behaviors. These findings underscore the importance of jointly assessing both biologically influenced and environmental risk factors for AP in a developmental context.","author":[{"literal":"Edwards A C"},{"literal":"Gardner C O"},{"literal":"Hickman M"},{"literal":"Kendler K S"}],"issued":{"date-parts":[["2016"]]}}}],"schema":"https://github.com/citation-style-language/schema/raw/master/csl-citation.json"} </w:instrText>
            </w:r>
            <w:r w:rsidRPr="00552A36">
              <w:rPr>
                <w:rFonts w:cs="Arial"/>
                <w:szCs w:val="20"/>
              </w:rPr>
              <w:fldChar w:fldCharType="separate"/>
            </w:r>
            <w:r w:rsidRPr="005D70E3">
              <w:rPr>
                <w:rFonts w:cs="Arial"/>
              </w:rPr>
              <w:t>[6]</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 (11.8)- H/P Drinking (20)</w:t>
            </w:r>
          </w:p>
        </w:tc>
        <w:tc>
          <w:tcPr>
            <w:tcW w:w="3912" w:type="dxa"/>
            <w:vAlign w:val="center"/>
          </w:tcPr>
          <w:p w:rsidR="00201753" w:rsidRPr="00552A36" w:rsidRDefault="00201753" w:rsidP="0086242F">
            <w:pPr>
              <w:pStyle w:val="NoSpacing"/>
              <w:rPr>
                <w:rFonts w:cs="Arial"/>
                <w:szCs w:val="20"/>
              </w:rPr>
            </w:pPr>
            <w:r w:rsidRPr="00552A36">
              <w:rPr>
                <w:rFonts w:cs="Arial"/>
                <w:szCs w:val="20"/>
              </w:rPr>
              <w:t>0.031, NR</w:t>
            </w:r>
            <w:r>
              <w:rPr>
                <w:rFonts w:cs="Arial"/>
                <w:szCs w:val="20"/>
              </w:rPr>
              <w:t>, p&lt;0.05</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SEM</w:t>
            </w:r>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 xml:space="preserve">Sex, parental SES, paternal AP, maternal AP, good peer relationships 11.8, low parental monitoring12.8, peer group </w:t>
            </w:r>
            <w:r w:rsidRPr="00552A36">
              <w:rPr>
                <w:rFonts w:cs="Arial"/>
                <w:szCs w:val="20"/>
              </w:rPr>
              <w:lastRenderedPageBreak/>
              <w:t>deviance12.8, extraversion13.6, low conscientiousness13.6, sensation seeking13.6, conduct disorder15.6, major depression symptoms16.6, peer group deviance17.6, stressful life events17.6, illicit substance use17.6 (alcohol problem17.6, sensation seeking18, illicit substance use18)</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lastRenderedPageBreak/>
              <w:t>5</w:t>
            </w:r>
          </w:p>
        </w:tc>
      </w:tr>
      <w:tr w:rsidR="00201753" w:rsidRPr="00552A36" w:rsidTr="0086242F">
        <w:trPr>
          <w:trHeight w:val="704"/>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 (15.6)- H/P Drinking (20)</w:t>
            </w:r>
          </w:p>
        </w:tc>
        <w:tc>
          <w:tcPr>
            <w:tcW w:w="3912" w:type="dxa"/>
            <w:vAlign w:val="center"/>
          </w:tcPr>
          <w:p w:rsidR="00201753" w:rsidRPr="00552A36" w:rsidRDefault="00201753" w:rsidP="0086242F">
            <w:pPr>
              <w:pStyle w:val="NoSpacing"/>
              <w:rPr>
                <w:rFonts w:cs="Arial"/>
                <w:szCs w:val="20"/>
              </w:rPr>
            </w:pPr>
            <w:r w:rsidRPr="00552A36">
              <w:rPr>
                <w:rFonts w:cs="Arial"/>
                <w:szCs w:val="20"/>
              </w:rPr>
              <w:t>0.146, NR</w:t>
            </w:r>
            <w:r>
              <w:rPr>
                <w:rFonts w:cs="Arial"/>
                <w:szCs w:val="20"/>
              </w:rPr>
              <w:t>,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704"/>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DEP (16.6)- H/P Drinking (20)</w:t>
            </w:r>
          </w:p>
        </w:tc>
        <w:tc>
          <w:tcPr>
            <w:tcW w:w="3912" w:type="dxa"/>
            <w:vAlign w:val="center"/>
          </w:tcPr>
          <w:p w:rsidR="00201753" w:rsidRPr="00552A36" w:rsidRDefault="00201753" w:rsidP="0086242F">
            <w:pPr>
              <w:pStyle w:val="NoSpacing"/>
              <w:rPr>
                <w:rFonts w:cs="Arial"/>
                <w:szCs w:val="20"/>
              </w:rPr>
            </w:pPr>
            <w:r w:rsidRPr="00552A36">
              <w:rPr>
                <w:rFonts w:cs="Arial"/>
                <w:szCs w:val="20"/>
              </w:rPr>
              <w:t>0.035, NR</w:t>
            </w:r>
            <w:r>
              <w:rPr>
                <w:rFonts w:cs="Arial"/>
                <w:szCs w:val="20"/>
              </w:rPr>
              <w:t>,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t>Quinn et al.</w:t>
            </w:r>
          </w:p>
          <w:p w:rsidR="00201753" w:rsidRPr="00552A36" w:rsidRDefault="00201753" w:rsidP="0086242F">
            <w:pPr>
              <w:pStyle w:val="NoSpacing"/>
              <w:rPr>
                <w:rFonts w:cs="Arial"/>
                <w:szCs w:val="20"/>
              </w:rPr>
            </w:pPr>
            <w:r w:rsidRPr="00552A36">
              <w:rPr>
                <w:rFonts w:cs="Arial"/>
                <w:szCs w:val="20"/>
              </w:rPr>
              <w:t>(2016)</w:t>
            </w:r>
            <w:r w:rsidRPr="00552A36">
              <w:rPr>
                <w:rFonts w:cs="Arial"/>
                <w:szCs w:val="20"/>
              </w:rPr>
              <w:fldChar w:fldCharType="begin"/>
            </w:r>
            <w:r>
              <w:rPr>
                <w:rFonts w:cs="Arial"/>
                <w:szCs w:val="20"/>
              </w:rPr>
              <w:instrText xml:space="preserve"> ADDIN ZOTERO_ITEM CSL_CITATION {"citationID":"4Caxrisz","properties":{"formattedCitation":"[7]","plainCitation":"[7]","noteIndex":0},"citationItems":[{"id":1672,"uris":["http://zotero.org/users/3535616/items/EAA5NSU3"],"uri":["http://zotero.org/users/3535616/items/EAA5NSU3"],"itemData":{"id":1672,"type":"article-journal","title":"Childhood attention-deficit/hyperactivity disorder symptoms and the development of adolescent alcohol problems: A prospective, population-based study of Swedish twins","container-title":"American Journal of Medical Genetics Part B: Neuropsychiatric Genetics","page":"958-970","volume":"171","issue":"7","source":"Wiley Online Library","abstract":"Children with attention-deficit/hyperactivity disorder (ADHD) are at increased risk of problematic alcohol and other substance use in adolescence. This study used data from an ongoing, prospective, population-based twin study of Swedish children and adolescents to evaluate the extent to which the association between ADHD symptoms and alcohol problems reflects a unique source of genetic or environmental risk related to ADHD versus a broader predisposition to youth externalizing behavior. We used all available data from same-sex monozygotic (MZ) and dizygotic (DZ) twins on ADHD symptoms in childhood (age 9/12; N = 15,549) and alcohol problems in late adolescence (age 18; N = 2,564). Consistent with prior longitudinal studies, the phenotypic association between hyperactive/impulsive ADHD symptoms and alcohol problems was small in magnitude, whereas the association for inattentive symptoms was even weaker. Additive genetic influences explained 99.8% of the association between hyperactive/impulsive symptoms and alcohol problems. Furthermore, we found that the genetic risk specifically associated with hyperactive/impulsive symptoms was attenuated when estimated in the context of externalizing behavior liability during childhood, of which ADHD symptoms were specific expressions. In sensitivity analyses exploring hyperactivity in mid-adolescence, we found a similar pattern of genetic associations. These results are consistent with previous findings of genetically driven overlap in the etiology of ADHD and problematic alcohol use. At least some of this co-occurrence may result from a general predisposition to externalizing behaviors in youth. © 2015 Wiley Periodicals, Inc.","DOI":"10.1002/ajmg.b.32412","ISSN":"1552-485X","title-short":"Childhood attention-deficit/hyperactivity disorder symptoms and the development of adolescent alcohol problems","language":"en","author":[{"family":"Quinn","given":"Patrick D."},{"family":"Pettersson","given":"Erik"},{"family":"Lundström","given":"Sebastian"},{"family":"Anckarsäter","given":"Henrik"},{"family":"Långström","given":"Niklas"},{"family":"Gumpert","given":"Clara Hellner"},{"family":"Larsson","given":"Henrik"},{"family":"Lichtenstein","given":"Paul"},{"family":"D'Onofrio","given":"Brian M."}],"issued":{"date-parts":[["2016"]]}}}],"schema":"https://github.com/citation-style-language/schema/raw/master/csl-citation.json"} </w:instrText>
            </w:r>
            <w:r w:rsidRPr="00552A36">
              <w:rPr>
                <w:rFonts w:cs="Arial"/>
                <w:szCs w:val="20"/>
              </w:rPr>
              <w:fldChar w:fldCharType="separate"/>
            </w:r>
            <w:r w:rsidRPr="005D70E3">
              <w:rPr>
                <w:rFonts w:cs="Arial"/>
              </w:rPr>
              <w:t>[7]</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 (15)- H/P Drinking (18)</w:t>
            </w:r>
          </w:p>
        </w:tc>
        <w:tc>
          <w:tcPr>
            <w:tcW w:w="3912" w:type="dxa"/>
            <w:vAlign w:val="center"/>
          </w:tcPr>
          <w:p w:rsidR="00201753" w:rsidRPr="00552A36" w:rsidRDefault="00201753" w:rsidP="0086242F">
            <w:pPr>
              <w:pStyle w:val="NoSpacing"/>
              <w:rPr>
                <w:rFonts w:cs="Arial"/>
                <w:szCs w:val="20"/>
              </w:rPr>
            </w:pPr>
            <w:r w:rsidRPr="00552A36">
              <w:rPr>
                <w:rFonts w:cs="Arial"/>
                <w:szCs w:val="20"/>
              </w:rPr>
              <w:t>0.25 (0.19,0.32)</w:t>
            </w:r>
          </w:p>
        </w:tc>
        <w:tc>
          <w:tcPr>
            <w:tcW w:w="737" w:type="dxa"/>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Align w:val="center"/>
          </w:tcPr>
          <w:p w:rsidR="00201753" w:rsidRPr="00552A36" w:rsidRDefault="00201753" w:rsidP="0086242F">
            <w:pPr>
              <w:pStyle w:val="NoSpacing"/>
              <w:rPr>
                <w:rFonts w:cs="Arial"/>
                <w:szCs w:val="20"/>
              </w:rPr>
            </w:pPr>
            <w:r w:rsidRPr="00552A36">
              <w:rPr>
                <w:rFonts w:cs="Arial"/>
                <w:szCs w:val="20"/>
              </w:rPr>
              <w:t>OLS</w:t>
            </w:r>
          </w:p>
        </w:tc>
        <w:tc>
          <w:tcPr>
            <w:tcW w:w="3969" w:type="dxa"/>
            <w:vAlign w:val="center"/>
          </w:tcPr>
          <w:p w:rsidR="00201753" w:rsidRPr="00552A36" w:rsidRDefault="00201753" w:rsidP="0086242F">
            <w:pPr>
              <w:pStyle w:val="NoSpacing"/>
              <w:rPr>
                <w:rFonts w:cs="Arial"/>
                <w:szCs w:val="20"/>
              </w:rPr>
            </w:pPr>
            <w:r w:rsidRPr="00552A36">
              <w:rPr>
                <w:rFonts w:cs="Arial"/>
                <w:szCs w:val="20"/>
              </w:rPr>
              <w:t>Sex</w:t>
            </w:r>
          </w:p>
        </w:tc>
        <w:tc>
          <w:tcPr>
            <w:tcW w:w="454" w:type="dxa"/>
            <w:vAlign w:val="center"/>
          </w:tcPr>
          <w:p w:rsidR="00201753" w:rsidRPr="00552A36" w:rsidRDefault="00201753" w:rsidP="0086242F">
            <w:pPr>
              <w:pStyle w:val="NoSpacing"/>
              <w:rPr>
                <w:rFonts w:cs="Arial"/>
                <w:szCs w:val="20"/>
              </w:rPr>
            </w:pPr>
            <w:r w:rsidRPr="00552A36">
              <w:rPr>
                <w:rFonts w:cs="Arial"/>
                <w:szCs w:val="20"/>
              </w:rPr>
              <w:t>3</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t>Savage et al. (2016)</w:t>
            </w:r>
            <w:r w:rsidRPr="00552A36">
              <w:rPr>
                <w:rFonts w:cs="Arial"/>
                <w:szCs w:val="20"/>
              </w:rPr>
              <w:fldChar w:fldCharType="begin"/>
            </w:r>
            <w:r>
              <w:rPr>
                <w:rFonts w:cs="Arial"/>
                <w:szCs w:val="20"/>
              </w:rPr>
              <w:instrText xml:space="preserve"> ADDIN ZOTERO_ITEM CSL_CITATION {"citationID":"LS6gNnJ8","properties":{"formattedCitation":"[8]","plainCitation":"[8]","noteIndex":0},"citationItems":[{"id":594,"uris":["http://zotero.org/users/3535616/items/PW94U8FN"],"uri":["http://zotero.org/users/3535616/items/PW94U8FN"],"itemData":{"id":594,"type":"article-journal","title":"The effects of social anxiety on alcohol and cigarette use across adolescence: results from a longitudinal twin study in finland","container-title":"Psychology of Addictive Behaviors","page":"462-474","volume":"30","issue":"4","abstract":"Conflicting reports exist on the direction of the relationship between social anxiety (SA) and alcohol/cigarette use (AU/CU) and alcohol/nicotine dependence (AD/ND), with both positive and negative associations reported. A prospective, longitudinal sample of Finnish twins (n = 1,906) was used to test potential explanations for these discrepancies. Specifically, this study used peer, parent, and teacher ratings of SA, and a clinical interview screening item for social anxiety disorder (SAD-Sc) to examine associations between SA and AU/CU and AD/ND from early adolescence into young adulthood. Peer-rated SA was negatively associated with AU, CU, and AD from age 14 through age 22, implying a protective effect (beta =-0.01 to-.03). Teacher-and parent-rated SA associations were in the same directions but weaker or nonsignificant, indicating that aspects of SA that are recognizable by peers may be most relevant to AU/CU. Self-reported SAD-Sc was also negatively associated with AU, but positively associated with AD symptoms in young adulthood (beta = 0.38). Our findings partially support the existence of different associations between SA and AU versus AD, but only in the context of SAD-Sc rather than trait SA. Neither trait SA nor SAD-Sc significantly predicted ND symptoms, although SAD-Sc was associated with both cigarette abstinence and daily smoking. These findings suggest that adolescent SA is modestly associated with lower AU/CU, although there may be some individuals with more severe SA who develop alcohol problems later in life. There was little evidence of a common underlying liability contributing to both SA and alcohol/cigarette use. Copyright © 2016 American Psychological Association.","ISSN":"0893-164X","author":[{"literal":"Savage J E"},{"literal":"Kaprio J"},{"literal":"Korhonen T"},{"literal":"Pulkkinen L"},{"literal":"Rose R J"},{"literal":"Verhulst B"},{"literal":"Dick D M"}],"issued":{"date-parts":[["2016"]]}}}],"schema":"https://github.com/citation-style-language/schema/raw/master/csl-citation.json"} </w:instrText>
            </w:r>
            <w:r w:rsidRPr="00552A36">
              <w:rPr>
                <w:rFonts w:cs="Arial"/>
                <w:szCs w:val="20"/>
              </w:rPr>
              <w:fldChar w:fldCharType="separate"/>
            </w:r>
            <w:r w:rsidRPr="005D70E3">
              <w:rPr>
                <w:rFonts w:cs="Arial"/>
              </w:rPr>
              <w:t>[8]</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ANX (12)-AC(22)</w:t>
            </w:r>
          </w:p>
        </w:tc>
        <w:tc>
          <w:tcPr>
            <w:tcW w:w="3912" w:type="dxa"/>
            <w:vAlign w:val="center"/>
          </w:tcPr>
          <w:p w:rsidR="00201753" w:rsidRPr="00552A36" w:rsidRDefault="00201753" w:rsidP="0086242F">
            <w:pPr>
              <w:pStyle w:val="NoSpacing"/>
              <w:rPr>
                <w:rFonts w:cs="Arial"/>
                <w:szCs w:val="20"/>
              </w:rPr>
            </w:pPr>
            <w:r w:rsidRPr="00552A36">
              <w:rPr>
                <w:rFonts w:cs="Arial"/>
                <w:szCs w:val="20"/>
              </w:rPr>
              <w:t>-0.1 (0.04), p&lt;0.05</w:t>
            </w:r>
          </w:p>
        </w:tc>
        <w:tc>
          <w:tcPr>
            <w:tcW w:w="737" w:type="dxa"/>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Align w:val="center"/>
          </w:tcPr>
          <w:p w:rsidR="00201753" w:rsidRPr="00552A36" w:rsidRDefault="00201753" w:rsidP="0086242F">
            <w:pPr>
              <w:pStyle w:val="NoSpacing"/>
              <w:rPr>
                <w:rFonts w:cs="Arial"/>
                <w:szCs w:val="20"/>
              </w:rPr>
            </w:pPr>
            <w:r w:rsidRPr="00552A36">
              <w:rPr>
                <w:rFonts w:cs="Arial"/>
                <w:szCs w:val="20"/>
              </w:rPr>
              <w:t>Pearson Cor</w:t>
            </w:r>
            <w:r>
              <w:rPr>
                <w:rFonts w:cs="Arial"/>
                <w:szCs w:val="20"/>
              </w:rPr>
              <w:t>relation</w:t>
            </w:r>
          </w:p>
        </w:tc>
        <w:tc>
          <w:tcPr>
            <w:tcW w:w="3969" w:type="dxa"/>
            <w:vAlign w:val="center"/>
          </w:tcPr>
          <w:p w:rsidR="00201753" w:rsidRPr="00552A36" w:rsidRDefault="00201753" w:rsidP="0086242F">
            <w:pPr>
              <w:pStyle w:val="NoSpacing"/>
              <w:rPr>
                <w:rFonts w:cs="Arial"/>
                <w:szCs w:val="20"/>
              </w:rPr>
            </w:pPr>
            <w:r w:rsidRPr="00552A36">
              <w:rPr>
                <w:rFonts w:cs="Arial"/>
                <w:szCs w:val="20"/>
              </w:rPr>
              <w:t>None</w:t>
            </w:r>
          </w:p>
        </w:tc>
        <w:tc>
          <w:tcPr>
            <w:tcW w:w="454" w:type="dxa"/>
            <w:vAlign w:val="center"/>
          </w:tcPr>
          <w:p w:rsidR="00201753" w:rsidRPr="00552A36" w:rsidRDefault="00201753" w:rsidP="0086242F">
            <w:pPr>
              <w:pStyle w:val="NoSpacing"/>
              <w:rPr>
                <w:rFonts w:cs="Arial"/>
                <w:szCs w:val="20"/>
              </w:rPr>
            </w:pPr>
            <w:r w:rsidRPr="00552A36">
              <w:rPr>
                <w:rFonts w:cs="Arial"/>
                <w:szCs w:val="20"/>
              </w:rPr>
              <w:t>4</w:t>
            </w: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r w:rsidRPr="00552A36">
              <w:rPr>
                <w:rFonts w:cs="Arial"/>
                <w:szCs w:val="20"/>
              </w:rPr>
              <w:t>Swift et al. (2016)</w:t>
            </w:r>
            <w:r w:rsidRPr="00552A36">
              <w:rPr>
                <w:rFonts w:cs="Arial"/>
                <w:szCs w:val="20"/>
              </w:rPr>
              <w:fldChar w:fldCharType="begin"/>
            </w:r>
            <w:r>
              <w:rPr>
                <w:rFonts w:cs="Arial"/>
                <w:szCs w:val="20"/>
              </w:rPr>
              <w:instrText xml:space="preserve"> ADDIN ZOTERO_ITEM CSL_CITATION {"citationID":"a11qkpm8ku8","properties":{"formattedCitation":"[9]","plainCitation":"[9]","noteIndex":0},"citationItems":[{"id":2967,"uris":["http://zotero.org/users/3535616/items/MK4MSG4F"],"uri":["http://zotero.org/users/3535616/items/MK4MSG4F"],"itemData":{"id":2967,"type":"article-journal","title":"Adolescent Predictors of a Typology of DSM-5 Alcohol Use Disorder Symptoms in Young Adults Derived by Latent Class Analysis Using Data From an Australian Cohort Study","container-title":"Journal of Studies on Alcohol and Drugs","page":"757-765","volume":"77","issue":"5","source":"PubMed","abstract":"OBJECTIVE: There is little research examining alcohol use disorder (AUD) symptoms (based on criteria from the Diagnostic and Statistical Manual of Mental Disorders, Fifth Edition [DSM-5]) in young adulthood. We assessed symptom structure at 24 years using latent class analysis (LCA), examining relationships between class membership and (a) concurrent alcohol use and DSM-5 AUD severity and (b) adolescent risk factors.\nMETHOD: A stratified, random sample of 1,943 adolescents ages 14-15 years was recruited from 44 secondary schools in Victoria, Australia, and interviewed during adolescence and young adulthood. We report findings on drinkers who completed the AUD module (N = 1,268; 51% male).\nRESULTS: Data clearly fit a three-class, dimensional model, comprising \"mild symptoms\" (63.2%), \"moderate symptoms\" (32.2%), and \"severe symptoms\" (4.6%) classes. Class membership was validated by concurrent drinking patterns and in reasonable agreement with DSM-5 AUD severity categories. Relative to mild symptoms class membership, moderate symptoms class membership increased odds of adolescent alcohol problems (odds ratio [OR] = 2.0, 95% CI [1.2, 3.5]) and persisting anxiety/depression symptoms (OR = 1.9, 95% CI [1.2, 3.1]). Daily smoking (OR = 2.6, 95% CI [1.1, 5.9]), persisting anxiety/ depression symptoms (OR = 2.5, 95% CI [1.3, 5.0]), and antisocial behavior (OR = 3.2, 95% CI [1.5, 6.8]) increased odds of severe symptoms class membership. Adolescent daily smoking (OR = 0.3, 95% CI [0.11, 0.81]) and antisocial behavior (OR = 0.3, 95% CI [0.14, 0.64]) were less likely among members of the moderate symptoms class, relative to the severe symptoms class.\nCONCLUSIONS: We found support for a dimensional AUD typology like that in DSM-5. Young adults with more severe AUD symptoms had a different adolescent risk profile than those in the low and moderate classes. These findings provide a focus for preventive intervention in adolescence to limit the severity of AUDs in young adulthood.","DOI":"10.15288/jsad.2016.77.757","ISSN":"1938-4114","note":"PMID: 27588534","journalAbbreviation":"J Stud Alcohol Drugs","language":"eng","author":[{"family":"Swift","given":"Wendy"},{"family":"Slade","given":"Tim"},{"family":"Carragher","given":"Natacha"},{"family":"Coffey","given":"Carolyn"},{"family":"Degenhardt","given":"Louisa"},{"family":"Hall","given":"Wayne"},{"family":"Patton","given":"George"}],"issued":{"date-parts":[["2016"]]}}}],"schema":"https://github.com/citation-style-language/schema/raw/master/csl-citation.json"} </w:instrText>
            </w:r>
            <w:r w:rsidRPr="00552A36">
              <w:rPr>
                <w:rFonts w:cs="Arial"/>
                <w:szCs w:val="20"/>
              </w:rPr>
              <w:fldChar w:fldCharType="separate"/>
            </w:r>
            <w:r w:rsidRPr="005D70E3">
              <w:rPr>
                <w:rFonts w:cs="Arial"/>
              </w:rPr>
              <w:t>[9]</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Onset of EXT (14.5~17)-AUD(24)</w:t>
            </w:r>
          </w:p>
        </w:tc>
        <w:tc>
          <w:tcPr>
            <w:tcW w:w="3912" w:type="dxa"/>
            <w:vAlign w:val="center"/>
          </w:tcPr>
          <w:p w:rsidR="00201753" w:rsidRPr="00552A36" w:rsidRDefault="00201753" w:rsidP="0086242F">
            <w:pPr>
              <w:pStyle w:val="NoSpacing"/>
              <w:rPr>
                <w:rFonts w:cs="Arial"/>
                <w:szCs w:val="20"/>
              </w:rPr>
            </w:pPr>
            <w:proofErr w:type="gramStart"/>
            <w:r w:rsidRPr="00552A36">
              <w:rPr>
                <w:rFonts w:cs="Arial"/>
                <w:szCs w:val="20"/>
              </w:rPr>
              <w:t>OR(</w:t>
            </w:r>
            <w:proofErr w:type="gramEnd"/>
            <w:r w:rsidRPr="00552A36">
              <w:rPr>
                <w:rFonts w:cs="Arial"/>
                <w:szCs w:val="20"/>
              </w:rPr>
              <w:t>95%)</w:t>
            </w:r>
          </w:p>
          <w:p w:rsidR="00201753" w:rsidRPr="00552A36" w:rsidRDefault="00201753" w:rsidP="0086242F">
            <w:pPr>
              <w:pStyle w:val="NoSpacing"/>
              <w:rPr>
                <w:rFonts w:cs="Arial"/>
                <w:szCs w:val="20"/>
              </w:rPr>
            </w:pPr>
            <w:r w:rsidRPr="00552A36">
              <w:rPr>
                <w:rFonts w:cs="Arial"/>
                <w:szCs w:val="20"/>
              </w:rPr>
              <w:t>Moderate vs mild: 0.96 (0.60,1.6)</w:t>
            </w:r>
          </w:p>
          <w:p w:rsidR="00201753" w:rsidRDefault="00201753" w:rsidP="0086242F">
            <w:pPr>
              <w:pStyle w:val="NoSpacing"/>
              <w:rPr>
                <w:rFonts w:cs="Arial"/>
                <w:szCs w:val="20"/>
              </w:rPr>
            </w:pPr>
            <w:r w:rsidRPr="00552A36">
              <w:rPr>
                <w:rFonts w:cs="Arial"/>
                <w:szCs w:val="20"/>
              </w:rPr>
              <w:t>Severe vs mild: 3.2 (1.5,6.8)</w:t>
            </w:r>
          </w:p>
          <w:p w:rsidR="00201753" w:rsidRPr="00552A36" w:rsidRDefault="00201753" w:rsidP="0086242F">
            <w:pPr>
              <w:pStyle w:val="NoSpacing"/>
              <w:rPr>
                <w:rFonts w:cs="Arial"/>
                <w:szCs w:val="20"/>
              </w:rPr>
            </w:pPr>
            <w:r>
              <w:rPr>
                <w:rFonts w:cs="Arial"/>
                <w:szCs w:val="20"/>
              </w:rPr>
              <w:t>Severe vs moderate: 3.3 (1.6,7.1)</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Multi-</w:t>
            </w:r>
            <w:proofErr w:type="spellStart"/>
            <w:r w:rsidRPr="00552A36">
              <w:rPr>
                <w:rFonts w:cs="Arial"/>
                <w:szCs w:val="20"/>
              </w:rPr>
              <w:t>nomial</w:t>
            </w:r>
            <w:proofErr w:type="spellEnd"/>
            <w:r w:rsidRPr="00552A36">
              <w:rPr>
                <w:rFonts w:cs="Arial"/>
                <w:szCs w:val="20"/>
              </w:rPr>
              <w:t xml:space="preserve"> logistic </w:t>
            </w:r>
            <w:proofErr w:type="spellStart"/>
            <w:r w:rsidRPr="00552A36">
              <w:rPr>
                <w:rFonts w:cs="Arial"/>
                <w:szCs w:val="20"/>
              </w:rPr>
              <w:t>reg</w:t>
            </w:r>
            <w:proofErr w:type="spellEnd"/>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 xml:space="preserve">Geographical location, sex, frequency of parental drinking, frequency of parental smoking, parental education, and parental divorce/separation, adolescent indices: age at alcohol use onset&lt;15 years, frequent/binge alcohol use, alcohol use </w:t>
            </w:r>
            <w:proofErr w:type="spellStart"/>
            <w:r w:rsidRPr="00552A36">
              <w:rPr>
                <w:rFonts w:cs="Arial"/>
                <w:szCs w:val="20"/>
              </w:rPr>
              <w:t>problems,daily</w:t>
            </w:r>
            <w:proofErr w:type="spellEnd"/>
            <w:r w:rsidRPr="00552A36">
              <w:rPr>
                <w:rFonts w:cs="Arial"/>
                <w:szCs w:val="20"/>
              </w:rPr>
              <w:t xml:space="preserve"> cigarette smoking, weekly cannabis use, persisting symptoms of anxiety/depression, antisocial </w:t>
            </w:r>
            <w:proofErr w:type="spellStart"/>
            <w:r w:rsidRPr="00552A36">
              <w:rPr>
                <w:rFonts w:cs="Arial"/>
                <w:szCs w:val="20"/>
              </w:rPr>
              <w:t>behaviors</w:t>
            </w:r>
            <w:proofErr w:type="spellEnd"/>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6</w:t>
            </w: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Onset of INT (14.5~17)-AUD(24)</w:t>
            </w:r>
          </w:p>
        </w:tc>
        <w:tc>
          <w:tcPr>
            <w:tcW w:w="3912" w:type="dxa"/>
            <w:vAlign w:val="center"/>
          </w:tcPr>
          <w:p w:rsidR="00201753" w:rsidRPr="00552A36" w:rsidRDefault="00201753" w:rsidP="0086242F">
            <w:pPr>
              <w:pStyle w:val="NoSpacing"/>
              <w:rPr>
                <w:rFonts w:cs="Arial"/>
                <w:szCs w:val="20"/>
              </w:rPr>
            </w:pPr>
            <w:r w:rsidRPr="00552A36">
              <w:rPr>
                <w:rFonts w:cs="Arial"/>
                <w:szCs w:val="20"/>
              </w:rPr>
              <w:t>Moderate vs mild: 1.9 (1.2,3.1)</w:t>
            </w:r>
          </w:p>
          <w:p w:rsidR="00201753" w:rsidRDefault="00201753" w:rsidP="0086242F">
            <w:pPr>
              <w:pStyle w:val="NoSpacing"/>
              <w:rPr>
                <w:rFonts w:cs="Arial"/>
                <w:szCs w:val="20"/>
              </w:rPr>
            </w:pPr>
            <w:r w:rsidRPr="00552A36">
              <w:rPr>
                <w:rFonts w:cs="Arial"/>
                <w:szCs w:val="20"/>
              </w:rPr>
              <w:t>Severe vs mild: 2.5 (1.3,5.0)</w:t>
            </w:r>
          </w:p>
          <w:p w:rsidR="00201753" w:rsidRPr="00552A36" w:rsidRDefault="00201753" w:rsidP="0086242F">
            <w:pPr>
              <w:pStyle w:val="NoSpacing"/>
              <w:rPr>
                <w:rFonts w:cs="Arial"/>
                <w:szCs w:val="20"/>
              </w:rPr>
            </w:pPr>
            <w:r>
              <w:rPr>
                <w:rFonts w:cs="Arial"/>
                <w:szCs w:val="20"/>
              </w:rPr>
              <w:t>Severe vs moderate: 1.3 (0.6,3.2)</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r w:rsidRPr="00552A36">
              <w:rPr>
                <w:rFonts w:cs="Arial"/>
                <w:szCs w:val="20"/>
              </w:rPr>
              <w:t>Cook et al. (2015)</w:t>
            </w:r>
            <w:r w:rsidRPr="00552A36">
              <w:rPr>
                <w:rFonts w:cs="Arial"/>
                <w:szCs w:val="20"/>
              </w:rPr>
              <w:fldChar w:fldCharType="begin"/>
            </w:r>
            <w:r>
              <w:rPr>
                <w:rFonts w:cs="Arial"/>
                <w:szCs w:val="20"/>
              </w:rPr>
              <w:instrText xml:space="preserve"> ADDIN ZOTERO_ITEM CSL_CITATION {"citationID":"a13cdlp0bj6","properties":{"formattedCitation":"[10]","plainCitation":"[10]","noteIndex":0},"citationItems":[{"id":2934,"uris":["http://zotero.org/users/3535616/items/AVNDDLJS"],"uri":["http://zotero.org/users/3535616/items/AVNDDLJS"],"itemData":{"id":2934,"type":"article-journal","title":"Do specific transitional patterns of antisocial behavior during adolescence increase risk for problems in young adulthood?","container-title":"Journal of abnormal child psychology","page":"95-106","volume":"43","issue":"1","source":"PubMed Central","abstract":"Latent transition analysis was used to identify patterns and trajectories of antisocial behavior (ASB) and their association with young adult outcomes in a nationally representative sample of adolescents (N = 5,422; 53.9% female). Participants were on average 13.96 years of age (SD= 1.06) at wave 1 of the study. Latent class analysis identified four classes of ASB including a non-ASB class, an aggressive class, a petty theft class, and a serious ASB class. In general, youth who were classified as serious stable ASB were the most at risk for problematic functioning in young adulthood. Youth who escalated to more serious patterns of ASB or reduced involvement also were at greater risk of negative outcomes in young adulthood compared to stable non-ASB youth, although they generally fared better than youth involved in stable patterns of more serious ASB. Gender differences indicated that involvement in ASB was a greater risk factor for alcohol use among boys and a greater risk factor for depression among girls in young adulthood. Results are discussed in terms of the predictive validity of classes of ASB to functioning in young adulthood and the implications of this research for prevention efforts.","DOI":"10.1007/s10802-014-9880-y","ISSN":"0091-0627","note":"PMID: 24893667\nPMCID: PMC4256141","journalAbbreviation":"J Abnorm Child Psychol","author":[{"family":"Cook","given":"Emily C."},{"family":"Pflieger","given":"Jacqueline C."},{"family":"Connell","given":"Arin M."},{"family":"Connell","given":"Christian M."}],"issued":{"date-parts":[["2015",1]]}}}],"schema":"https://github.com/citation-style-language/schema/raw/master/csl-citation.json"} </w:instrText>
            </w:r>
            <w:r w:rsidRPr="00552A36">
              <w:rPr>
                <w:rFonts w:cs="Arial"/>
                <w:szCs w:val="20"/>
              </w:rPr>
              <w:fldChar w:fldCharType="separate"/>
            </w:r>
            <w:r w:rsidRPr="005D70E3">
              <w:rPr>
                <w:rFonts w:cs="Arial"/>
              </w:rPr>
              <w:t>[10]</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 across time (13.9~14.9)- H/P Drinking (20.3)</w:t>
            </w:r>
          </w:p>
        </w:tc>
        <w:tc>
          <w:tcPr>
            <w:tcW w:w="3912" w:type="dxa"/>
            <w:vAlign w:val="center"/>
          </w:tcPr>
          <w:p w:rsidR="00201753" w:rsidRPr="00552A36" w:rsidRDefault="00201753" w:rsidP="0086242F">
            <w:pPr>
              <w:pStyle w:val="NoSpacing"/>
              <w:rPr>
                <w:rFonts w:cs="Arial"/>
                <w:szCs w:val="20"/>
              </w:rPr>
            </w:pPr>
            <w:r w:rsidRPr="00552A36">
              <w:rPr>
                <w:rFonts w:cs="Arial"/>
                <w:szCs w:val="20"/>
              </w:rPr>
              <w:t>Reference group: non-ASB, OR</w:t>
            </w:r>
          </w:p>
          <w:p w:rsidR="00201753" w:rsidRPr="00552A36" w:rsidRDefault="00201753" w:rsidP="0086242F">
            <w:pPr>
              <w:pStyle w:val="NoSpacing"/>
              <w:rPr>
                <w:rFonts w:cs="Arial"/>
                <w:szCs w:val="20"/>
              </w:rPr>
            </w:pPr>
            <w:proofErr w:type="spellStart"/>
            <w:r w:rsidRPr="00552A36">
              <w:rPr>
                <w:rFonts w:cs="Arial"/>
                <w:szCs w:val="20"/>
              </w:rPr>
              <w:t>Agg</w:t>
            </w:r>
            <w:proofErr w:type="spellEnd"/>
            <w:r w:rsidRPr="00552A36">
              <w:rPr>
                <w:rFonts w:cs="Arial"/>
                <w:szCs w:val="20"/>
              </w:rPr>
              <w:t xml:space="preserve"> Stable (</w:t>
            </w:r>
            <w:r>
              <w:rPr>
                <w:rFonts w:cs="Arial"/>
                <w:szCs w:val="20"/>
              </w:rPr>
              <w:t>female</w:t>
            </w:r>
            <w:r w:rsidRPr="00552A36">
              <w:rPr>
                <w:rFonts w:cs="Arial"/>
                <w:szCs w:val="20"/>
              </w:rPr>
              <w:t>): 1.09(0.73,1.63)</w:t>
            </w:r>
          </w:p>
          <w:p w:rsidR="00201753" w:rsidRPr="00552A36" w:rsidRDefault="00201753" w:rsidP="0086242F">
            <w:pPr>
              <w:pStyle w:val="NoSpacing"/>
              <w:rPr>
                <w:rFonts w:cs="Arial"/>
                <w:szCs w:val="20"/>
              </w:rPr>
            </w:pPr>
            <w:r w:rsidRPr="00552A36">
              <w:rPr>
                <w:rFonts w:cs="Arial"/>
                <w:szCs w:val="20"/>
              </w:rPr>
              <w:t>Theft Stable(</w:t>
            </w:r>
            <w:r>
              <w:rPr>
                <w:rFonts w:cs="Arial"/>
                <w:szCs w:val="20"/>
              </w:rPr>
              <w:t>female</w:t>
            </w:r>
            <w:r w:rsidRPr="00552A36">
              <w:rPr>
                <w:rFonts w:cs="Arial"/>
                <w:szCs w:val="20"/>
              </w:rPr>
              <w:t>): 1.79(1.36,2.42)</w:t>
            </w:r>
          </w:p>
          <w:p w:rsidR="00201753" w:rsidRPr="00552A36" w:rsidRDefault="00201753" w:rsidP="0086242F">
            <w:pPr>
              <w:pStyle w:val="NoSpacing"/>
              <w:rPr>
                <w:rFonts w:cs="Arial"/>
                <w:szCs w:val="20"/>
              </w:rPr>
            </w:pPr>
            <w:r w:rsidRPr="00552A36">
              <w:rPr>
                <w:rFonts w:cs="Arial"/>
                <w:szCs w:val="20"/>
              </w:rPr>
              <w:t>Serious Stable(</w:t>
            </w:r>
            <w:r>
              <w:rPr>
                <w:rFonts w:cs="Arial"/>
                <w:szCs w:val="20"/>
              </w:rPr>
              <w:t>female</w:t>
            </w:r>
            <w:r w:rsidRPr="00552A36">
              <w:rPr>
                <w:rFonts w:cs="Arial"/>
                <w:szCs w:val="20"/>
              </w:rPr>
              <w:t>): 1.23(0.65,2.28)</w:t>
            </w:r>
          </w:p>
          <w:p w:rsidR="00201753" w:rsidRPr="00552A36" w:rsidRDefault="00201753" w:rsidP="0086242F">
            <w:pPr>
              <w:pStyle w:val="NoSpacing"/>
              <w:rPr>
                <w:rFonts w:cs="Arial"/>
                <w:szCs w:val="20"/>
              </w:rPr>
            </w:pPr>
            <w:r w:rsidRPr="00552A36">
              <w:rPr>
                <w:rFonts w:cs="Arial"/>
                <w:szCs w:val="20"/>
              </w:rPr>
              <w:t>Escalators(</w:t>
            </w:r>
            <w:r>
              <w:rPr>
                <w:rFonts w:cs="Arial"/>
                <w:szCs w:val="20"/>
              </w:rPr>
              <w:t>female</w:t>
            </w:r>
            <w:r w:rsidRPr="00552A36">
              <w:rPr>
                <w:rFonts w:cs="Arial"/>
                <w:szCs w:val="20"/>
              </w:rPr>
              <w:t>): 2.19(1.48,3.23)</w:t>
            </w:r>
          </w:p>
          <w:p w:rsidR="00201753" w:rsidRPr="00552A36" w:rsidRDefault="00201753" w:rsidP="0086242F">
            <w:pPr>
              <w:pStyle w:val="NoSpacing"/>
              <w:rPr>
                <w:rFonts w:cs="Arial"/>
                <w:szCs w:val="20"/>
              </w:rPr>
            </w:pPr>
            <w:r w:rsidRPr="00552A36">
              <w:rPr>
                <w:rFonts w:cs="Arial"/>
                <w:szCs w:val="20"/>
              </w:rPr>
              <w:t>De-Escalators(</w:t>
            </w:r>
            <w:r>
              <w:rPr>
                <w:rFonts w:cs="Arial"/>
                <w:szCs w:val="20"/>
              </w:rPr>
              <w:t>female</w:t>
            </w:r>
            <w:r w:rsidRPr="00552A36">
              <w:rPr>
                <w:rFonts w:cs="Arial"/>
                <w:szCs w:val="20"/>
              </w:rPr>
              <w:t>): 1.30(0.97,1.74)</w:t>
            </w:r>
          </w:p>
          <w:p w:rsidR="00201753" w:rsidRPr="00552A36" w:rsidRDefault="00201753" w:rsidP="0086242F">
            <w:pPr>
              <w:pStyle w:val="NoSpacing"/>
              <w:rPr>
                <w:rFonts w:cs="Arial"/>
                <w:szCs w:val="20"/>
              </w:rPr>
            </w:pPr>
            <w:proofErr w:type="spellStart"/>
            <w:r w:rsidRPr="00552A36">
              <w:rPr>
                <w:rFonts w:cs="Arial"/>
                <w:szCs w:val="20"/>
              </w:rPr>
              <w:t>Agg</w:t>
            </w:r>
            <w:proofErr w:type="spellEnd"/>
            <w:r w:rsidRPr="00552A36">
              <w:rPr>
                <w:rFonts w:cs="Arial"/>
                <w:szCs w:val="20"/>
              </w:rPr>
              <w:t xml:space="preserve"> Stable</w:t>
            </w:r>
            <w:r>
              <w:rPr>
                <w:rFonts w:cs="Arial"/>
                <w:szCs w:val="20"/>
              </w:rPr>
              <w:t>*male</w:t>
            </w:r>
            <w:r w:rsidRPr="00552A36">
              <w:rPr>
                <w:rFonts w:cs="Arial"/>
                <w:szCs w:val="20"/>
              </w:rPr>
              <w:t>: 1.93(1.19,3.12)</w:t>
            </w:r>
          </w:p>
          <w:p w:rsidR="00201753" w:rsidRPr="00552A36" w:rsidRDefault="00201753" w:rsidP="0086242F">
            <w:pPr>
              <w:pStyle w:val="NoSpacing"/>
              <w:rPr>
                <w:rFonts w:cs="Arial"/>
                <w:szCs w:val="20"/>
              </w:rPr>
            </w:pPr>
            <w:r w:rsidRPr="00552A36">
              <w:rPr>
                <w:rFonts w:cs="Arial"/>
                <w:szCs w:val="20"/>
              </w:rPr>
              <w:t>Theft Stable</w:t>
            </w:r>
            <w:r>
              <w:rPr>
                <w:rFonts w:cs="Arial"/>
                <w:szCs w:val="20"/>
              </w:rPr>
              <w:t>*male</w:t>
            </w:r>
            <w:r w:rsidRPr="00552A36">
              <w:rPr>
                <w:rFonts w:cs="Arial"/>
                <w:szCs w:val="20"/>
              </w:rPr>
              <w:t>: 1.32(0.85,2.01)</w:t>
            </w:r>
          </w:p>
          <w:p w:rsidR="00201753" w:rsidRPr="00552A36" w:rsidRDefault="00201753" w:rsidP="0086242F">
            <w:pPr>
              <w:pStyle w:val="NoSpacing"/>
              <w:rPr>
                <w:rFonts w:cs="Arial"/>
                <w:szCs w:val="20"/>
              </w:rPr>
            </w:pPr>
            <w:r w:rsidRPr="00552A36">
              <w:rPr>
                <w:rFonts w:cs="Arial"/>
                <w:szCs w:val="20"/>
              </w:rPr>
              <w:t>Serious Stable</w:t>
            </w:r>
            <w:r>
              <w:rPr>
                <w:rFonts w:cs="Arial"/>
                <w:szCs w:val="20"/>
              </w:rPr>
              <w:t>*male</w:t>
            </w:r>
            <w:r w:rsidRPr="00552A36">
              <w:rPr>
                <w:rFonts w:cs="Arial"/>
                <w:szCs w:val="20"/>
              </w:rPr>
              <w:t>: 2.52(1.20,5.28)</w:t>
            </w:r>
          </w:p>
          <w:p w:rsidR="00201753" w:rsidRPr="00552A36" w:rsidRDefault="00201753" w:rsidP="0086242F">
            <w:pPr>
              <w:pStyle w:val="NoSpacing"/>
              <w:rPr>
                <w:rFonts w:cs="Arial"/>
                <w:szCs w:val="20"/>
              </w:rPr>
            </w:pPr>
            <w:r w:rsidRPr="00552A36">
              <w:rPr>
                <w:rFonts w:cs="Arial"/>
                <w:szCs w:val="20"/>
              </w:rPr>
              <w:t>Escalators</w:t>
            </w:r>
            <w:r>
              <w:rPr>
                <w:rFonts w:cs="Arial"/>
                <w:szCs w:val="20"/>
              </w:rPr>
              <w:t>*male</w:t>
            </w:r>
            <w:r w:rsidRPr="00552A36">
              <w:rPr>
                <w:rFonts w:cs="Arial"/>
                <w:szCs w:val="20"/>
              </w:rPr>
              <w:t>: 0.89(0.53,1.52)</w:t>
            </w:r>
          </w:p>
          <w:p w:rsidR="00201753" w:rsidRPr="00552A36" w:rsidRDefault="00201753" w:rsidP="0086242F">
            <w:pPr>
              <w:pStyle w:val="NoSpacing"/>
              <w:rPr>
                <w:rFonts w:cs="Arial"/>
                <w:szCs w:val="20"/>
              </w:rPr>
            </w:pPr>
            <w:r w:rsidRPr="00552A36">
              <w:rPr>
                <w:rFonts w:cs="Arial"/>
                <w:szCs w:val="20"/>
              </w:rPr>
              <w:t>De-Escalators</w:t>
            </w:r>
            <w:r>
              <w:rPr>
                <w:rFonts w:cs="Arial"/>
                <w:szCs w:val="20"/>
              </w:rPr>
              <w:t>*male</w:t>
            </w:r>
            <w:r w:rsidRPr="00552A36">
              <w:rPr>
                <w:rFonts w:cs="Arial"/>
                <w:szCs w:val="20"/>
              </w:rPr>
              <w:t>: 1.19(0.83,1.72)</w:t>
            </w:r>
          </w:p>
          <w:p w:rsidR="00201753" w:rsidRPr="00552A36" w:rsidRDefault="00201753" w:rsidP="0086242F">
            <w:pPr>
              <w:pStyle w:val="NoSpacing"/>
              <w:rPr>
                <w:rFonts w:cs="Arial"/>
                <w:szCs w:val="20"/>
              </w:rPr>
            </w:pPr>
          </w:p>
        </w:tc>
        <w:tc>
          <w:tcPr>
            <w:tcW w:w="737" w:type="dxa"/>
            <w:vAlign w:val="center"/>
          </w:tcPr>
          <w:p w:rsidR="00201753" w:rsidRPr="00552A36" w:rsidRDefault="00201753" w:rsidP="0086242F">
            <w:pPr>
              <w:pStyle w:val="NoSpacing"/>
              <w:rPr>
                <w:rFonts w:cs="Arial"/>
                <w:szCs w:val="20"/>
              </w:rPr>
            </w:pPr>
            <w:r w:rsidRPr="00552A36">
              <w:rPr>
                <w:rFonts w:cs="Arial"/>
                <w:szCs w:val="20"/>
              </w:rPr>
              <w:t>Yes</w:t>
            </w:r>
          </w:p>
        </w:tc>
        <w:tc>
          <w:tcPr>
            <w:tcW w:w="1020" w:type="dxa"/>
            <w:vAlign w:val="center"/>
          </w:tcPr>
          <w:p w:rsidR="00201753" w:rsidRPr="00552A36" w:rsidRDefault="00201753" w:rsidP="0086242F">
            <w:pPr>
              <w:pStyle w:val="NoSpacing"/>
              <w:rPr>
                <w:rFonts w:cs="Arial"/>
                <w:szCs w:val="20"/>
              </w:rPr>
            </w:pPr>
            <w:r w:rsidRPr="00552A36">
              <w:rPr>
                <w:rFonts w:cs="Arial"/>
                <w:szCs w:val="20"/>
              </w:rPr>
              <w:t xml:space="preserve">Logistic </w:t>
            </w:r>
            <w:proofErr w:type="spellStart"/>
            <w:r w:rsidRPr="00552A36">
              <w:rPr>
                <w:rFonts w:cs="Arial"/>
                <w:szCs w:val="20"/>
              </w:rPr>
              <w:t>reg</w:t>
            </w:r>
            <w:proofErr w:type="spellEnd"/>
          </w:p>
        </w:tc>
        <w:tc>
          <w:tcPr>
            <w:tcW w:w="3969" w:type="dxa"/>
            <w:vAlign w:val="center"/>
          </w:tcPr>
          <w:p w:rsidR="00201753" w:rsidRPr="00552A36" w:rsidRDefault="00201753" w:rsidP="0086242F">
            <w:pPr>
              <w:pStyle w:val="NoSpacing"/>
              <w:rPr>
                <w:rFonts w:cs="Arial"/>
                <w:szCs w:val="20"/>
              </w:rPr>
            </w:pPr>
            <w:r w:rsidRPr="00552A36">
              <w:rPr>
                <w:rFonts w:cs="Arial"/>
                <w:szCs w:val="20"/>
              </w:rPr>
              <w:t>Sex, adolescents’ age as indicated by grade, race/ethnicity (dummy coded with ‘White’ as the reference group), and poverty status</w:t>
            </w:r>
          </w:p>
        </w:tc>
        <w:tc>
          <w:tcPr>
            <w:tcW w:w="454" w:type="dxa"/>
            <w:vAlign w:val="center"/>
          </w:tcPr>
          <w:p w:rsidR="00201753" w:rsidRPr="00552A36" w:rsidRDefault="00201753" w:rsidP="0086242F">
            <w:pPr>
              <w:pStyle w:val="NoSpacing"/>
              <w:rPr>
                <w:rFonts w:cs="Arial"/>
                <w:szCs w:val="20"/>
              </w:rPr>
            </w:pPr>
            <w:r w:rsidRPr="00552A36">
              <w:rPr>
                <w:rFonts w:cs="Arial"/>
                <w:szCs w:val="20"/>
              </w:rPr>
              <w:t>5</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t>Jun et al.</w:t>
            </w:r>
          </w:p>
          <w:p w:rsidR="00201753" w:rsidRPr="00552A36" w:rsidRDefault="00201753" w:rsidP="0086242F">
            <w:pPr>
              <w:pStyle w:val="NoSpacing"/>
              <w:rPr>
                <w:rFonts w:cs="Arial"/>
                <w:szCs w:val="20"/>
              </w:rPr>
            </w:pPr>
            <w:r w:rsidRPr="00552A36">
              <w:rPr>
                <w:rFonts w:cs="Arial"/>
                <w:szCs w:val="20"/>
              </w:rPr>
              <w:t>(2015)</w:t>
            </w:r>
            <w:r w:rsidRPr="00552A36">
              <w:rPr>
                <w:rFonts w:cs="Arial"/>
                <w:szCs w:val="20"/>
              </w:rPr>
              <w:fldChar w:fldCharType="begin"/>
            </w:r>
            <w:r>
              <w:rPr>
                <w:rFonts w:cs="Arial"/>
                <w:szCs w:val="20"/>
              </w:rPr>
              <w:instrText xml:space="preserve"> ADDIN ZOTERO_ITEM CSL_CITATION {"citationID":"zjUgmmWH","properties":{"formattedCitation":"[11]","plainCitation":"[11]","noteIndex":0},"citationItems":[{"id":28,"uris":["http://zotero.org/users/3535616/items/2WSU8JKT"],"uri":["http://zotero.org/users/3535616/items/2WSU8JKT"],"itemData":{"id":28,"type":"article-journal","title":"Relations among internalizing and externalizing symptoms and drinking frequency during adolescence","container-title":"Substance Use &amp; Misuse","page":"1814-1825","volume":"50","issue":"14","abstract":"Background: In adolescence, internalizing (e.g., anxious, depressive, and withdrawn) and externalizing (e.g., aggressive, oppositional, delinquent, and hyperactive) symptoms are related with alcohol use. However, the directionality among internalizing symptoms, externalizing symptoms, and alcohol use during adolescence is equivocal. Moreover, gender differences and similarities among these behaviors are not definitive in existing literature. Objectives: This study examined longitudinal relationships between internalizing and externalizing symptoms and past-month alcohol use among adolescent boys and girls. Methods: Using longitudinal survey data from a study of community-dwelling adolescents (n = 724), we estimated cross-lagged structural equation models to test relations between internalizing and externalizing symptoms (as measured by the Youth Self Report, YSR [Achenbach, 1991]) and self-report alcohol use in the past month among adolescents. Gender differences were tested in a multiple group structural equation model. Results: Alcohol use at age 12 was a predictor of internalizing and externalizing symptoms at age 15 for both boys and girls. With regard to gender differences, girls demonstrated an association between internalizing symptoms and drinking at age 12, whereas boys showed a stronger association between externalizing symptoms and drinking at age 18. Conclusions/Importance: Early alcohol use is problematic for youth, and results of this study lend support to prevention programs for youth. Preventing or curbing early drinking may offset later externalizing and internalizing symptoms, as well as ongoing alcohol use, regardless of gender. (PsycINFO Database Record (c) 2016 APA, all rights reserved)","ISSN":"1082-6084","author":[{"literal":"Jun Hyun-Jin"},{"literal":"Sacco Paul"},{"literal":"Bright Charlotte Lyn"},{"literal":"Camlin Elizabeth A. S"}],"issued":{"date-parts":[["2015"]]}}}],"schema":"https://github.com/citation-style-language/schema/raw/master/csl-citation.json"} </w:instrText>
            </w:r>
            <w:r w:rsidRPr="00552A36">
              <w:rPr>
                <w:rFonts w:cs="Arial"/>
                <w:szCs w:val="20"/>
              </w:rPr>
              <w:fldChar w:fldCharType="separate"/>
            </w:r>
            <w:r w:rsidRPr="005D70E3">
              <w:rPr>
                <w:rFonts w:cs="Arial"/>
              </w:rPr>
              <w:t>[11]</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EXT(15)-AC(18)</w:t>
            </w:r>
          </w:p>
        </w:tc>
        <w:tc>
          <w:tcPr>
            <w:tcW w:w="3912" w:type="dxa"/>
            <w:vAlign w:val="center"/>
          </w:tcPr>
          <w:p w:rsidR="00201753" w:rsidRDefault="00201753" w:rsidP="0086242F">
            <w:pPr>
              <w:pStyle w:val="NoSpacing"/>
              <w:rPr>
                <w:rFonts w:cs="Arial"/>
                <w:szCs w:val="20"/>
              </w:rPr>
            </w:pPr>
            <w:r w:rsidRPr="00552A36">
              <w:rPr>
                <w:rFonts w:cs="Arial"/>
                <w:szCs w:val="20"/>
              </w:rPr>
              <w:t>No association</w:t>
            </w:r>
            <w:r>
              <w:rPr>
                <w:rFonts w:cs="Arial"/>
                <w:szCs w:val="20"/>
              </w:rPr>
              <w:t xml:space="preserve"> for male</w:t>
            </w:r>
            <w:r w:rsidRPr="00552A36">
              <w:rPr>
                <w:rFonts w:cs="Arial"/>
                <w:szCs w:val="20"/>
              </w:rPr>
              <w:t xml:space="preserve">, coefficient </w:t>
            </w:r>
            <w:r>
              <w:rPr>
                <w:rFonts w:cs="Arial"/>
                <w:szCs w:val="20"/>
              </w:rPr>
              <w:t>NR</w:t>
            </w:r>
          </w:p>
          <w:p w:rsidR="00201753" w:rsidRPr="00552A36" w:rsidRDefault="00201753" w:rsidP="0086242F">
            <w:pPr>
              <w:pStyle w:val="NoSpacing"/>
              <w:rPr>
                <w:rFonts w:cs="Arial"/>
                <w:szCs w:val="20"/>
              </w:rPr>
            </w:pPr>
            <w:r w:rsidRPr="00552A36">
              <w:rPr>
                <w:rFonts w:cs="Arial"/>
                <w:szCs w:val="20"/>
              </w:rPr>
              <w:t>No association</w:t>
            </w:r>
            <w:r>
              <w:rPr>
                <w:rFonts w:cs="Arial"/>
                <w:szCs w:val="20"/>
              </w:rPr>
              <w:t xml:space="preserve"> for female</w:t>
            </w:r>
            <w:r w:rsidRPr="00552A36">
              <w:rPr>
                <w:rFonts w:cs="Arial"/>
                <w:szCs w:val="20"/>
              </w:rPr>
              <w:t xml:space="preserve">, coefficient </w:t>
            </w:r>
            <w:r>
              <w:rPr>
                <w:rFonts w:cs="Arial"/>
                <w:szCs w:val="20"/>
              </w:rPr>
              <w:t>NR</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Cross-lagged</w:t>
            </w:r>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Race/ethnicity of subjects, and salary and educational level of primary caregivers</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3</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INT(15)-AC(18)</w:t>
            </w:r>
          </w:p>
        </w:tc>
        <w:tc>
          <w:tcPr>
            <w:tcW w:w="3912" w:type="dxa"/>
            <w:vAlign w:val="center"/>
          </w:tcPr>
          <w:p w:rsidR="00201753" w:rsidRDefault="00201753" w:rsidP="0086242F">
            <w:pPr>
              <w:pStyle w:val="NoSpacing"/>
              <w:rPr>
                <w:rFonts w:cs="Arial"/>
                <w:szCs w:val="20"/>
              </w:rPr>
            </w:pPr>
            <w:r w:rsidRPr="00552A36">
              <w:rPr>
                <w:rFonts w:cs="Arial"/>
                <w:szCs w:val="20"/>
              </w:rPr>
              <w:t>No association</w:t>
            </w:r>
            <w:r>
              <w:rPr>
                <w:rFonts w:cs="Arial"/>
                <w:szCs w:val="20"/>
              </w:rPr>
              <w:t xml:space="preserve"> for male</w:t>
            </w:r>
            <w:r w:rsidRPr="00552A36">
              <w:rPr>
                <w:rFonts w:cs="Arial"/>
                <w:szCs w:val="20"/>
              </w:rPr>
              <w:t xml:space="preserve">, coefficient </w:t>
            </w:r>
            <w:r>
              <w:rPr>
                <w:rFonts w:cs="Arial"/>
                <w:szCs w:val="20"/>
              </w:rPr>
              <w:t>NR</w:t>
            </w:r>
          </w:p>
          <w:p w:rsidR="00201753" w:rsidRPr="00552A36" w:rsidRDefault="00201753" w:rsidP="0086242F">
            <w:pPr>
              <w:pStyle w:val="NoSpacing"/>
              <w:rPr>
                <w:rFonts w:cs="Arial"/>
                <w:szCs w:val="20"/>
              </w:rPr>
            </w:pPr>
            <w:r w:rsidRPr="00552A36">
              <w:rPr>
                <w:rFonts w:cs="Arial"/>
                <w:szCs w:val="20"/>
              </w:rPr>
              <w:t>No association</w:t>
            </w:r>
            <w:r>
              <w:rPr>
                <w:rFonts w:cs="Arial"/>
                <w:szCs w:val="20"/>
              </w:rPr>
              <w:t xml:space="preserve"> for female</w:t>
            </w:r>
            <w:r w:rsidRPr="00552A36">
              <w:rPr>
                <w:rFonts w:cs="Arial"/>
                <w:szCs w:val="20"/>
              </w:rPr>
              <w:t xml:space="preserve">, coefficient </w:t>
            </w:r>
            <w:r>
              <w:rPr>
                <w:rFonts w:cs="Arial"/>
                <w:szCs w:val="20"/>
              </w:rPr>
              <w:t>NR</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roofErr w:type="spellStart"/>
            <w:r w:rsidRPr="00552A36">
              <w:rPr>
                <w:rFonts w:cs="Arial"/>
                <w:szCs w:val="20"/>
              </w:rPr>
              <w:t>Pesola</w:t>
            </w:r>
            <w:proofErr w:type="spellEnd"/>
            <w:r w:rsidRPr="00552A36">
              <w:rPr>
                <w:rFonts w:cs="Arial"/>
                <w:szCs w:val="20"/>
              </w:rPr>
              <w:t xml:space="preserve"> et al. (2015)</w:t>
            </w:r>
            <w:r w:rsidRPr="00552A36">
              <w:rPr>
                <w:rFonts w:cs="Arial"/>
                <w:szCs w:val="20"/>
              </w:rPr>
              <w:fldChar w:fldCharType="begin"/>
            </w:r>
            <w:r>
              <w:rPr>
                <w:rFonts w:cs="Arial"/>
                <w:szCs w:val="20"/>
              </w:rPr>
              <w:instrText xml:space="preserve"> ADDIN ZOTERO_ITEM CSL_CITATION {"citationID":"Od6Yyruf","properties":{"formattedCitation":"[12]","plainCitation":"[12]","noteIndex":0},"citationItems":[{"id":597,"uris":["http://zotero.org/users/3535616/items/PXGGMGMH"],"uri":["http://zotero.org/users/3535616/items/PXGGMGMH"],"itemData":{"id":597,"type":"article-journal","title":"The developmental relationship between depressive symptoms in adolescence and harmful drinking in emerging adulthood: The role of peers and parents","container-title":"Journal of Youth and Adolescence","page":"1752-1766","volume":"44","issue":"9","abstract":"Depressive symptoms have been linked to the development of harmful drinking in adolescence but it remains unclear to what extent this effect continues into emerging adulthood. Deviant peers represent a risk factor while parental monitoring is a protective factor for harmful drinking. The study explored the relationship between depressive symptoms and harmful drinking between early adolescence and emerging adulthood. We also assessed to what extent this relationship is mediated by the influence of deviant peers and whether parental monitoring weakens this process. The sample consisted of 2964 adolescents (64 % females) from the Avon Longitudinal Study of Parents and Children study assessed between the ages of 14 and 19. Using structural equation modelling, we found that affiliation with deviant peers mediated the association between depressive symptoms and harmful drinking after adjustment for socio-demographic variables, parental drinking and depression, teenager's sex, conduct problems as well as drinking and depressive symptoms in early adolescence. We also found that parental control and solicitation reduced the influence of deviant peers on harmful drinking. The results indicate that prevention programs should offer adolescents training for peer resistance training and monitoring skills training for parents may have a long-term effect at weakening peer influences on harmful drinking. (PsycINFO Database Record (c) 2016 APA, all rights reserved)","ISSN":"0047-2891","author":[{"literal":"Pesola Francesca"},{"literal":"Shelton Katherine H"},{"literal":"Heron Jon"},{"literal":"Munafo Marcus"},{"literal":"Hickman Matthew"},{"literal":"van den Bree"},{"literal":"Marianne B M"}],"issued":{"date-parts":[["2015"]]}}}],"schema":"https://github.com/citation-style-language/schema/raw/master/csl-citation.json"} </w:instrText>
            </w:r>
            <w:r w:rsidRPr="00552A36">
              <w:rPr>
                <w:rFonts w:cs="Arial"/>
                <w:szCs w:val="20"/>
              </w:rPr>
              <w:fldChar w:fldCharType="separate"/>
            </w:r>
            <w:r w:rsidRPr="005D70E3">
              <w:rPr>
                <w:rFonts w:cs="Arial"/>
              </w:rPr>
              <w:t>[12]</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DEP(14)- H/P Drinking (19)</w:t>
            </w:r>
          </w:p>
        </w:tc>
        <w:tc>
          <w:tcPr>
            <w:tcW w:w="3912" w:type="dxa"/>
            <w:vAlign w:val="center"/>
          </w:tcPr>
          <w:p w:rsidR="00201753" w:rsidRPr="00552A36" w:rsidRDefault="00201753" w:rsidP="0086242F">
            <w:pPr>
              <w:pStyle w:val="NoSpacing"/>
              <w:rPr>
                <w:rFonts w:cs="Arial"/>
                <w:szCs w:val="20"/>
              </w:rPr>
            </w:pPr>
            <w:r w:rsidRPr="00552A36">
              <w:rPr>
                <w:rFonts w:cs="Arial"/>
                <w:szCs w:val="20"/>
              </w:rPr>
              <w:t>0.049 (0,0.098)</w:t>
            </w:r>
          </w:p>
        </w:tc>
        <w:tc>
          <w:tcPr>
            <w:tcW w:w="737" w:type="dxa"/>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Align w:val="center"/>
          </w:tcPr>
          <w:p w:rsidR="00201753" w:rsidRPr="00552A36" w:rsidRDefault="00201753" w:rsidP="0086242F">
            <w:pPr>
              <w:pStyle w:val="NoSpacing"/>
              <w:rPr>
                <w:rFonts w:cs="Arial"/>
                <w:szCs w:val="20"/>
              </w:rPr>
            </w:pPr>
            <w:r w:rsidRPr="00552A36">
              <w:rPr>
                <w:rFonts w:cs="Arial"/>
                <w:szCs w:val="20"/>
              </w:rPr>
              <w:t>SEM</w:t>
            </w:r>
          </w:p>
        </w:tc>
        <w:tc>
          <w:tcPr>
            <w:tcW w:w="3969" w:type="dxa"/>
            <w:vAlign w:val="center"/>
          </w:tcPr>
          <w:p w:rsidR="00201753" w:rsidRPr="00552A36" w:rsidRDefault="00201753" w:rsidP="0086242F">
            <w:pPr>
              <w:pStyle w:val="NoSpacing"/>
              <w:rPr>
                <w:rFonts w:cs="Arial"/>
                <w:szCs w:val="20"/>
              </w:rPr>
            </w:pPr>
            <w:r w:rsidRPr="00552A36">
              <w:rPr>
                <w:rFonts w:cs="Arial"/>
                <w:szCs w:val="20"/>
              </w:rPr>
              <w:t>Sex, financial difficulties, family education level, parents’ alcohol consumption, and parents’ depression, SDQ conducting problem, earlier deviant peers at 13, earlier alcohol use at 13</w:t>
            </w:r>
          </w:p>
        </w:tc>
        <w:tc>
          <w:tcPr>
            <w:tcW w:w="454" w:type="dxa"/>
            <w:vAlign w:val="center"/>
          </w:tcPr>
          <w:p w:rsidR="00201753" w:rsidRPr="00552A36" w:rsidRDefault="00201753" w:rsidP="0086242F">
            <w:pPr>
              <w:pStyle w:val="NoSpacing"/>
              <w:rPr>
                <w:rFonts w:cs="Arial"/>
                <w:szCs w:val="20"/>
              </w:rPr>
            </w:pPr>
            <w:r w:rsidRPr="00552A36">
              <w:rPr>
                <w:rFonts w:cs="Arial"/>
                <w:szCs w:val="20"/>
              </w:rPr>
              <w:t>5</w:t>
            </w:r>
          </w:p>
        </w:tc>
      </w:tr>
      <w:tr w:rsidR="00201753" w:rsidRPr="00552A36" w:rsidTr="0086242F">
        <w:trPr>
          <w:trHeight w:val="753"/>
          <w:jc w:val="center"/>
        </w:trPr>
        <w:tc>
          <w:tcPr>
            <w:tcW w:w="1417" w:type="dxa"/>
            <w:vMerge w:val="restart"/>
            <w:vAlign w:val="center"/>
          </w:tcPr>
          <w:p w:rsidR="00201753" w:rsidRPr="00552A36" w:rsidRDefault="00201753" w:rsidP="0086242F">
            <w:pPr>
              <w:pStyle w:val="NoSpacing"/>
              <w:rPr>
                <w:rFonts w:cs="Arial"/>
                <w:szCs w:val="20"/>
              </w:rPr>
            </w:pPr>
            <w:r w:rsidRPr="00552A36">
              <w:rPr>
                <w:rFonts w:cs="Arial"/>
                <w:szCs w:val="20"/>
              </w:rPr>
              <w:t>Thompson et al. (2016)</w:t>
            </w:r>
            <w:r w:rsidRPr="00552A36">
              <w:rPr>
                <w:rFonts w:cs="Arial"/>
                <w:szCs w:val="20"/>
              </w:rPr>
              <w:fldChar w:fldCharType="begin"/>
            </w:r>
            <w:r>
              <w:rPr>
                <w:rFonts w:cs="Arial"/>
                <w:szCs w:val="20"/>
              </w:rPr>
              <w:instrText xml:space="preserve"> ADDIN ZOTERO_ITEM CSL_CITATION {"citationID":"a1e8ohockl5","properties":{"formattedCitation":"[13]","plainCitation":"[13]","noteIndex":0},"citationItems":[{"id":2204,"uris":["http://zotero.org/users/3535616/items/84R6BK3Z"],"uri":["http://zotero.org/users/3535616/items/84R6BK3Z"],"itemData":{"id":2204,"type":"article-journal","title":"Reciprocal effects of internalizing and oppositional defiance symptoms on heavy drinking and alcohol-related harms in young adulthood","container-title":"Substance Abuse: Research and Treatment","page":"21-31","volume":"9","issue":"Suppl 1","source":"PubMed Central","abstract":"There is a need for longitudinal research to understand how psychopathology relates to the onset and maintenance of substance use from adolescence into young adulthood. Hence, we investigate the longitudinal, reciprocal influences of internalizing (anxiety and depression) and externalizing (oppositional defiance) symptoms on heavy episodic drinking (HED; ≥5 drinks per occasion) and alcohol-related harms in a community-based sample of youth aged 12–27 years. Participants were chosen from the Victoria Healthy Youth Survey, followed six times, biennially between 2003 and 2013 (N = 662). Analyses used cross-lagged panel models to examine reciprocal relations over time. Differences across age and sex were also tested. Defiance symptoms predicted increases in HED, which reciprocally predicted increases in defiance symptoms for females. Internalizing symptoms were related to HED within time for females. Alcohol-related harms had reciprocal positive associations with internalizing and defiance symptoms for both males and females. Associations were largely invariant across age groups, suggesting that the presence and strength of associations persisted across development. While psychopathology preceded the onset of HED and harms, the overall findings suggest that these risk processes are mutually reinforcing across development and that youth may become entrenched in an interdependent cycle that significantly increases their risk of comorbid disorders in adulthood.","DOI":"10.4137/SART.S33928","ISSN":"1178-2218","note":"PMID: 26819553\nPMCID: PMC4723048","journalAbbreviation":"Subst Abuse","author":[{"family":"Thompson","given":"Kara D."},{"family":"Leadbeater","given":"Bonnie J."},{"family":"Ames","given":"Megan E."}],"issued":{"date-parts":[["2016",1,21]]}}}],"schema":"https://github.com/citation-style-language/schema/raw/master/csl-citation.json"} </w:instrText>
            </w:r>
            <w:r w:rsidRPr="00552A36">
              <w:rPr>
                <w:rFonts w:cs="Arial"/>
                <w:szCs w:val="20"/>
              </w:rPr>
              <w:fldChar w:fldCharType="separate"/>
            </w:r>
            <w:r w:rsidRPr="005D70E3">
              <w:rPr>
                <w:rFonts w:cs="Arial"/>
              </w:rPr>
              <w:t>[13]</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EXT(16/17)-</w:t>
            </w:r>
          </w:p>
          <w:p w:rsidR="00201753" w:rsidRPr="00552A36" w:rsidRDefault="00201753" w:rsidP="0086242F">
            <w:pPr>
              <w:pStyle w:val="NoSpacing"/>
              <w:rPr>
                <w:rFonts w:cs="Arial"/>
                <w:szCs w:val="20"/>
              </w:rPr>
            </w:pPr>
            <w:r w:rsidRPr="00552A36">
              <w:rPr>
                <w:rFonts w:cs="Arial"/>
                <w:szCs w:val="20"/>
              </w:rPr>
              <w:t>H/P Drinking(HD)(18/19)</w:t>
            </w:r>
          </w:p>
        </w:tc>
        <w:tc>
          <w:tcPr>
            <w:tcW w:w="3912" w:type="dxa"/>
            <w:vAlign w:val="center"/>
          </w:tcPr>
          <w:p w:rsidR="00201753" w:rsidRPr="00552A36" w:rsidRDefault="00201753" w:rsidP="0086242F">
            <w:pPr>
              <w:pStyle w:val="NoSpacing"/>
              <w:rPr>
                <w:rFonts w:cs="Arial"/>
                <w:szCs w:val="20"/>
              </w:rPr>
            </w:pPr>
            <w:r w:rsidRPr="00552A36">
              <w:rPr>
                <w:rFonts w:cs="Arial"/>
                <w:szCs w:val="20"/>
              </w:rPr>
              <w:t>0.08,p&lt;0.001</w:t>
            </w:r>
          </w:p>
          <w:p w:rsidR="00201753" w:rsidRPr="00552A36" w:rsidRDefault="00201753" w:rsidP="0086242F">
            <w:pPr>
              <w:pStyle w:val="NoSpacing"/>
              <w:rPr>
                <w:rFonts w:cs="Arial"/>
                <w:szCs w:val="20"/>
              </w:rPr>
            </w:pP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Cross-lagged</w:t>
            </w:r>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Sex, mother’s education</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3</w:t>
            </w:r>
          </w:p>
        </w:tc>
      </w:tr>
      <w:tr w:rsidR="00201753" w:rsidRPr="00552A36" w:rsidTr="0086242F">
        <w:trPr>
          <w:trHeight w:val="75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EXT(16/17)-</w:t>
            </w:r>
          </w:p>
          <w:p w:rsidR="00201753" w:rsidRPr="00552A36" w:rsidRDefault="00201753" w:rsidP="0086242F">
            <w:pPr>
              <w:pStyle w:val="NoSpacing"/>
              <w:rPr>
                <w:rFonts w:cs="Arial"/>
                <w:szCs w:val="20"/>
              </w:rPr>
            </w:pPr>
            <w:r w:rsidRPr="00552A36">
              <w:rPr>
                <w:rFonts w:cs="Arial"/>
                <w:szCs w:val="20"/>
              </w:rPr>
              <w:t>H/P Drinking (PD)(18/19)</w:t>
            </w:r>
          </w:p>
        </w:tc>
        <w:tc>
          <w:tcPr>
            <w:tcW w:w="3912" w:type="dxa"/>
            <w:vAlign w:val="center"/>
          </w:tcPr>
          <w:p w:rsidR="00201753" w:rsidRPr="00552A36" w:rsidRDefault="00201753" w:rsidP="0086242F">
            <w:pPr>
              <w:pStyle w:val="NoSpacing"/>
              <w:rPr>
                <w:rFonts w:cs="Arial"/>
                <w:szCs w:val="20"/>
              </w:rPr>
            </w:pPr>
            <w:r w:rsidRPr="00552A36">
              <w:rPr>
                <w:rFonts w:cs="Arial"/>
                <w:szCs w:val="20"/>
              </w:rPr>
              <w:t>0.10, p&lt;0.001</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75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INT(16/17)-</w:t>
            </w:r>
          </w:p>
          <w:p w:rsidR="00201753" w:rsidRPr="00552A36" w:rsidRDefault="00201753" w:rsidP="0086242F">
            <w:pPr>
              <w:pStyle w:val="NoSpacing"/>
              <w:rPr>
                <w:rFonts w:cs="Arial"/>
                <w:szCs w:val="20"/>
              </w:rPr>
            </w:pPr>
            <w:r w:rsidRPr="00552A36">
              <w:rPr>
                <w:rFonts w:cs="Arial"/>
                <w:szCs w:val="20"/>
              </w:rPr>
              <w:t>H/P Drinking (HD)(18/19)</w:t>
            </w:r>
          </w:p>
        </w:tc>
        <w:tc>
          <w:tcPr>
            <w:tcW w:w="3912" w:type="dxa"/>
            <w:vAlign w:val="center"/>
          </w:tcPr>
          <w:p w:rsidR="00201753" w:rsidRPr="00552A36" w:rsidRDefault="00201753" w:rsidP="0086242F">
            <w:pPr>
              <w:pStyle w:val="NoSpacing"/>
              <w:rPr>
                <w:rFonts w:cs="Arial"/>
                <w:szCs w:val="20"/>
              </w:rPr>
            </w:pPr>
            <w:r w:rsidRPr="00552A36">
              <w:rPr>
                <w:rFonts w:cs="Arial"/>
                <w:szCs w:val="20"/>
              </w:rPr>
              <w:t>No association, NR</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75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INT(16/17)-</w:t>
            </w:r>
          </w:p>
          <w:p w:rsidR="00201753" w:rsidRPr="00552A36" w:rsidRDefault="00201753" w:rsidP="0086242F">
            <w:pPr>
              <w:pStyle w:val="NoSpacing"/>
              <w:rPr>
                <w:rFonts w:cs="Arial"/>
                <w:szCs w:val="20"/>
              </w:rPr>
            </w:pPr>
            <w:r w:rsidRPr="00552A36">
              <w:rPr>
                <w:rFonts w:cs="Arial"/>
                <w:szCs w:val="20"/>
              </w:rPr>
              <w:t>H/P Drinking (PD)(18/19)</w:t>
            </w:r>
          </w:p>
        </w:tc>
        <w:tc>
          <w:tcPr>
            <w:tcW w:w="3912" w:type="dxa"/>
            <w:vAlign w:val="center"/>
          </w:tcPr>
          <w:p w:rsidR="00201753" w:rsidRPr="00552A36" w:rsidRDefault="00201753" w:rsidP="0086242F">
            <w:pPr>
              <w:pStyle w:val="NoSpacing"/>
              <w:rPr>
                <w:rFonts w:cs="Arial"/>
                <w:szCs w:val="20"/>
              </w:rPr>
            </w:pPr>
            <w:r w:rsidRPr="00552A36">
              <w:rPr>
                <w:rFonts w:cs="Arial"/>
                <w:szCs w:val="20"/>
              </w:rPr>
              <w:t>0.10,p&lt;0.001</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r w:rsidRPr="00552A36">
              <w:rPr>
                <w:rFonts w:cs="Arial"/>
                <w:szCs w:val="20"/>
              </w:rPr>
              <w:t>Virtanen et al.(2015)</w:t>
            </w:r>
            <w:r w:rsidRPr="00552A36">
              <w:rPr>
                <w:rFonts w:cs="Arial"/>
                <w:szCs w:val="20"/>
              </w:rPr>
              <w:fldChar w:fldCharType="begin"/>
            </w:r>
            <w:r>
              <w:rPr>
                <w:rFonts w:cs="Arial"/>
                <w:szCs w:val="20"/>
              </w:rPr>
              <w:instrText xml:space="preserve"> ADDIN ZOTERO_ITEM CSL_CITATION {"citationID":"aahu10gp5m","properties":{"formattedCitation":"[14]","plainCitation":"[14]","noteIndex":0},"citationItems":[{"id":16,"uris":["http://zotero.org/users/3535616/items/2HPQI89S"],"uri":["http://zotero.org/users/3535616/items/2HPQI89S"],"itemData":{"id":16,"type":"article-journal","title":"Mental health in adolescence as determinant of alcohol consumption trajectories in the Northern Swedish Cohort","container-title":"International Journal of Public Health","page":"335-342","volume":"60","issue":"3","source":"link.springer.com","abstract":"ObjectivesThe study aimed to analyze whether poor mental health in adolescence predicts heavy alcohol consumption over the long term.MethodsAlcohol consumption in the population cohort (n = 1010) was surveyed at the ages of 16, 18, 21, 30 and 42. Utilizing latent class growth analysis, six consumption trajectories ranging from ‘Late Onset Low’ to ‘Early Onset High’ were defined and analyzed with respect to internalization (depressiveness and anxiousness) and externalization (truancy and vandalism) at age 16.ResultsPoor mental health predicted the Early Onset High trajectory (risk ratios in relation to the compliant trajectory 3.59 for anxiousness, 2.85 for depressiveness, 5.69 for truancy and 7.75 for externalized vandalism). Moreover, significant associations were found for the Early Onset Moderate and Early Onset Low trajectories.ConclusionsThis is the first study to show an association between internalized mental health problems in adolescence and lifelong heavy drinking. The study also confirmed a strong association between externalized behavior and heavy drinking, indicating a need of preventive measures in this group. Nevertheless, the analyses demonstrated that most teenagers with mental health problems continue along a reasonable drinking trajectory.","DOI":"10.1007/s00038-015-0651-5","ISSN":"1661-8556, 1661-8564","journalAbbreviation":"Int J Public Health","language":"en","author":[{"family":"Virtanen","given":"Pekka"},{"family":"Nummi","given":"Tapio"},{"family":"Lintonen","given":"Tomi"},{"family":"Westerlund","given":"Hugo"},{"family":"Hägglöf","given":"Bruno"},{"family":"Hammarström","given":"Anne"}],"issued":{"date-parts":[["2015",3,1]]}}}],"schema":"https://github.com/citation-style-language/schema/raw/master/csl-citation.json"} </w:instrText>
            </w:r>
            <w:r w:rsidRPr="00552A36">
              <w:rPr>
                <w:rFonts w:cs="Arial"/>
                <w:szCs w:val="20"/>
              </w:rPr>
              <w:fldChar w:fldCharType="separate"/>
            </w:r>
            <w:r w:rsidRPr="005D70E3">
              <w:rPr>
                <w:rFonts w:cs="Arial"/>
              </w:rPr>
              <w:t>[14]</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DEP(16)-AC(16~45)</w:t>
            </w:r>
          </w:p>
          <w:p w:rsidR="00201753" w:rsidRPr="00552A36" w:rsidRDefault="00201753" w:rsidP="0086242F">
            <w:pPr>
              <w:pStyle w:val="NoSpacing"/>
              <w:rPr>
                <w:rFonts w:cs="Arial"/>
                <w:szCs w:val="20"/>
              </w:rPr>
            </w:pP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Reference group: compliant group, </w:t>
            </w:r>
            <w:proofErr w:type="gramStart"/>
            <w:r w:rsidRPr="00552A36">
              <w:rPr>
                <w:rFonts w:cs="Arial"/>
                <w:szCs w:val="20"/>
              </w:rPr>
              <w:t>OR(</w:t>
            </w:r>
            <w:proofErr w:type="gramEnd"/>
            <w:r w:rsidRPr="00552A36">
              <w:rPr>
                <w:rFonts w:cs="Arial"/>
                <w:szCs w:val="20"/>
              </w:rPr>
              <w:t>95%)</w:t>
            </w:r>
          </w:p>
          <w:p w:rsidR="00201753" w:rsidRPr="00552A36" w:rsidRDefault="00201753" w:rsidP="0086242F">
            <w:pPr>
              <w:pStyle w:val="NoSpacing"/>
              <w:rPr>
                <w:rFonts w:cs="Arial"/>
                <w:szCs w:val="20"/>
              </w:rPr>
            </w:pPr>
            <w:r w:rsidRPr="00552A36">
              <w:rPr>
                <w:rFonts w:cs="Arial"/>
                <w:szCs w:val="20"/>
              </w:rPr>
              <w:t>Late onset low: 1.07(0.45,2.50)</w:t>
            </w:r>
          </w:p>
          <w:p w:rsidR="00201753" w:rsidRPr="00552A36" w:rsidRDefault="00201753" w:rsidP="0086242F">
            <w:pPr>
              <w:pStyle w:val="NoSpacing"/>
              <w:rPr>
                <w:rFonts w:cs="Arial"/>
                <w:szCs w:val="20"/>
              </w:rPr>
            </w:pPr>
            <w:r w:rsidRPr="00552A36">
              <w:rPr>
                <w:rFonts w:cs="Arial"/>
                <w:szCs w:val="20"/>
              </w:rPr>
              <w:t>Ordinary:1.41(0.74,2.72)</w:t>
            </w:r>
          </w:p>
          <w:p w:rsidR="00201753" w:rsidRPr="00552A36" w:rsidRDefault="00201753" w:rsidP="0086242F">
            <w:pPr>
              <w:pStyle w:val="NoSpacing"/>
              <w:rPr>
                <w:rFonts w:cs="Arial"/>
                <w:szCs w:val="20"/>
              </w:rPr>
            </w:pPr>
            <w:r w:rsidRPr="00552A36">
              <w:rPr>
                <w:rFonts w:cs="Arial"/>
                <w:szCs w:val="20"/>
              </w:rPr>
              <w:t>Early onset low:2.37(1.14,4.93)</w:t>
            </w:r>
          </w:p>
          <w:p w:rsidR="00201753" w:rsidRPr="00552A36" w:rsidRDefault="00201753" w:rsidP="0086242F">
            <w:pPr>
              <w:pStyle w:val="NoSpacing"/>
              <w:rPr>
                <w:rFonts w:cs="Arial"/>
                <w:szCs w:val="20"/>
              </w:rPr>
            </w:pPr>
            <w:r w:rsidRPr="00552A36">
              <w:rPr>
                <w:rFonts w:cs="Arial"/>
                <w:szCs w:val="20"/>
              </w:rPr>
              <w:t>Early onset moderate:2.46(1.31,4.64)</w:t>
            </w:r>
          </w:p>
          <w:p w:rsidR="00201753" w:rsidRPr="00552A36" w:rsidRDefault="00201753" w:rsidP="0086242F">
            <w:pPr>
              <w:pStyle w:val="NoSpacing"/>
              <w:rPr>
                <w:rFonts w:cs="Arial"/>
                <w:szCs w:val="20"/>
              </w:rPr>
            </w:pPr>
            <w:r w:rsidRPr="00552A36">
              <w:rPr>
                <w:rFonts w:cs="Arial"/>
                <w:szCs w:val="20"/>
              </w:rPr>
              <w:t>Early onset high:2.86(1.45,5.66)</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Multi-</w:t>
            </w:r>
            <w:proofErr w:type="spellStart"/>
            <w:r w:rsidRPr="00552A36">
              <w:rPr>
                <w:rFonts w:cs="Arial"/>
                <w:szCs w:val="20"/>
              </w:rPr>
              <w:t>nomial</w:t>
            </w:r>
            <w:proofErr w:type="spellEnd"/>
            <w:r w:rsidRPr="00552A36">
              <w:rPr>
                <w:rFonts w:cs="Arial"/>
                <w:szCs w:val="20"/>
              </w:rPr>
              <w:t xml:space="preserve"> logistic </w:t>
            </w:r>
            <w:proofErr w:type="spellStart"/>
            <w:r w:rsidRPr="00552A36">
              <w:rPr>
                <w:rFonts w:cs="Arial"/>
                <w:szCs w:val="20"/>
              </w:rPr>
              <w:t>reg</w:t>
            </w:r>
            <w:proofErr w:type="spellEnd"/>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Sex, parental social class</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4</w:t>
            </w: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ANX(16)-AC(16~45)</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Reference group: compliant group, </w:t>
            </w:r>
            <w:proofErr w:type="gramStart"/>
            <w:r w:rsidRPr="00552A36">
              <w:rPr>
                <w:rFonts w:cs="Arial"/>
                <w:szCs w:val="20"/>
              </w:rPr>
              <w:t>OR(</w:t>
            </w:r>
            <w:proofErr w:type="gramEnd"/>
            <w:r w:rsidRPr="00552A36">
              <w:rPr>
                <w:rFonts w:cs="Arial"/>
                <w:szCs w:val="20"/>
              </w:rPr>
              <w:t>95%)</w:t>
            </w:r>
          </w:p>
          <w:p w:rsidR="00201753" w:rsidRPr="00552A36" w:rsidRDefault="00201753" w:rsidP="0086242F">
            <w:pPr>
              <w:pStyle w:val="NoSpacing"/>
              <w:rPr>
                <w:rFonts w:cs="Arial"/>
                <w:szCs w:val="20"/>
              </w:rPr>
            </w:pPr>
            <w:r w:rsidRPr="00552A36">
              <w:rPr>
                <w:rFonts w:cs="Arial"/>
                <w:szCs w:val="20"/>
              </w:rPr>
              <w:t>Late onset low: 1.54(0.72,3.32)</w:t>
            </w:r>
          </w:p>
          <w:p w:rsidR="00201753" w:rsidRPr="00552A36" w:rsidRDefault="00201753" w:rsidP="0086242F">
            <w:pPr>
              <w:pStyle w:val="NoSpacing"/>
              <w:rPr>
                <w:rFonts w:cs="Arial"/>
                <w:szCs w:val="20"/>
              </w:rPr>
            </w:pPr>
            <w:r w:rsidRPr="00552A36">
              <w:rPr>
                <w:rFonts w:cs="Arial"/>
                <w:szCs w:val="20"/>
              </w:rPr>
              <w:t>Ordinary:1.97(1.08,3.60)</w:t>
            </w:r>
          </w:p>
          <w:p w:rsidR="00201753" w:rsidRPr="00552A36" w:rsidRDefault="00201753" w:rsidP="0086242F">
            <w:pPr>
              <w:pStyle w:val="NoSpacing"/>
              <w:rPr>
                <w:rFonts w:cs="Arial"/>
                <w:szCs w:val="20"/>
              </w:rPr>
            </w:pPr>
            <w:r w:rsidRPr="00552A36">
              <w:rPr>
                <w:rFonts w:cs="Arial"/>
                <w:szCs w:val="20"/>
              </w:rPr>
              <w:t>Early onset low:2.43(1.21,4.88)</w:t>
            </w:r>
          </w:p>
          <w:p w:rsidR="00201753" w:rsidRPr="00552A36" w:rsidRDefault="00201753" w:rsidP="0086242F">
            <w:pPr>
              <w:pStyle w:val="NoSpacing"/>
              <w:rPr>
                <w:rFonts w:cs="Arial"/>
                <w:szCs w:val="20"/>
              </w:rPr>
            </w:pPr>
            <w:r w:rsidRPr="00552A36">
              <w:rPr>
                <w:rFonts w:cs="Arial"/>
                <w:szCs w:val="20"/>
              </w:rPr>
              <w:t>Early onset moderate:2.84(1.56,5.15)</w:t>
            </w:r>
          </w:p>
          <w:p w:rsidR="00201753" w:rsidRPr="00552A36" w:rsidRDefault="00201753" w:rsidP="0086242F">
            <w:pPr>
              <w:pStyle w:val="NoSpacing"/>
              <w:rPr>
                <w:rFonts w:cs="Arial"/>
                <w:szCs w:val="20"/>
              </w:rPr>
            </w:pPr>
            <w:r w:rsidRPr="00552A36">
              <w:rPr>
                <w:rFonts w:cs="Arial"/>
                <w:szCs w:val="20"/>
              </w:rPr>
              <w:t>Early onset high:3.59(1.89,6.82)</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t>Edwards et al. (2014)</w:t>
            </w:r>
            <w:r w:rsidRPr="00552A36">
              <w:rPr>
                <w:rFonts w:cs="Arial"/>
                <w:szCs w:val="20"/>
              </w:rPr>
              <w:fldChar w:fldCharType="begin"/>
            </w:r>
            <w:r>
              <w:rPr>
                <w:rFonts w:cs="Arial"/>
                <w:szCs w:val="20"/>
              </w:rPr>
              <w:instrText xml:space="preserve"> ADDIN ZOTERO_ITEM CSL_CITATION {"citationID":"GDhJJ65H","properties":{"formattedCitation":"[15]","plainCitation":"[15]","noteIndex":0},"citationItems":[{"id":44,"uris":["http://zotero.org/users/3535616/items/3KA3D5MU"],"uri":["http://zotero.org/users/3535616/items/3KA3D5MU"],"itemData":{"id":44,"type":"article-journal","title":"The association between depressive symptoms from early to late adolescence and later use and harmful use of alcohol","container-title":"European Child and Adolescent Psychiatry","page":"1219-1230","volume":"23","issue":"12","abstract":"Depressive symptoms and alcohol misuse contribute substantially to the global health burden. These phenotypes often manifest, and frequently co-occur, during adolescence. However, few studies have examined whether both baseline levels of depressive symptoms and change in symptoms are associated with alcohol outcomes. In addition, inconsistent findings could be due to sex differences or the use of different alcohol outcomes. Using data from a prospective population-based cohort in the UK, we estimated trajectories of depressive symptoms from 12 years 10 months to 17 years 10 months, separately for male and female participants. We assessed whether baseline and change in depressive symptoms were associated with use and harmful use of alcohol at 18 years 8 months. Among females, increasing depressive symptoms were associated with increased alcohol use; whilst for males, there was little evidence of this. When examining harmful levels of alcohol use, baseline levels of depressive symptoms in males were weakly related to later harmful alcohol use but this association was attenuated substantially through adjustment for confounders. In contrast, both baseline symptoms and increase in symptoms were associated with later harmful alcohol use in females and these associations were not diminished by confounder adjustment. Elevated depressive symptoms during adolescence are positively associated with increases in both use and harmful use of alcohol at 18 years 8 months. These findings differ between the sexes. Further research is needed to examine the mechanisms underlying the link between depressive symptoms and harmful alcohol use to identify potentially modifiable factors for intervention. Copyright © 2014, The Author(s).","ISSN":"1018-8827","author":[{"literal":"Edwards A C"},{"literal":"Joinson C"},{"literal":"Dick D M"},{"literal":"Kendler K S"},{"literal":"Macleod J"},{"literal":"Munafo M"},{"literal":"Hickman M"},{"literal":"Lewis G"},{"literal":"Heron J"}],"issued":{"date-parts":[["2014"]]}}}],"schema":"https://github.com/citation-style-language/schema/raw/master/csl-citation.json"} </w:instrText>
            </w:r>
            <w:r w:rsidRPr="00552A36">
              <w:rPr>
                <w:rFonts w:cs="Arial"/>
                <w:szCs w:val="20"/>
              </w:rPr>
              <w:fldChar w:fldCharType="separate"/>
            </w:r>
            <w:r w:rsidRPr="005D70E3">
              <w:rPr>
                <w:rFonts w:cs="Arial"/>
              </w:rPr>
              <w:t>[15]</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DEP(12~17)- H/P Drinking (18.5)</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Intercept </w:t>
            </w:r>
          </w:p>
          <w:p w:rsidR="00201753" w:rsidRPr="00552A36" w:rsidRDefault="00201753" w:rsidP="0086242F">
            <w:pPr>
              <w:pStyle w:val="NoSpacing"/>
              <w:rPr>
                <w:rFonts w:cs="Arial"/>
                <w:szCs w:val="20"/>
              </w:rPr>
            </w:pPr>
            <w:r w:rsidRPr="00552A36">
              <w:rPr>
                <w:rFonts w:cs="Arial"/>
                <w:szCs w:val="20"/>
              </w:rPr>
              <w:t>0.0</w:t>
            </w:r>
            <w:r>
              <w:rPr>
                <w:rFonts w:cs="Arial"/>
                <w:szCs w:val="20"/>
              </w:rPr>
              <w:t>5</w:t>
            </w:r>
            <w:r w:rsidRPr="00552A36">
              <w:rPr>
                <w:rFonts w:cs="Arial"/>
                <w:szCs w:val="20"/>
              </w:rPr>
              <w:t>(-0.</w:t>
            </w:r>
            <w:r>
              <w:rPr>
                <w:rFonts w:cs="Arial"/>
                <w:szCs w:val="20"/>
              </w:rPr>
              <w:t>07</w:t>
            </w:r>
            <w:r w:rsidRPr="00552A36">
              <w:rPr>
                <w:rFonts w:cs="Arial"/>
                <w:szCs w:val="20"/>
              </w:rPr>
              <w:t>,0.16), p=0.</w:t>
            </w:r>
            <w:r>
              <w:rPr>
                <w:rFonts w:cs="Arial"/>
                <w:szCs w:val="20"/>
              </w:rPr>
              <w:t>426</w:t>
            </w:r>
            <w:r w:rsidRPr="00552A36">
              <w:rPr>
                <w:rFonts w:cs="Arial"/>
                <w:szCs w:val="20"/>
              </w:rPr>
              <w:t xml:space="preserve"> for male</w:t>
            </w:r>
          </w:p>
          <w:p w:rsidR="00201753" w:rsidRPr="00552A36" w:rsidRDefault="00201753" w:rsidP="0086242F">
            <w:pPr>
              <w:pStyle w:val="NoSpacing"/>
              <w:rPr>
                <w:rFonts w:cs="Arial"/>
                <w:szCs w:val="20"/>
              </w:rPr>
            </w:pPr>
            <w:r w:rsidRPr="00552A36">
              <w:rPr>
                <w:rFonts w:cs="Arial"/>
                <w:szCs w:val="20"/>
              </w:rPr>
              <w:lastRenderedPageBreak/>
              <w:t>0.0</w:t>
            </w:r>
            <w:r>
              <w:rPr>
                <w:rFonts w:cs="Arial"/>
                <w:szCs w:val="20"/>
              </w:rPr>
              <w:t>4</w:t>
            </w:r>
            <w:r w:rsidRPr="00552A36">
              <w:rPr>
                <w:rFonts w:cs="Arial"/>
                <w:szCs w:val="20"/>
              </w:rPr>
              <w:t>(-0.</w:t>
            </w:r>
            <w:r>
              <w:rPr>
                <w:rFonts w:cs="Arial"/>
                <w:szCs w:val="20"/>
              </w:rPr>
              <w:t>05</w:t>
            </w:r>
            <w:r w:rsidRPr="00552A36">
              <w:rPr>
                <w:rFonts w:cs="Arial"/>
                <w:szCs w:val="20"/>
              </w:rPr>
              <w:t>,0.1</w:t>
            </w:r>
            <w:r>
              <w:rPr>
                <w:rFonts w:cs="Arial"/>
                <w:szCs w:val="20"/>
              </w:rPr>
              <w:t>3</w:t>
            </w:r>
            <w:r w:rsidRPr="00552A36">
              <w:rPr>
                <w:rFonts w:cs="Arial"/>
                <w:szCs w:val="20"/>
              </w:rPr>
              <w:t>), p=0.</w:t>
            </w:r>
            <w:r>
              <w:rPr>
                <w:rFonts w:cs="Arial"/>
                <w:szCs w:val="20"/>
              </w:rPr>
              <w:t>610</w:t>
            </w:r>
            <w:r w:rsidRPr="00552A36">
              <w:rPr>
                <w:rFonts w:cs="Arial"/>
                <w:szCs w:val="20"/>
              </w:rPr>
              <w:t xml:space="preserve"> for female</w:t>
            </w:r>
          </w:p>
          <w:p w:rsidR="00201753" w:rsidRPr="00552A36" w:rsidRDefault="00201753" w:rsidP="0086242F">
            <w:pPr>
              <w:pStyle w:val="NoSpacing"/>
              <w:rPr>
                <w:rFonts w:cs="Arial"/>
                <w:szCs w:val="20"/>
              </w:rPr>
            </w:pPr>
            <w:r w:rsidRPr="00552A36">
              <w:rPr>
                <w:rFonts w:cs="Arial"/>
                <w:szCs w:val="20"/>
              </w:rPr>
              <w:t xml:space="preserve">Slope </w:t>
            </w:r>
          </w:p>
          <w:p w:rsidR="00201753" w:rsidRPr="00552A36" w:rsidRDefault="00201753" w:rsidP="0086242F">
            <w:pPr>
              <w:pStyle w:val="NoSpacing"/>
              <w:rPr>
                <w:rFonts w:cs="Arial"/>
                <w:szCs w:val="20"/>
              </w:rPr>
            </w:pPr>
            <w:r w:rsidRPr="00552A36">
              <w:rPr>
                <w:rFonts w:cs="Arial"/>
                <w:szCs w:val="20"/>
              </w:rPr>
              <w:t>-0.0</w:t>
            </w:r>
            <w:r>
              <w:rPr>
                <w:rFonts w:cs="Arial"/>
                <w:szCs w:val="20"/>
              </w:rPr>
              <w:t>3</w:t>
            </w:r>
            <w:r w:rsidRPr="00552A36">
              <w:rPr>
                <w:rFonts w:cs="Arial"/>
                <w:szCs w:val="20"/>
              </w:rPr>
              <w:t>(-0.1</w:t>
            </w:r>
            <w:r>
              <w:rPr>
                <w:rFonts w:cs="Arial"/>
                <w:szCs w:val="20"/>
              </w:rPr>
              <w:t>7</w:t>
            </w:r>
            <w:r w:rsidRPr="00552A36">
              <w:rPr>
                <w:rFonts w:cs="Arial"/>
                <w:szCs w:val="20"/>
              </w:rPr>
              <w:t>,0.1</w:t>
            </w:r>
            <w:r>
              <w:rPr>
                <w:rFonts w:cs="Arial"/>
                <w:szCs w:val="20"/>
              </w:rPr>
              <w:t>0</w:t>
            </w:r>
            <w:r w:rsidRPr="00552A36">
              <w:rPr>
                <w:rFonts w:cs="Arial"/>
                <w:szCs w:val="20"/>
              </w:rPr>
              <w:t>),p=0.</w:t>
            </w:r>
            <w:r>
              <w:rPr>
                <w:rFonts w:cs="Arial"/>
                <w:szCs w:val="20"/>
              </w:rPr>
              <w:t>432</w:t>
            </w:r>
            <w:r w:rsidRPr="00552A36">
              <w:rPr>
                <w:rFonts w:cs="Arial"/>
                <w:szCs w:val="20"/>
              </w:rPr>
              <w:t xml:space="preserve"> for male</w:t>
            </w:r>
          </w:p>
          <w:p w:rsidR="00201753" w:rsidRPr="00552A36" w:rsidRDefault="00201753" w:rsidP="0086242F">
            <w:pPr>
              <w:pStyle w:val="NoSpacing"/>
              <w:rPr>
                <w:rFonts w:cs="Arial"/>
                <w:szCs w:val="20"/>
              </w:rPr>
            </w:pPr>
            <w:r w:rsidRPr="00552A36">
              <w:rPr>
                <w:rFonts w:cs="Arial"/>
                <w:szCs w:val="20"/>
              </w:rPr>
              <w:t>0.1</w:t>
            </w:r>
            <w:r>
              <w:rPr>
                <w:rFonts w:cs="Arial"/>
                <w:szCs w:val="20"/>
              </w:rPr>
              <w:t>5</w:t>
            </w:r>
            <w:r w:rsidRPr="00552A36">
              <w:rPr>
                <w:rFonts w:cs="Arial"/>
                <w:szCs w:val="20"/>
              </w:rPr>
              <w:t>(0.0</w:t>
            </w:r>
            <w:r>
              <w:rPr>
                <w:rFonts w:cs="Arial"/>
                <w:szCs w:val="20"/>
              </w:rPr>
              <w:t>4</w:t>
            </w:r>
            <w:r w:rsidRPr="00552A36">
              <w:rPr>
                <w:rFonts w:cs="Arial"/>
                <w:szCs w:val="20"/>
              </w:rPr>
              <w:t>,0.25),p=0.0</w:t>
            </w:r>
            <w:r>
              <w:rPr>
                <w:rFonts w:cs="Arial"/>
                <w:szCs w:val="20"/>
              </w:rPr>
              <w:t>07</w:t>
            </w:r>
            <w:r w:rsidRPr="00552A36">
              <w:rPr>
                <w:rFonts w:cs="Arial"/>
                <w:szCs w:val="20"/>
              </w:rPr>
              <w:t xml:space="preserve"> for female             </w:t>
            </w:r>
          </w:p>
        </w:tc>
        <w:tc>
          <w:tcPr>
            <w:tcW w:w="737" w:type="dxa"/>
            <w:vAlign w:val="center"/>
          </w:tcPr>
          <w:p w:rsidR="00201753" w:rsidRPr="00552A36" w:rsidRDefault="00201753" w:rsidP="0086242F">
            <w:pPr>
              <w:pStyle w:val="NoSpacing"/>
              <w:rPr>
                <w:rFonts w:cs="Arial"/>
                <w:szCs w:val="20"/>
              </w:rPr>
            </w:pPr>
            <w:r w:rsidRPr="00552A36">
              <w:rPr>
                <w:rFonts w:cs="Arial"/>
                <w:szCs w:val="20"/>
              </w:rPr>
              <w:lastRenderedPageBreak/>
              <w:t>Yes</w:t>
            </w:r>
          </w:p>
        </w:tc>
        <w:tc>
          <w:tcPr>
            <w:tcW w:w="1020" w:type="dxa"/>
            <w:vAlign w:val="center"/>
          </w:tcPr>
          <w:p w:rsidR="00201753" w:rsidRPr="00552A36" w:rsidRDefault="00201753" w:rsidP="0086242F">
            <w:pPr>
              <w:pStyle w:val="NoSpacing"/>
              <w:rPr>
                <w:rFonts w:cs="Arial"/>
                <w:szCs w:val="20"/>
              </w:rPr>
            </w:pPr>
            <w:r w:rsidRPr="00552A36">
              <w:rPr>
                <w:rFonts w:cs="Arial"/>
                <w:szCs w:val="20"/>
              </w:rPr>
              <w:t xml:space="preserve">Growth Curve </w:t>
            </w:r>
            <w:proofErr w:type="spellStart"/>
            <w:r w:rsidRPr="00552A36">
              <w:rPr>
                <w:rFonts w:cs="Arial"/>
                <w:szCs w:val="20"/>
              </w:rPr>
              <w:lastRenderedPageBreak/>
              <w:t>Model+</w:t>
            </w:r>
            <w:r>
              <w:rPr>
                <w:rFonts w:cs="Arial"/>
                <w:szCs w:val="20"/>
              </w:rPr>
              <w:t>OLS</w:t>
            </w:r>
            <w:proofErr w:type="spellEnd"/>
          </w:p>
        </w:tc>
        <w:tc>
          <w:tcPr>
            <w:tcW w:w="3969" w:type="dxa"/>
            <w:vAlign w:val="center"/>
          </w:tcPr>
          <w:p w:rsidR="00201753" w:rsidRPr="00552A36" w:rsidRDefault="00201753" w:rsidP="0086242F">
            <w:pPr>
              <w:pStyle w:val="NoSpacing"/>
              <w:rPr>
                <w:rFonts w:cs="Arial"/>
                <w:szCs w:val="20"/>
              </w:rPr>
            </w:pPr>
            <w:r w:rsidRPr="00552A36">
              <w:rPr>
                <w:rFonts w:cs="Arial"/>
                <w:szCs w:val="20"/>
              </w:rPr>
              <w:lastRenderedPageBreak/>
              <w:t xml:space="preserve">Maternal education, parity and tenure, smoking 12, alcohol 12, cannabis 9, </w:t>
            </w:r>
            <w:r w:rsidRPr="00552A36">
              <w:rPr>
                <w:rFonts w:cs="Arial"/>
                <w:szCs w:val="20"/>
              </w:rPr>
              <w:lastRenderedPageBreak/>
              <w:t>EPDS 11, conduct problems11, bullying 13, smoking, cannabis and alcohol 13</w:t>
            </w:r>
          </w:p>
        </w:tc>
        <w:tc>
          <w:tcPr>
            <w:tcW w:w="454" w:type="dxa"/>
            <w:vAlign w:val="center"/>
          </w:tcPr>
          <w:p w:rsidR="00201753" w:rsidRPr="00552A36" w:rsidRDefault="00201753" w:rsidP="0086242F">
            <w:pPr>
              <w:pStyle w:val="NoSpacing"/>
              <w:rPr>
                <w:rFonts w:cs="Arial"/>
                <w:szCs w:val="20"/>
              </w:rPr>
            </w:pPr>
            <w:r w:rsidRPr="00552A36">
              <w:rPr>
                <w:rFonts w:cs="Arial"/>
                <w:szCs w:val="20"/>
              </w:rPr>
              <w:lastRenderedPageBreak/>
              <w:t>5</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roofErr w:type="spellStart"/>
            <w:r w:rsidRPr="00552A36">
              <w:rPr>
                <w:rFonts w:cs="Arial"/>
                <w:szCs w:val="20"/>
              </w:rPr>
              <w:t>Kretschmer</w:t>
            </w:r>
            <w:proofErr w:type="spellEnd"/>
            <w:r w:rsidRPr="00552A36">
              <w:rPr>
                <w:rFonts w:cs="Arial"/>
                <w:szCs w:val="20"/>
              </w:rPr>
              <w:t xml:space="preserve"> et al. (2014)</w:t>
            </w:r>
            <w:r w:rsidRPr="00552A36">
              <w:rPr>
                <w:rFonts w:cs="Arial"/>
                <w:szCs w:val="20"/>
              </w:rPr>
              <w:fldChar w:fldCharType="begin"/>
            </w:r>
            <w:r>
              <w:rPr>
                <w:rFonts w:cs="Arial"/>
                <w:szCs w:val="20"/>
              </w:rPr>
              <w:instrText xml:space="preserve"> ADDIN ZOTERO_ITEM CSL_CITATION {"citationID":"6Mtt32iM","properties":{"formattedCitation":"[16]","plainCitation":"[16]","noteIndex":0},"citationItems":[{"id":831,"uris":["http://zotero.org/users/3535616/items/ZWDICFV6"],"uri":["http://zotero.org/users/3535616/items/ZWDICFV6"],"itemData":{"id":831,"type":"article-journal","title":"Outcomes of childhood conduct problem trajectories in early adulthood: Findings from the ALSPAC study","container-title":"European Child &amp; Adolescent Psychiatry","page":"539-549","volume":"23","issue":"7","abstract":"Although conduct problems in childhood are stably associated with problem outcomes, not every child who presents with conduct problems is at risk. This study extends previous studies by testing whether childhood conduct problem trajectories are predictive of a wide range of other health and behavior problems in early adulthood using a general population sample. Based on 7,218 individuals from the Avon longitudinal study of parents and children, a three-step approach was used to model childhood conduct problem development and identify differences in early adult health and behavior problems. Childhood conduct problems were assessed on six occasions between age 4 and 13 and health and behavior outcomes were measured at age 18. Individuals who displayed early-onset persistent conduct problems throughout childhood were at greater risk for almost all forms of later problems. Individuals on the adolescent-onset conduct problem path consumed more tobacco and illegal drugs and engaged more often in risky sexual behavior than individuals without childhood conduct problems. Levels of health and behavior problems for individuals on the childhood-limited path were in between those for stable low and stable high trajectories. Childhood conduct problems are pervasive and substantially affect adjustment in early adulthood both in at-risk samples as shown in previous studies, but also in a general population sample. Knowing a child's developmental course can help to evaluate the risk for later maladjustment and be indicative of the need for early intervention. (PsycINFO Database Record (c) 2016 APA, all rights reserved)","ISSN":"1018-8827","author":[{"literal":"Kretschmer Tina"},{"literal":"Hickman Matthew"},{"literal":"Doerner Rita"},{"literal":"Emond Alan"},{"literal":"Lewis Glyn"},{"literal":"Macleod John"},{"literal":"Maughan Barbara"},{"literal":"Munafo Marcus R"},{"literal":"Heron Jon"}],"issued":{"date-parts":[["2014"]]}}}],"schema":"https://github.com/citation-style-language/schema/raw/master/csl-citation.json"} </w:instrText>
            </w:r>
            <w:r w:rsidRPr="00552A36">
              <w:rPr>
                <w:rFonts w:cs="Arial"/>
                <w:szCs w:val="20"/>
              </w:rPr>
              <w:fldChar w:fldCharType="separate"/>
            </w:r>
            <w:r w:rsidRPr="005D70E3">
              <w:rPr>
                <w:rFonts w:cs="Arial"/>
              </w:rPr>
              <w:t>[16]</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EXT(4~13)- H/P Drinking (18)</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Reference group: low, </w:t>
            </w:r>
            <w:proofErr w:type="gramStart"/>
            <w:r w:rsidRPr="00552A36">
              <w:rPr>
                <w:rFonts w:cs="Arial"/>
                <w:szCs w:val="20"/>
              </w:rPr>
              <w:t>OR(</w:t>
            </w:r>
            <w:proofErr w:type="gramEnd"/>
            <w:r w:rsidRPr="00552A36">
              <w:rPr>
                <w:rFonts w:cs="Arial"/>
                <w:szCs w:val="20"/>
              </w:rPr>
              <w:t>95%)</w:t>
            </w:r>
          </w:p>
          <w:p w:rsidR="00201753" w:rsidRPr="00552A36" w:rsidRDefault="00201753" w:rsidP="0086242F">
            <w:pPr>
              <w:pStyle w:val="NoSpacing"/>
              <w:rPr>
                <w:rFonts w:cs="Arial"/>
                <w:szCs w:val="20"/>
              </w:rPr>
            </w:pPr>
            <w:r w:rsidRPr="00552A36">
              <w:rPr>
                <w:rFonts w:cs="Arial"/>
                <w:szCs w:val="20"/>
              </w:rPr>
              <w:t>Childhood-limited(CL): 0.86(0.39,1.86)</w:t>
            </w:r>
          </w:p>
          <w:p w:rsidR="00201753" w:rsidRPr="00552A36" w:rsidRDefault="00201753" w:rsidP="0086242F">
            <w:pPr>
              <w:pStyle w:val="NoSpacing"/>
              <w:rPr>
                <w:rFonts w:cs="Arial"/>
                <w:szCs w:val="20"/>
              </w:rPr>
            </w:pPr>
            <w:r w:rsidRPr="00552A36">
              <w:rPr>
                <w:rFonts w:cs="Arial"/>
                <w:szCs w:val="20"/>
              </w:rPr>
              <w:t>Adolescence-onset(AO): 1.68(0.89,3.20)</w:t>
            </w:r>
          </w:p>
          <w:p w:rsidR="00201753" w:rsidRPr="00552A36" w:rsidRDefault="00201753" w:rsidP="0086242F">
            <w:pPr>
              <w:pStyle w:val="NoSpacing"/>
              <w:rPr>
                <w:rFonts w:cs="Arial"/>
                <w:szCs w:val="20"/>
              </w:rPr>
            </w:pPr>
            <w:r w:rsidRPr="00552A36">
              <w:rPr>
                <w:rFonts w:cs="Arial"/>
                <w:szCs w:val="20"/>
              </w:rPr>
              <w:t>Early onset persistent(EOP):1.91(1.21,3.01)</w:t>
            </w:r>
          </w:p>
          <w:p w:rsidR="00201753" w:rsidRPr="00552A36" w:rsidRDefault="00201753" w:rsidP="0086242F">
            <w:pPr>
              <w:pStyle w:val="NoSpacing"/>
              <w:rPr>
                <w:rFonts w:cs="Arial"/>
                <w:szCs w:val="20"/>
              </w:rPr>
            </w:pPr>
            <w:r w:rsidRPr="00552A36">
              <w:rPr>
                <w:rFonts w:cs="Arial"/>
                <w:szCs w:val="20"/>
              </w:rPr>
              <w:t xml:space="preserve">Reference </w:t>
            </w:r>
            <w:proofErr w:type="spellStart"/>
            <w:r w:rsidRPr="00552A36">
              <w:rPr>
                <w:rFonts w:cs="Arial"/>
                <w:szCs w:val="20"/>
              </w:rPr>
              <w:t>group:CL</w:t>
            </w:r>
            <w:proofErr w:type="spellEnd"/>
          </w:p>
          <w:p w:rsidR="00201753" w:rsidRPr="00552A36" w:rsidRDefault="00201753" w:rsidP="0086242F">
            <w:pPr>
              <w:pStyle w:val="NoSpacing"/>
              <w:rPr>
                <w:rFonts w:cs="Arial"/>
                <w:szCs w:val="20"/>
              </w:rPr>
            </w:pPr>
            <w:r w:rsidRPr="00552A36">
              <w:rPr>
                <w:rFonts w:cs="Arial"/>
                <w:szCs w:val="20"/>
              </w:rPr>
              <w:t>EOP:2.22(0.95,5.26)</w:t>
            </w:r>
          </w:p>
          <w:p w:rsidR="00201753" w:rsidRPr="00552A36" w:rsidRDefault="00201753" w:rsidP="0086242F">
            <w:pPr>
              <w:pStyle w:val="NoSpacing"/>
              <w:rPr>
                <w:rFonts w:cs="Arial"/>
                <w:szCs w:val="20"/>
              </w:rPr>
            </w:pPr>
            <w:r w:rsidRPr="00552A36">
              <w:rPr>
                <w:rFonts w:cs="Arial"/>
                <w:szCs w:val="20"/>
              </w:rPr>
              <w:t>AO:1.96(0.70,5.50)</w:t>
            </w:r>
          </w:p>
          <w:p w:rsidR="00201753" w:rsidRPr="00552A36" w:rsidRDefault="00201753" w:rsidP="0086242F">
            <w:pPr>
              <w:pStyle w:val="NoSpacing"/>
              <w:rPr>
                <w:rFonts w:cs="Arial"/>
                <w:szCs w:val="20"/>
              </w:rPr>
            </w:pPr>
            <w:r w:rsidRPr="00552A36">
              <w:rPr>
                <w:rFonts w:cs="Arial"/>
                <w:szCs w:val="20"/>
              </w:rPr>
              <w:t>EOP vs AO: 1.14(0.55,2.33)</w:t>
            </w:r>
          </w:p>
        </w:tc>
        <w:tc>
          <w:tcPr>
            <w:tcW w:w="737" w:type="dxa"/>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Align w:val="center"/>
          </w:tcPr>
          <w:p w:rsidR="00201753" w:rsidRPr="00552A36" w:rsidRDefault="00201753" w:rsidP="0086242F">
            <w:pPr>
              <w:pStyle w:val="NoSpacing"/>
              <w:rPr>
                <w:rFonts w:cs="Arial"/>
                <w:szCs w:val="20"/>
              </w:rPr>
            </w:pPr>
            <w:r w:rsidRPr="00552A36">
              <w:rPr>
                <w:rFonts w:cs="Arial"/>
                <w:szCs w:val="20"/>
              </w:rPr>
              <w:t xml:space="preserve">Logistic </w:t>
            </w:r>
            <w:proofErr w:type="spellStart"/>
            <w:r w:rsidRPr="00552A36">
              <w:rPr>
                <w:rFonts w:cs="Arial"/>
                <w:szCs w:val="20"/>
              </w:rPr>
              <w:t>reg</w:t>
            </w:r>
            <w:proofErr w:type="spellEnd"/>
          </w:p>
        </w:tc>
        <w:tc>
          <w:tcPr>
            <w:tcW w:w="3969" w:type="dxa"/>
            <w:vAlign w:val="center"/>
          </w:tcPr>
          <w:p w:rsidR="00201753" w:rsidRPr="00552A36" w:rsidRDefault="00201753" w:rsidP="0086242F">
            <w:pPr>
              <w:pStyle w:val="NoSpacing"/>
              <w:rPr>
                <w:rFonts w:cs="Arial"/>
                <w:szCs w:val="20"/>
              </w:rPr>
            </w:pPr>
            <w:r w:rsidRPr="00552A36">
              <w:rPr>
                <w:rFonts w:cs="Arial"/>
                <w:szCs w:val="20"/>
              </w:rPr>
              <w:t xml:space="preserve">Socio-economic status, marital status/cohabitation, maternal education, and age of the mother when first pregnant, drinking during pregnancy and maternal family history of alcohol use, smoking during pregnancy, any maternal contact with the police during child’s first 4 years of life, childbirth weight, gestational age, parity and a single indicator for any birth complications, language development, child temperament at 24 months postpartum, maternal depression, anxiety at 32 weeks antenatal and 8 weeks postnatal, harsh parenting at 24 months and partner emotional and/or physical cruelty to the mother during child’s first 4 years of life. </w:t>
            </w:r>
            <w:proofErr w:type="gramStart"/>
            <w:r w:rsidRPr="00552A36">
              <w:rPr>
                <w:rFonts w:cs="Arial"/>
                <w:szCs w:val="20"/>
              </w:rPr>
              <w:t>low</w:t>
            </w:r>
            <w:proofErr w:type="gramEnd"/>
            <w:r w:rsidRPr="00552A36">
              <w:rPr>
                <w:rFonts w:cs="Arial"/>
                <w:szCs w:val="20"/>
              </w:rPr>
              <w:t xml:space="preserve"> emotional and practical support for the mother during child’s first 4 years of life. Indication of child head injury during child’s first 4 years of life. Maternal attitude toward the child at 33 months postpartum.</w:t>
            </w:r>
          </w:p>
        </w:tc>
        <w:tc>
          <w:tcPr>
            <w:tcW w:w="454" w:type="dxa"/>
            <w:vAlign w:val="center"/>
          </w:tcPr>
          <w:p w:rsidR="00201753" w:rsidRPr="00552A36" w:rsidRDefault="00201753" w:rsidP="0086242F">
            <w:pPr>
              <w:pStyle w:val="NoSpacing"/>
              <w:rPr>
                <w:rFonts w:cs="Arial"/>
                <w:szCs w:val="20"/>
              </w:rPr>
            </w:pPr>
            <w:r w:rsidRPr="00552A36">
              <w:rPr>
                <w:rFonts w:cs="Arial"/>
                <w:szCs w:val="20"/>
              </w:rPr>
              <w:t>4</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roofErr w:type="spellStart"/>
            <w:r w:rsidRPr="00552A36">
              <w:rPr>
                <w:rFonts w:cs="Arial"/>
                <w:szCs w:val="20"/>
              </w:rPr>
              <w:t>Pesola</w:t>
            </w:r>
            <w:proofErr w:type="spellEnd"/>
            <w:r w:rsidRPr="00552A36">
              <w:rPr>
                <w:rFonts w:cs="Arial"/>
                <w:szCs w:val="20"/>
              </w:rPr>
              <w:t xml:space="preserve"> et al.</w:t>
            </w:r>
          </w:p>
          <w:p w:rsidR="00201753" w:rsidRPr="00552A36" w:rsidRDefault="00201753" w:rsidP="0086242F">
            <w:pPr>
              <w:pStyle w:val="NoSpacing"/>
              <w:rPr>
                <w:rFonts w:cs="Arial"/>
                <w:szCs w:val="20"/>
              </w:rPr>
            </w:pPr>
            <w:r w:rsidRPr="00552A36">
              <w:rPr>
                <w:rFonts w:cs="Arial"/>
                <w:szCs w:val="20"/>
              </w:rPr>
              <w:t>(2014)</w:t>
            </w:r>
            <w:r w:rsidRPr="00552A36">
              <w:rPr>
                <w:rFonts w:cs="Arial"/>
                <w:szCs w:val="20"/>
              </w:rPr>
              <w:fldChar w:fldCharType="begin"/>
            </w:r>
            <w:r>
              <w:rPr>
                <w:rFonts w:cs="Arial"/>
                <w:szCs w:val="20"/>
              </w:rPr>
              <w:instrText xml:space="preserve"> ADDIN ZOTERO_ITEM CSL_CITATION {"citationID":"IFpYyvct","properties":{"formattedCitation":"[17]","plainCitation":"[17]","noteIndex":0},"citationItems":[{"id":414,"uris":["http://zotero.org/users/3535616/items/H3MFBESM"],"uri":["http://zotero.org/users/3535616/items/H3MFBESM"],"itemData":{"id":414,"type":"article-journal","title":"Sexual orientation and alcohol problem use among U.K. adolescents: an indirect link through depressed mood","container-title":"Addiction (Abingdon, England)","page":"1072-1080","volume":"109","issue":"7","abstract":"BACKGROUND AND AIMS: Sexual minority adolescents are more likely to engage in alcohol use than their heterosexual counterparts; however, the underlying reasons remain unclear and longitudinal research is limited. Owing to evidence that this group also experiences greater depressive symptoms than their peers, we aimed to (i) assess to what extent depressed mood explains the increased likelihood of engaging in alcohol use among sexual minority adolescents, and (ii) explore potential gender-specific patterns., DESIGN: Structural equation modelling was used to test the indirect relationship between sexual orientation and alcohol use through depressed mood, with heterosexuals as the reference group., SETTINGS AND PARTICIPANTS: A total of 3710 adolescents (12% sexual minority), from the Avon Longitudinal Study of Parents and Children (ALSPAC) study, assessed between the ages of 15 and 18 years., MEASUREMENTS: Sexual orientation was assessed at age 15, while alcohol use was measured using the Alcohol Use Disorders Identification Test (AUDIT) at age 18. Depressed mood was indexed by the Short Mood and Feelings Questionnaire (SMFQ) at age 16., FINDINGS: Sexual minority adolescents were more likely to engage in alcohol problem use compared to their heterosexual counterparts [Btotal =0.12, 95% confidence interval (CI)=0.04-0.20, P=0.003]. Depressed mood explained 21% of the link between sexual orientation and alcohol use after adjustment for covariates and earlier measures (Z=3.2, P=0.001). No gender differences were observed., CONCLUSIONS: A higher prevalence of alcohol problem use in adolescents who are gay, lesbian or bisexual is partly explained by increased rates of depression in this group. Copyright © 2014 Society for the Study of Addiction.","author":[{"literal":"Pesola F"},{"literal":"Shelton K H"},{"literal":"van den Bree"},{"literal":"M B"}],"issued":{"date-parts":[["2014"]]}}}],"schema":"https://github.com/citation-style-language/schema/raw/master/csl-citation.json"} </w:instrText>
            </w:r>
            <w:r w:rsidRPr="00552A36">
              <w:rPr>
                <w:rFonts w:cs="Arial"/>
                <w:szCs w:val="20"/>
              </w:rPr>
              <w:fldChar w:fldCharType="separate"/>
            </w:r>
            <w:r w:rsidRPr="005D70E3">
              <w:rPr>
                <w:rFonts w:cs="Arial"/>
              </w:rPr>
              <w:t>[17]</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DEP(16)- H/P Drinking (18)</w:t>
            </w:r>
          </w:p>
        </w:tc>
        <w:tc>
          <w:tcPr>
            <w:tcW w:w="3912" w:type="dxa"/>
            <w:vAlign w:val="center"/>
          </w:tcPr>
          <w:p w:rsidR="00201753" w:rsidRPr="00552A36" w:rsidRDefault="00201753" w:rsidP="0086242F">
            <w:pPr>
              <w:pStyle w:val="NoSpacing"/>
              <w:rPr>
                <w:rFonts w:cs="Arial"/>
                <w:szCs w:val="20"/>
              </w:rPr>
            </w:pPr>
            <w:r w:rsidRPr="00552A36">
              <w:rPr>
                <w:rFonts w:cs="Arial"/>
                <w:szCs w:val="20"/>
              </w:rPr>
              <w:t>0.06, p=0.001</w:t>
            </w:r>
          </w:p>
        </w:tc>
        <w:tc>
          <w:tcPr>
            <w:tcW w:w="737" w:type="dxa"/>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Align w:val="center"/>
          </w:tcPr>
          <w:p w:rsidR="00201753" w:rsidRPr="00552A36" w:rsidRDefault="00201753" w:rsidP="0086242F">
            <w:pPr>
              <w:pStyle w:val="NoSpacing"/>
              <w:rPr>
                <w:rFonts w:cs="Arial"/>
                <w:szCs w:val="20"/>
              </w:rPr>
            </w:pPr>
            <w:r w:rsidRPr="00552A36">
              <w:rPr>
                <w:rFonts w:cs="Arial"/>
                <w:szCs w:val="20"/>
              </w:rPr>
              <w:t>SEM</w:t>
            </w:r>
          </w:p>
        </w:tc>
        <w:tc>
          <w:tcPr>
            <w:tcW w:w="3969" w:type="dxa"/>
            <w:vAlign w:val="center"/>
          </w:tcPr>
          <w:p w:rsidR="00201753" w:rsidRPr="00552A36" w:rsidRDefault="00201753" w:rsidP="0086242F">
            <w:pPr>
              <w:pStyle w:val="NoSpacing"/>
              <w:rPr>
                <w:rFonts w:cs="Arial"/>
                <w:szCs w:val="20"/>
              </w:rPr>
            </w:pPr>
            <w:r w:rsidRPr="00552A36">
              <w:rPr>
                <w:rFonts w:cs="Arial"/>
                <w:szCs w:val="20"/>
              </w:rPr>
              <w:t xml:space="preserve">Family environment (i.e. parental drinking and depression, collected at 12 years) and socio-economic status, earlier depressed mood and earlier alcohol problem use at age 16 </w:t>
            </w:r>
          </w:p>
        </w:tc>
        <w:tc>
          <w:tcPr>
            <w:tcW w:w="454" w:type="dxa"/>
            <w:vAlign w:val="center"/>
          </w:tcPr>
          <w:p w:rsidR="00201753" w:rsidRPr="00552A36" w:rsidRDefault="00201753" w:rsidP="0086242F">
            <w:pPr>
              <w:pStyle w:val="NoSpacing"/>
              <w:rPr>
                <w:rFonts w:cs="Arial"/>
                <w:szCs w:val="20"/>
              </w:rPr>
            </w:pPr>
            <w:r w:rsidRPr="00552A36">
              <w:rPr>
                <w:rFonts w:cs="Arial"/>
                <w:szCs w:val="20"/>
              </w:rPr>
              <w:t>5</w:t>
            </w:r>
          </w:p>
        </w:tc>
      </w:tr>
      <w:tr w:rsidR="00201753" w:rsidRPr="00552A36" w:rsidTr="0086242F">
        <w:trPr>
          <w:trHeight w:val="360"/>
          <w:jc w:val="center"/>
        </w:trPr>
        <w:tc>
          <w:tcPr>
            <w:tcW w:w="1417" w:type="dxa"/>
            <w:vMerge w:val="restart"/>
            <w:vAlign w:val="center"/>
            <w:hideMark/>
          </w:tcPr>
          <w:p w:rsidR="00201753" w:rsidRPr="00552A36" w:rsidRDefault="00201753" w:rsidP="0086242F">
            <w:pPr>
              <w:pStyle w:val="NoSpacing"/>
              <w:rPr>
                <w:rFonts w:cs="Arial"/>
                <w:szCs w:val="20"/>
              </w:rPr>
            </w:pPr>
            <w:r w:rsidRPr="00552A36">
              <w:rPr>
                <w:rFonts w:cs="Arial"/>
                <w:szCs w:val="20"/>
              </w:rPr>
              <w:t>Stanley et al. (2014)</w:t>
            </w:r>
            <w:r w:rsidRPr="00552A36">
              <w:rPr>
                <w:rFonts w:cs="Arial"/>
                <w:szCs w:val="20"/>
              </w:rPr>
              <w:fldChar w:fldCharType="begin"/>
            </w:r>
            <w:r>
              <w:rPr>
                <w:rFonts w:cs="Arial"/>
                <w:szCs w:val="20"/>
              </w:rPr>
              <w:instrText xml:space="preserve"> ADDIN ZOTERO_ITEM CSL_CITATION {"citationID":"p8fFwR6N","properties":{"formattedCitation":"[18]","plainCitation":"[18]","noteIndex":0},"citationItems":[{"id":576,"uris":["http://zotero.org/users/3535616/items/PJGZUD3V"],"uri":["http://zotero.org/users/3535616/items/PJGZUD3V"],"itemData":{"id":576,"type":"article-journal","title":"Predicting an alcohol use disorder in urban American Indian youths","container-title":"Journal of Child &amp; Adolescent Substance Abuse","page":"101-108","volume":"23","issue":"2","abstract":"This study examines predictors of alcohol use disorders (AUDs) among an urban American Indian cohort who were followed from approximately age 11 to age 20. Approximately 27% of the sample had a lifetime diagnosis of alcohol abuse or dependence. The results indicated that externalizing, but not internalizing, behaviors, family conflict, and school liking served as significant predictors of an AUD. Neither having an alcoholic mother nor an alcoholic father was found to be significantly predictive of an alcohol use disorder at ages 19 and 20. Finally, early alcohol initiation was a substantial predictor of an AUD and acted as a partial mediator. (PsycINFO Database Record (c) 2016 APA, all rights reserved)","ISSN":"1067-828X","author":[{"literal":"Stanley Linda R"},{"literal":"Miller Kimberly A"},{"literal":"Beauvais Fred"},{"literal":"Walker Patricia Silk"},{"literal":"Walker R Dale"}],"issued":{"date-parts":[["2014"]]}}}],"schema":"https://github.com/citation-style-language/schema/raw/master/csl-citation.json"} </w:instrText>
            </w:r>
            <w:r w:rsidRPr="00552A36">
              <w:rPr>
                <w:rFonts w:cs="Arial"/>
                <w:szCs w:val="20"/>
              </w:rPr>
              <w:fldChar w:fldCharType="separate"/>
            </w:r>
            <w:r w:rsidRPr="005D70E3">
              <w:rPr>
                <w:rFonts w:cs="Arial"/>
              </w:rPr>
              <w:t>[18]</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EXT(11.7)-AUD(19.7)</w:t>
            </w:r>
          </w:p>
        </w:tc>
        <w:tc>
          <w:tcPr>
            <w:tcW w:w="3912" w:type="dxa"/>
            <w:vAlign w:val="center"/>
          </w:tcPr>
          <w:p w:rsidR="00201753" w:rsidRPr="00552A36" w:rsidRDefault="00201753" w:rsidP="0086242F">
            <w:pPr>
              <w:pStyle w:val="NoSpacing"/>
              <w:rPr>
                <w:rFonts w:cs="Arial"/>
                <w:szCs w:val="20"/>
              </w:rPr>
            </w:pPr>
            <w:r w:rsidRPr="00552A36">
              <w:rPr>
                <w:rFonts w:cs="Arial"/>
                <w:szCs w:val="20"/>
              </w:rPr>
              <w:t>OR(95%) 1.05(0.99,1.12)</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 xml:space="preserve">Logistic </w:t>
            </w:r>
            <w:proofErr w:type="spellStart"/>
            <w:r w:rsidRPr="00552A36">
              <w:rPr>
                <w:rFonts w:cs="Arial"/>
                <w:szCs w:val="20"/>
              </w:rPr>
              <w:t>reg</w:t>
            </w:r>
            <w:proofErr w:type="spellEnd"/>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Sex, income, alcoholic mother, alcoholic father, family cohesion, family conflict, likes school, early alcohol initiation, and Internalising behaviours accordingly</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5</w:t>
            </w:r>
          </w:p>
        </w:tc>
      </w:tr>
      <w:tr w:rsidR="00201753" w:rsidRPr="00552A36" w:rsidTr="0086242F">
        <w:trPr>
          <w:trHeight w:val="360"/>
          <w:jc w:val="center"/>
        </w:trPr>
        <w:tc>
          <w:tcPr>
            <w:tcW w:w="1417" w:type="dxa"/>
            <w:vMerge/>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INT(11.7)-AUD(19.7)</w:t>
            </w:r>
          </w:p>
        </w:tc>
        <w:tc>
          <w:tcPr>
            <w:tcW w:w="3912" w:type="dxa"/>
            <w:vAlign w:val="center"/>
          </w:tcPr>
          <w:p w:rsidR="00201753" w:rsidRPr="00552A36" w:rsidRDefault="00201753" w:rsidP="0086242F">
            <w:pPr>
              <w:pStyle w:val="NoSpacing"/>
              <w:rPr>
                <w:rFonts w:cs="Arial"/>
                <w:szCs w:val="20"/>
              </w:rPr>
            </w:pPr>
            <w:r w:rsidRPr="00552A36">
              <w:rPr>
                <w:rFonts w:cs="Arial"/>
                <w:szCs w:val="20"/>
              </w:rPr>
              <w:t>OR(95%) 0.96(0.91,1.02)</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lastRenderedPageBreak/>
              <w:t xml:space="preserve">Meier et al. </w:t>
            </w:r>
          </w:p>
          <w:p w:rsidR="00201753" w:rsidRPr="00552A36" w:rsidRDefault="00201753" w:rsidP="0086242F">
            <w:pPr>
              <w:pStyle w:val="NoSpacing"/>
              <w:rPr>
                <w:rFonts w:cs="Arial"/>
                <w:szCs w:val="20"/>
              </w:rPr>
            </w:pPr>
            <w:r w:rsidRPr="00552A36">
              <w:rPr>
                <w:rFonts w:cs="Arial"/>
                <w:szCs w:val="20"/>
              </w:rPr>
              <w:t>(2013)</w:t>
            </w:r>
            <w:r w:rsidRPr="00552A36">
              <w:rPr>
                <w:rFonts w:cs="Arial"/>
                <w:szCs w:val="20"/>
              </w:rPr>
              <w:fldChar w:fldCharType="begin"/>
            </w:r>
            <w:r>
              <w:rPr>
                <w:rFonts w:cs="Arial"/>
                <w:szCs w:val="20"/>
              </w:rPr>
              <w:instrText xml:space="preserve"> ADDIN ZOTERO_ITEM CSL_CITATION {"citationID":"sFCB74NS","properties":{"formattedCitation":"[19]","plainCitation":"[19]","noteIndex":0},"citationItems":[{"id":627,"uris":["http://zotero.org/users/3535616/items/R3TK5NHW"],"uri":["http://zotero.org/users/3535616/items/R3TK5NHW"],"itemData":{"id":627,"type":"article-journal","title":"Prospective developmental subtypes of alcohol dependence from age 18 to 32 years: Implications for nosology, etiology, and intervention","container-title":"Development and Psychopathology","page":"785-800","volume":"25","issue":"3","abstract":"The purpose of the present study is to identify child and adult correlates that differentiate (a) individuals with persistent alcohol dependence from individuals with developmentally limited alcohol dependence and (b) individuals with adult-onset alcohol dependence from individuals who never diagnose. There are 1,037 members of the Dunedin Longitudinal Study, which is a birth cohort followed prospectively from birth until age 32. Past-year DSM-IV alcohol dependence diagnoses are ascertained with structured diagnostic interviews at ages 18, 21, 26, and 32. Individuals are classified as developmentally limited, persistent, or adult-onset subtypes based on their time-ordered pattern of diagnoses. The persistent subtype generally exhibits the worst scores on all correlates, including family psychiatric history, adolescent and adult externalizing and internalizing problems, adolescent and adult substance use, adult quality of life, and coping strategies. The prospective predictors that distinguished them from the developmentally limited subtype involved family liability, adolescent negative affectivity, daily alcohol use, and frequent marijuana use. Furthermore, young people who develop the persistent subtype of alcohol dependence are distinguished from the developmentally limited subtype by an inability to reduce drinking and by continued use despite problems by age 18. The adult-onset group members are virtually indistinguishable from ordinary cohort members as children or adolescents; however, in adulthood, adult-onset cases are distinguished by problems with depression, substance use, stress, and strategies for coping with stress. Information about age of onset and developmental course is fundamental for identifying subtypes of alcohol dependence. Subtype-specific etiologies point to targeted prevention and intervention efforts based on the characteristics of each subtype. Copyright © Cambridge University Press 2013.","ISSN":"0954-5794","author":[{"literal":"Meier M H"},{"literal":"Caspi A"},{"literal":"Houts R"},{"literal":"Slutske W S"},{"literal":"Harrington H"},{"literal":"Jackson K M"},{"literal":"Belsky D W"},{"literal":"Poulton R"},{"literal":"Moffitt T E"}],"issued":{"date-parts":[["2013"]]}}}],"schema":"https://github.com/citation-style-language/schema/raw/master/csl-citation.json"} </w:instrText>
            </w:r>
            <w:r w:rsidRPr="00552A36">
              <w:rPr>
                <w:rFonts w:cs="Arial"/>
                <w:szCs w:val="20"/>
              </w:rPr>
              <w:fldChar w:fldCharType="separate"/>
            </w:r>
            <w:r w:rsidRPr="005D70E3">
              <w:rPr>
                <w:rFonts w:cs="Arial"/>
              </w:rPr>
              <w:t>[19]</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EXT(5-11)-AUD</w:t>
            </w:r>
            <w:r>
              <w:rPr>
                <w:rFonts w:cs="Arial"/>
                <w:szCs w:val="20"/>
              </w:rPr>
              <w:t xml:space="preserve"> </w:t>
            </w:r>
            <w:r w:rsidRPr="00552A36">
              <w:rPr>
                <w:rFonts w:cs="Arial"/>
                <w:szCs w:val="20"/>
              </w:rPr>
              <w:t>onset(18~32)</w:t>
            </w:r>
          </w:p>
        </w:tc>
        <w:tc>
          <w:tcPr>
            <w:tcW w:w="3912" w:type="dxa"/>
            <w:vAlign w:val="center"/>
          </w:tcPr>
          <w:p w:rsidR="00201753" w:rsidRPr="00552A36" w:rsidRDefault="00201753" w:rsidP="0086242F">
            <w:pPr>
              <w:pStyle w:val="NoSpacing"/>
              <w:rPr>
                <w:rFonts w:cs="Arial"/>
                <w:szCs w:val="20"/>
              </w:rPr>
            </w:pPr>
            <w:r w:rsidRPr="00552A36">
              <w:rPr>
                <w:rFonts w:cs="Arial"/>
                <w:szCs w:val="20"/>
              </w:rPr>
              <w:t>1.04(0.91,1.20),p=0.53</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 xml:space="preserve">Logistic </w:t>
            </w:r>
            <w:proofErr w:type="spellStart"/>
            <w:r w:rsidRPr="00552A36">
              <w:rPr>
                <w:rFonts w:cs="Arial"/>
                <w:szCs w:val="20"/>
              </w:rPr>
              <w:t>reg</w:t>
            </w:r>
            <w:proofErr w:type="spellEnd"/>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Sex</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4</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INT(5-11)-AUD onset(18~32)</w:t>
            </w:r>
          </w:p>
        </w:tc>
        <w:tc>
          <w:tcPr>
            <w:tcW w:w="3912" w:type="dxa"/>
            <w:vAlign w:val="center"/>
          </w:tcPr>
          <w:p w:rsidR="00201753" w:rsidRPr="00552A36" w:rsidRDefault="00201753" w:rsidP="0086242F">
            <w:pPr>
              <w:pStyle w:val="NoSpacing"/>
              <w:rPr>
                <w:rFonts w:cs="Arial"/>
                <w:szCs w:val="20"/>
              </w:rPr>
            </w:pPr>
            <w:r w:rsidRPr="00552A36">
              <w:rPr>
                <w:rFonts w:cs="Arial"/>
                <w:szCs w:val="20"/>
              </w:rPr>
              <w:t>0.95(0.82,1.09),p=0.43</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EXT(11-18)-AUD onset(18-32)</w:t>
            </w:r>
          </w:p>
        </w:tc>
        <w:tc>
          <w:tcPr>
            <w:tcW w:w="3912" w:type="dxa"/>
            <w:vAlign w:val="center"/>
          </w:tcPr>
          <w:p w:rsidR="00201753" w:rsidRPr="00552A36" w:rsidRDefault="00201753" w:rsidP="0086242F">
            <w:pPr>
              <w:pStyle w:val="NoSpacing"/>
              <w:rPr>
                <w:rFonts w:cs="Arial"/>
                <w:szCs w:val="20"/>
              </w:rPr>
            </w:pPr>
            <w:r w:rsidRPr="00552A36">
              <w:rPr>
                <w:rFonts w:cs="Arial"/>
                <w:szCs w:val="20"/>
              </w:rPr>
              <w:t>3.08(2.24,4.24),p&lt;0.001</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DEP(11-18)-AUD onset(18-32)</w:t>
            </w:r>
          </w:p>
        </w:tc>
        <w:tc>
          <w:tcPr>
            <w:tcW w:w="3912" w:type="dxa"/>
            <w:vAlign w:val="center"/>
          </w:tcPr>
          <w:p w:rsidR="00201753" w:rsidRPr="00552A36" w:rsidRDefault="00201753" w:rsidP="0086242F">
            <w:pPr>
              <w:pStyle w:val="NoSpacing"/>
              <w:rPr>
                <w:rFonts w:cs="Arial"/>
                <w:szCs w:val="20"/>
              </w:rPr>
            </w:pPr>
            <w:r w:rsidRPr="00552A36">
              <w:rPr>
                <w:rFonts w:cs="Arial"/>
                <w:szCs w:val="20"/>
              </w:rPr>
              <w:t>2.31(1.65,3.24),p&lt;0.001</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ANX(11-18)-AUD onset(18-32)</w:t>
            </w:r>
          </w:p>
        </w:tc>
        <w:tc>
          <w:tcPr>
            <w:tcW w:w="3912" w:type="dxa"/>
            <w:vAlign w:val="center"/>
          </w:tcPr>
          <w:p w:rsidR="00201753" w:rsidRPr="00552A36" w:rsidRDefault="00201753" w:rsidP="0086242F">
            <w:pPr>
              <w:pStyle w:val="NoSpacing"/>
              <w:rPr>
                <w:rFonts w:cs="Arial"/>
                <w:szCs w:val="20"/>
              </w:rPr>
            </w:pPr>
            <w:r w:rsidRPr="00552A36">
              <w:rPr>
                <w:rFonts w:cs="Arial"/>
                <w:szCs w:val="20"/>
              </w:rPr>
              <w:t>1.57(1.17,2.10),p=0.002</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EXT(5-11)-AUD </w:t>
            </w:r>
            <w:proofErr w:type="spellStart"/>
            <w:r w:rsidRPr="00552A36">
              <w:rPr>
                <w:rFonts w:cs="Arial"/>
                <w:szCs w:val="20"/>
              </w:rPr>
              <w:t>traj</w:t>
            </w:r>
            <w:proofErr w:type="spellEnd"/>
            <w:r w:rsidRPr="00552A36">
              <w:rPr>
                <w:rFonts w:cs="Arial"/>
                <w:szCs w:val="20"/>
              </w:rPr>
              <w:t>(18~32)</w:t>
            </w:r>
          </w:p>
        </w:tc>
        <w:tc>
          <w:tcPr>
            <w:tcW w:w="3912" w:type="dxa"/>
            <w:vAlign w:val="center"/>
          </w:tcPr>
          <w:p w:rsidR="00201753" w:rsidRPr="00552A36" w:rsidRDefault="00201753" w:rsidP="0086242F">
            <w:pPr>
              <w:pStyle w:val="NoSpacing"/>
              <w:rPr>
                <w:rFonts w:cs="Arial"/>
                <w:szCs w:val="20"/>
              </w:rPr>
            </w:pPr>
            <w:r w:rsidRPr="00552A36">
              <w:rPr>
                <w:rFonts w:cs="Arial"/>
                <w:szCs w:val="20"/>
              </w:rPr>
              <w:t>Persistent vs develop limited:</w:t>
            </w:r>
          </w:p>
          <w:p w:rsidR="00201753" w:rsidRPr="00552A36" w:rsidRDefault="00201753" w:rsidP="0086242F">
            <w:pPr>
              <w:pStyle w:val="NoSpacing"/>
              <w:rPr>
                <w:rFonts w:cs="Arial"/>
                <w:szCs w:val="20"/>
              </w:rPr>
            </w:pPr>
            <w:r w:rsidRPr="00552A36">
              <w:rPr>
                <w:rFonts w:cs="Arial"/>
                <w:szCs w:val="20"/>
              </w:rPr>
              <w:t>1.10(0.76,1.58),p=0.62</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INT(5-11)-AUD </w:t>
            </w:r>
            <w:proofErr w:type="spellStart"/>
            <w:r w:rsidRPr="00552A36">
              <w:rPr>
                <w:rFonts w:cs="Arial"/>
                <w:szCs w:val="20"/>
              </w:rPr>
              <w:t>traj</w:t>
            </w:r>
            <w:proofErr w:type="spellEnd"/>
            <w:r w:rsidRPr="00552A36">
              <w:rPr>
                <w:rFonts w:cs="Arial"/>
                <w:szCs w:val="20"/>
              </w:rPr>
              <w:t xml:space="preserve"> (18~32)</w:t>
            </w:r>
          </w:p>
        </w:tc>
        <w:tc>
          <w:tcPr>
            <w:tcW w:w="3912" w:type="dxa"/>
            <w:vAlign w:val="center"/>
          </w:tcPr>
          <w:p w:rsidR="00201753" w:rsidRPr="00552A36" w:rsidRDefault="00201753" w:rsidP="0086242F">
            <w:pPr>
              <w:pStyle w:val="NoSpacing"/>
              <w:rPr>
                <w:rFonts w:cs="Arial"/>
                <w:szCs w:val="20"/>
              </w:rPr>
            </w:pPr>
            <w:r w:rsidRPr="00552A36">
              <w:rPr>
                <w:rFonts w:cs="Arial"/>
                <w:szCs w:val="20"/>
              </w:rPr>
              <w:t>1.21(0.82,1.81),p=0</w:t>
            </w:r>
            <w:r>
              <w:rPr>
                <w:rFonts w:cs="Arial"/>
                <w:szCs w:val="20"/>
              </w:rPr>
              <w:t>.</w:t>
            </w:r>
            <w:r w:rsidRPr="00552A36">
              <w:rPr>
                <w:rFonts w:cs="Arial"/>
                <w:szCs w:val="20"/>
              </w:rPr>
              <w:t>34</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EXT(11-18)-AUD </w:t>
            </w:r>
            <w:proofErr w:type="spellStart"/>
            <w:r w:rsidRPr="00552A36">
              <w:rPr>
                <w:rFonts w:cs="Arial"/>
                <w:szCs w:val="20"/>
              </w:rPr>
              <w:t>traj</w:t>
            </w:r>
            <w:proofErr w:type="spellEnd"/>
            <w:r w:rsidRPr="00552A36">
              <w:rPr>
                <w:rFonts w:cs="Arial"/>
                <w:szCs w:val="20"/>
              </w:rPr>
              <w:t xml:space="preserve"> (18-32)</w:t>
            </w:r>
          </w:p>
        </w:tc>
        <w:tc>
          <w:tcPr>
            <w:tcW w:w="3912" w:type="dxa"/>
            <w:vAlign w:val="center"/>
          </w:tcPr>
          <w:p w:rsidR="00201753" w:rsidRPr="00552A36" w:rsidRDefault="00201753" w:rsidP="0086242F">
            <w:pPr>
              <w:pStyle w:val="NoSpacing"/>
              <w:rPr>
                <w:rFonts w:cs="Arial"/>
                <w:szCs w:val="20"/>
              </w:rPr>
            </w:pPr>
            <w:r w:rsidRPr="00552A36">
              <w:rPr>
                <w:rFonts w:cs="Arial"/>
                <w:szCs w:val="20"/>
              </w:rPr>
              <w:t>2.11(0.96,4.64),p=0.06</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DEP(11-18)-AUD </w:t>
            </w:r>
            <w:proofErr w:type="spellStart"/>
            <w:r w:rsidRPr="00552A36">
              <w:rPr>
                <w:rFonts w:cs="Arial"/>
                <w:szCs w:val="20"/>
              </w:rPr>
              <w:t>traj</w:t>
            </w:r>
            <w:proofErr w:type="spellEnd"/>
            <w:r w:rsidRPr="00552A36">
              <w:rPr>
                <w:rFonts w:cs="Arial"/>
                <w:szCs w:val="20"/>
              </w:rPr>
              <w:t xml:space="preserve"> (18-32)</w:t>
            </w:r>
          </w:p>
        </w:tc>
        <w:tc>
          <w:tcPr>
            <w:tcW w:w="3912" w:type="dxa"/>
            <w:vAlign w:val="center"/>
          </w:tcPr>
          <w:p w:rsidR="00201753" w:rsidRPr="00552A36" w:rsidRDefault="00201753" w:rsidP="0086242F">
            <w:pPr>
              <w:pStyle w:val="NoSpacing"/>
              <w:rPr>
                <w:rFonts w:cs="Arial"/>
                <w:szCs w:val="20"/>
              </w:rPr>
            </w:pPr>
            <w:r w:rsidRPr="00552A36">
              <w:rPr>
                <w:rFonts w:cs="Arial"/>
                <w:szCs w:val="20"/>
              </w:rPr>
              <w:t>3.49(1.48,8,25),p=0.004</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ANX(11-18)-AUD </w:t>
            </w:r>
            <w:proofErr w:type="spellStart"/>
            <w:r w:rsidRPr="00552A36">
              <w:rPr>
                <w:rFonts w:cs="Arial"/>
                <w:szCs w:val="20"/>
              </w:rPr>
              <w:t>traj</w:t>
            </w:r>
            <w:proofErr w:type="spellEnd"/>
            <w:r w:rsidRPr="00552A36">
              <w:rPr>
                <w:rFonts w:cs="Arial"/>
                <w:szCs w:val="20"/>
              </w:rPr>
              <w:t xml:space="preserve"> (18-32)</w:t>
            </w:r>
          </w:p>
        </w:tc>
        <w:tc>
          <w:tcPr>
            <w:tcW w:w="3912" w:type="dxa"/>
            <w:vAlign w:val="center"/>
          </w:tcPr>
          <w:p w:rsidR="00201753" w:rsidRPr="00552A36" w:rsidRDefault="00201753" w:rsidP="0086242F">
            <w:pPr>
              <w:pStyle w:val="NoSpacing"/>
              <w:rPr>
                <w:rFonts w:cs="Arial"/>
                <w:szCs w:val="20"/>
              </w:rPr>
            </w:pPr>
            <w:r w:rsidRPr="00552A36">
              <w:rPr>
                <w:rFonts w:cs="Arial"/>
                <w:szCs w:val="20"/>
              </w:rPr>
              <w:t>2.30(1.02,5.22),p=0.04</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EXT(5-11)-AUD </w:t>
            </w:r>
            <w:proofErr w:type="spellStart"/>
            <w:r w:rsidRPr="00552A36">
              <w:rPr>
                <w:rFonts w:cs="Arial"/>
                <w:szCs w:val="20"/>
              </w:rPr>
              <w:t>traj</w:t>
            </w:r>
            <w:proofErr w:type="spellEnd"/>
            <w:r w:rsidRPr="00552A36">
              <w:rPr>
                <w:rFonts w:cs="Arial"/>
                <w:szCs w:val="20"/>
              </w:rPr>
              <w:t>(18~32)</w:t>
            </w:r>
          </w:p>
        </w:tc>
        <w:tc>
          <w:tcPr>
            <w:tcW w:w="3912" w:type="dxa"/>
            <w:vAlign w:val="center"/>
          </w:tcPr>
          <w:p w:rsidR="00201753" w:rsidRPr="00552A36" w:rsidRDefault="00201753" w:rsidP="0086242F">
            <w:pPr>
              <w:pStyle w:val="NoSpacing"/>
              <w:rPr>
                <w:rFonts w:cs="Arial"/>
                <w:szCs w:val="20"/>
              </w:rPr>
            </w:pPr>
            <w:r w:rsidRPr="00552A36">
              <w:rPr>
                <w:rFonts w:cs="Arial"/>
                <w:szCs w:val="20"/>
              </w:rPr>
              <w:t>Adult onset vs never diagnosed</w:t>
            </w:r>
          </w:p>
          <w:p w:rsidR="00201753" w:rsidRPr="00552A36" w:rsidRDefault="00201753" w:rsidP="0086242F">
            <w:pPr>
              <w:pStyle w:val="NoSpacing"/>
              <w:rPr>
                <w:rFonts w:cs="Arial"/>
                <w:szCs w:val="20"/>
              </w:rPr>
            </w:pPr>
            <w:r w:rsidRPr="00552A36">
              <w:rPr>
                <w:rFonts w:cs="Arial"/>
                <w:szCs w:val="20"/>
              </w:rPr>
              <w:t>1.08(0.81,1.45),p=0.59</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INT(5-11)-AUD </w:t>
            </w:r>
            <w:proofErr w:type="spellStart"/>
            <w:r w:rsidRPr="00552A36">
              <w:rPr>
                <w:rFonts w:cs="Arial"/>
                <w:szCs w:val="20"/>
              </w:rPr>
              <w:t>traj</w:t>
            </w:r>
            <w:proofErr w:type="spellEnd"/>
            <w:r w:rsidRPr="00552A36">
              <w:rPr>
                <w:rFonts w:cs="Arial"/>
                <w:szCs w:val="20"/>
              </w:rPr>
              <w:t xml:space="preserve"> (18~32)</w:t>
            </w:r>
          </w:p>
        </w:tc>
        <w:tc>
          <w:tcPr>
            <w:tcW w:w="3912" w:type="dxa"/>
            <w:vAlign w:val="center"/>
          </w:tcPr>
          <w:p w:rsidR="00201753" w:rsidRPr="00552A36" w:rsidRDefault="00201753" w:rsidP="0086242F">
            <w:pPr>
              <w:pStyle w:val="NoSpacing"/>
              <w:rPr>
                <w:rFonts w:cs="Arial"/>
                <w:szCs w:val="20"/>
              </w:rPr>
            </w:pPr>
            <w:r w:rsidRPr="00552A36">
              <w:rPr>
                <w:rFonts w:cs="Arial"/>
                <w:szCs w:val="20"/>
              </w:rPr>
              <w:t>1.08(0.80,1.46),p=0</w:t>
            </w:r>
            <w:r>
              <w:rPr>
                <w:rFonts w:cs="Arial"/>
                <w:szCs w:val="20"/>
              </w:rPr>
              <w:t>.</w:t>
            </w:r>
            <w:r w:rsidRPr="00552A36">
              <w:rPr>
                <w:rFonts w:cs="Arial"/>
                <w:szCs w:val="20"/>
              </w:rPr>
              <w:t>62</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EXT(11-18)-AUD </w:t>
            </w:r>
            <w:proofErr w:type="spellStart"/>
            <w:r w:rsidRPr="00552A36">
              <w:rPr>
                <w:rFonts w:cs="Arial"/>
                <w:szCs w:val="20"/>
              </w:rPr>
              <w:t>traj</w:t>
            </w:r>
            <w:proofErr w:type="spellEnd"/>
            <w:r w:rsidRPr="00552A36">
              <w:rPr>
                <w:rFonts w:cs="Arial"/>
                <w:szCs w:val="20"/>
              </w:rPr>
              <w:t xml:space="preserve"> (18-32)</w:t>
            </w:r>
          </w:p>
        </w:tc>
        <w:tc>
          <w:tcPr>
            <w:tcW w:w="3912" w:type="dxa"/>
            <w:vAlign w:val="center"/>
          </w:tcPr>
          <w:p w:rsidR="00201753" w:rsidRPr="00552A36" w:rsidRDefault="00201753" w:rsidP="0086242F">
            <w:pPr>
              <w:pStyle w:val="NoSpacing"/>
              <w:rPr>
                <w:rFonts w:cs="Arial"/>
                <w:szCs w:val="20"/>
              </w:rPr>
            </w:pPr>
            <w:r w:rsidRPr="00552A36">
              <w:rPr>
                <w:rFonts w:cs="Arial"/>
                <w:szCs w:val="20"/>
              </w:rPr>
              <w:t>1.50(0.71,3.19),p=0.29</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DEP(11-18)-AUD </w:t>
            </w:r>
            <w:proofErr w:type="spellStart"/>
            <w:r w:rsidRPr="00552A36">
              <w:rPr>
                <w:rFonts w:cs="Arial"/>
                <w:szCs w:val="20"/>
              </w:rPr>
              <w:t>traj</w:t>
            </w:r>
            <w:proofErr w:type="spellEnd"/>
            <w:r w:rsidRPr="00552A36">
              <w:rPr>
                <w:rFonts w:cs="Arial"/>
                <w:szCs w:val="20"/>
              </w:rPr>
              <w:t xml:space="preserve"> (18-32)</w:t>
            </w:r>
          </w:p>
        </w:tc>
        <w:tc>
          <w:tcPr>
            <w:tcW w:w="3912" w:type="dxa"/>
            <w:vAlign w:val="center"/>
          </w:tcPr>
          <w:p w:rsidR="00201753" w:rsidRPr="00552A36" w:rsidRDefault="00201753" w:rsidP="0086242F">
            <w:pPr>
              <w:pStyle w:val="NoSpacing"/>
              <w:rPr>
                <w:rFonts w:cs="Arial"/>
                <w:szCs w:val="20"/>
              </w:rPr>
            </w:pPr>
            <w:r w:rsidRPr="00552A36">
              <w:rPr>
                <w:rFonts w:cs="Arial"/>
                <w:szCs w:val="20"/>
              </w:rPr>
              <w:t>1.90(0.92,3.96),p=0.09</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ANX(11-18)-AUD </w:t>
            </w:r>
            <w:proofErr w:type="spellStart"/>
            <w:r w:rsidRPr="00552A36">
              <w:rPr>
                <w:rFonts w:cs="Arial"/>
                <w:szCs w:val="20"/>
              </w:rPr>
              <w:t>traj</w:t>
            </w:r>
            <w:proofErr w:type="spellEnd"/>
            <w:r w:rsidRPr="00552A36">
              <w:rPr>
                <w:rFonts w:cs="Arial"/>
                <w:szCs w:val="20"/>
              </w:rPr>
              <w:t xml:space="preserve"> (18-32)</w:t>
            </w:r>
          </w:p>
        </w:tc>
        <w:tc>
          <w:tcPr>
            <w:tcW w:w="3912" w:type="dxa"/>
            <w:vAlign w:val="center"/>
          </w:tcPr>
          <w:p w:rsidR="00201753" w:rsidRPr="00552A36" w:rsidRDefault="00201753" w:rsidP="0086242F">
            <w:pPr>
              <w:pStyle w:val="NoSpacing"/>
              <w:rPr>
                <w:rFonts w:cs="Arial"/>
                <w:szCs w:val="20"/>
              </w:rPr>
            </w:pPr>
            <w:r w:rsidRPr="00552A36">
              <w:rPr>
                <w:rFonts w:cs="Arial"/>
                <w:szCs w:val="20"/>
              </w:rPr>
              <w:t>1.55(0.82,2.93),p=0.18</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roofErr w:type="spellStart"/>
            <w:r w:rsidRPr="00552A36">
              <w:rPr>
                <w:rFonts w:cs="Arial"/>
                <w:szCs w:val="20"/>
              </w:rPr>
              <w:t>Naicker</w:t>
            </w:r>
            <w:proofErr w:type="spellEnd"/>
            <w:r w:rsidRPr="00552A36">
              <w:rPr>
                <w:rFonts w:cs="Arial"/>
                <w:szCs w:val="20"/>
              </w:rPr>
              <w:t xml:space="preserve"> et al. (2013)</w:t>
            </w:r>
            <w:r w:rsidRPr="00552A36">
              <w:rPr>
                <w:rFonts w:cs="Arial"/>
                <w:szCs w:val="20"/>
              </w:rPr>
              <w:fldChar w:fldCharType="begin"/>
            </w:r>
            <w:r>
              <w:rPr>
                <w:rFonts w:cs="Arial"/>
                <w:szCs w:val="20"/>
              </w:rPr>
              <w:instrText xml:space="preserve"> ADDIN ZOTERO_ITEM CSL_CITATION {"citationID":"7r0J8pYr","properties":{"formattedCitation":"[20]","plainCitation":"[20]","noteIndex":0},"citationItems":[{"id":701,"uris":["http://zotero.org/users/3535616/items/TS3HKC7A"],"uri":["http://zotero.org/users/3535616/items/TS3HKC7A"],"itemData":{"id":701,"type":"article-journal","title":"Social, demographic, and health outcomes in the 10 years following adolescent Depression","container-title":"Journal of Adolescent Health","page":"533-538","volume":"52","issue":"5","abstract":"Purpose: Little attention has been paid to the sociodemographic profiles of depressed youth during the vulnerable transition from adolescence to early adulthood. This study aimed to determine and describe the social, demographic, and health outcomes of adolescent depression during a 10-year period of transition into early adulthood, using a population-based cohort of Canadian teenagers. Methods: Depression status on 1,027 adolescents aged 16-17 years was ascertained from the National Population Health Survey. Social and health outcomes (i.e., employment status, marital status, personal income, education, social support, self-perceived stress, heavy drinking, smoking, migraine headaches, adult depression, antidepressant use, self-rated health, and physical activity) were measured every 2 years until the ages of 26-27 years. Logistic regression was combined with a generalized linear mixed-model approach to determine the odds of health and social outcomes in depressed versus nondepressed adolescents. Results: Proximal effects of adolescent depression were observed (at ages 18-19) on all outcomes with the exception of physical activity. Significant effects that persisted after 10 years included depression recurrence, higher severity of symptoms, migraine headaches, poor self-rated health, and low levels of social support. Adolescent depression did not appear to significantly affect employment status, personal income, marital status, or educational attainment. Conclusions: The transition from adolescence to adulthood is a particularly vulnerable period due to educational, employment, and social changes that may be occurring. The results of this study indicate that the onset of depression during adolescence may be indicative of problems of adaptation that persist at least a decade into early adulthood. © 2013 Society for Adolescent Health and Medicine. All rights reserved.","ISSN":"1054-139X","author":[{"literal":"Naicker K"},{"literal":"Galambos N L"},{"literal":"Zeng Y"},{"literal":"Senthilselvan A"},{"literal":"Colman I"}],"issued":{"date-parts":[["2013"]]}}}],"schema":"https://github.com/citation-style-language/schema/raw/master/csl-citation.json"} </w:instrText>
            </w:r>
            <w:r w:rsidRPr="00552A36">
              <w:rPr>
                <w:rFonts w:cs="Arial"/>
                <w:szCs w:val="20"/>
              </w:rPr>
              <w:fldChar w:fldCharType="separate"/>
            </w:r>
            <w:r w:rsidRPr="005D70E3">
              <w:rPr>
                <w:rFonts w:cs="Arial"/>
              </w:rPr>
              <w:t>[20]</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DEP(16/17)-H/P Drinking (18/19)</w:t>
            </w:r>
          </w:p>
        </w:tc>
        <w:tc>
          <w:tcPr>
            <w:tcW w:w="3912" w:type="dxa"/>
            <w:vAlign w:val="center"/>
          </w:tcPr>
          <w:p w:rsidR="00201753" w:rsidRPr="00552A36" w:rsidRDefault="00201753" w:rsidP="0086242F">
            <w:pPr>
              <w:pStyle w:val="NoSpacing"/>
              <w:rPr>
                <w:rFonts w:cs="Arial"/>
                <w:szCs w:val="20"/>
              </w:rPr>
            </w:pPr>
            <w:r w:rsidRPr="00552A36">
              <w:rPr>
                <w:rFonts w:cs="Arial"/>
                <w:szCs w:val="20"/>
              </w:rPr>
              <w:t>2.70(1.20,6.07)</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 xml:space="preserve">Logistic </w:t>
            </w:r>
            <w:proofErr w:type="spellStart"/>
            <w:r w:rsidRPr="00552A36">
              <w:rPr>
                <w:rFonts w:cs="Arial"/>
                <w:szCs w:val="20"/>
              </w:rPr>
              <w:t>reg</w:t>
            </w:r>
            <w:proofErr w:type="spellEnd"/>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Sex and adolescent socioeconomic status</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4</w:t>
            </w: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DEP(16/17)-H/P Drinking (20/21) </w:t>
            </w:r>
          </w:p>
        </w:tc>
        <w:tc>
          <w:tcPr>
            <w:tcW w:w="3912" w:type="dxa"/>
            <w:vAlign w:val="center"/>
          </w:tcPr>
          <w:p w:rsidR="00201753" w:rsidRPr="00552A36" w:rsidRDefault="00201753" w:rsidP="0086242F">
            <w:pPr>
              <w:pStyle w:val="NoSpacing"/>
              <w:rPr>
                <w:rFonts w:cs="Arial"/>
                <w:szCs w:val="20"/>
              </w:rPr>
            </w:pPr>
            <w:r w:rsidRPr="00552A36">
              <w:rPr>
                <w:rFonts w:cs="Arial"/>
                <w:szCs w:val="20"/>
              </w:rPr>
              <w:t>1.47(0.67,3.25)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DEP(16/17)-H/P Drinking (22/23) </w:t>
            </w:r>
          </w:p>
        </w:tc>
        <w:tc>
          <w:tcPr>
            <w:tcW w:w="3912" w:type="dxa"/>
            <w:vAlign w:val="center"/>
          </w:tcPr>
          <w:p w:rsidR="00201753" w:rsidRPr="00552A36" w:rsidRDefault="00201753" w:rsidP="0086242F">
            <w:pPr>
              <w:pStyle w:val="NoSpacing"/>
              <w:rPr>
                <w:rFonts w:cs="Arial"/>
                <w:szCs w:val="20"/>
              </w:rPr>
            </w:pPr>
            <w:r w:rsidRPr="00552A36">
              <w:rPr>
                <w:rFonts w:cs="Arial"/>
                <w:szCs w:val="20"/>
              </w:rPr>
              <w:t>1.39(0.46,4.21)</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 xml:space="preserve">DEP(16/17)-H/P Drinking (24/25) </w:t>
            </w:r>
          </w:p>
        </w:tc>
        <w:tc>
          <w:tcPr>
            <w:tcW w:w="3912" w:type="dxa"/>
            <w:vAlign w:val="center"/>
          </w:tcPr>
          <w:p w:rsidR="00201753" w:rsidRPr="00552A36" w:rsidRDefault="00201753" w:rsidP="0086242F">
            <w:pPr>
              <w:pStyle w:val="NoSpacing"/>
              <w:rPr>
                <w:rFonts w:cs="Arial"/>
                <w:szCs w:val="20"/>
              </w:rPr>
            </w:pPr>
            <w:r w:rsidRPr="00552A36">
              <w:rPr>
                <w:rFonts w:cs="Arial"/>
                <w:szCs w:val="20"/>
              </w:rPr>
              <w:t>2.14(0.72,6.44)</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DEP(16/17)-H/P Drinking (26/27)</w:t>
            </w:r>
          </w:p>
        </w:tc>
        <w:tc>
          <w:tcPr>
            <w:tcW w:w="3912" w:type="dxa"/>
            <w:vAlign w:val="center"/>
          </w:tcPr>
          <w:p w:rsidR="00201753" w:rsidRPr="00552A36" w:rsidRDefault="00201753" w:rsidP="0086242F">
            <w:pPr>
              <w:pStyle w:val="NoSpacing"/>
              <w:rPr>
                <w:rFonts w:cs="Arial"/>
                <w:szCs w:val="20"/>
              </w:rPr>
            </w:pPr>
            <w:r w:rsidRPr="00552A36">
              <w:rPr>
                <w:rFonts w:cs="Arial"/>
                <w:szCs w:val="20"/>
              </w:rPr>
              <w:t>1(0.33,3.1)</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DEP(16/17)-H/P Drinking (18-27)</w:t>
            </w:r>
          </w:p>
        </w:tc>
        <w:tc>
          <w:tcPr>
            <w:tcW w:w="3912" w:type="dxa"/>
            <w:vAlign w:val="center"/>
          </w:tcPr>
          <w:p w:rsidR="00201753" w:rsidRPr="00552A36" w:rsidRDefault="00201753" w:rsidP="0086242F">
            <w:pPr>
              <w:pStyle w:val="NoSpacing"/>
              <w:rPr>
                <w:rFonts w:cs="Arial"/>
                <w:szCs w:val="20"/>
              </w:rPr>
            </w:pPr>
            <w:r w:rsidRPr="00552A36">
              <w:rPr>
                <w:rFonts w:cs="Arial"/>
                <w:szCs w:val="20"/>
              </w:rPr>
              <w:t>1.78(1.10,2.87)</w:t>
            </w:r>
          </w:p>
        </w:tc>
        <w:tc>
          <w:tcPr>
            <w:tcW w:w="737" w:type="dxa"/>
            <w:vMerge/>
            <w:vAlign w:val="center"/>
          </w:tcPr>
          <w:p w:rsidR="00201753" w:rsidRPr="00552A36" w:rsidRDefault="00201753" w:rsidP="0086242F">
            <w:pPr>
              <w:pStyle w:val="NoSpacing"/>
              <w:rPr>
                <w:rFonts w:cs="Arial"/>
                <w:szCs w:val="20"/>
              </w:rPr>
            </w:pPr>
          </w:p>
        </w:tc>
        <w:tc>
          <w:tcPr>
            <w:tcW w:w="1020" w:type="dxa"/>
            <w:vAlign w:val="center"/>
          </w:tcPr>
          <w:p w:rsidR="00201753" w:rsidRPr="00552A36" w:rsidRDefault="00201753" w:rsidP="0086242F">
            <w:pPr>
              <w:pStyle w:val="NoSpacing"/>
              <w:rPr>
                <w:rFonts w:cs="Arial"/>
                <w:szCs w:val="20"/>
              </w:rPr>
            </w:pPr>
            <w:r w:rsidRPr="00552A36">
              <w:rPr>
                <w:rFonts w:cs="Arial"/>
                <w:szCs w:val="20"/>
              </w:rPr>
              <w:t>Generalized Linear Mixed</w:t>
            </w:r>
            <w:r w:rsidRPr="00552A36">
              <w:rPr>
                <w:rFonts w:cs="Arial"/>
                <w:szCs w:val="20"/>
              </w:rPr>
              <w:br/>
              <w:t>Model</w:t>
            </w: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t>Green et al.</w:t>
            </w:r>
          </w:p>
          <w:p w:rsidR="00201753" w:rsidRPr="00552A36" w:rsidRDefault="00201753" w:rsidP="0086242F">
            <w:pPr>
              <w:pStyle w:val="NoSpacing"/>
              <w:rPr>
                <w:rFonts w:cs="Arial"/>
                <w:szCs w:val="20"/>
              </w:rPr>
            </w:pPr>
            <w:r w:rsidRPr="00552A36">
              <w:rPr>
                <w:rFonts w:cs="Arial"/>
                <w:szCs w:val="20"/>
              </w:rPr>
              <w:t>(2012)</w:t>
            </w:r>
            <w:r w:rsidRPr="00552A36">
              <w:rPr>
                <w:rFonts w:cs="Arial"/>
                <w:szCs w:val="20"/>
              </w:rPr>
              <w:fldChar w:fldCharType="begin"/>
            </w:r>
            <w:r>
              <w:rPr>
                <w:rFonts w:cs="Arial"/>
                <w:szCs w:val="20"/>
              </w:rPr>
              <w:instrText xml:space="preserve"> ADDIN ZOTERO_ITEM CSL_CITATION {"citationID":"myPkE3WB","properties":{"formattedCitation":"[21]","plainCitation":"[21]","noteIndex":0},"citationItems":[{"id":470,"uris":["http://zotero.org/users/3535616/items/J5I338NA"],"uri":["http://zotero.org/users/3535616/items/J5I338NA"],"itemData":{"id":470,"type":"article-journal","title":"Interrelationship of substance use and psychological distress over the life course among a cohort of urban African Americans","container-title":"Drug and Alcohol Dependence","page":"239-248","volume":"123","issue":"1-3","abstract":"Background: Substance use and psychological problems are major public health issues because of their high prevalence, co-occurrence, clustering in socio-economically disadvantaged groups, and serious consequences. However, their interrelationship over time is not well understood. Methods: This study identifies and compares the developmental epidemiology from age 6 to 42 of substance use and psychological distress in a population of African American men and women. Data come from the Woodlawn study, a longitudinal study of an urban community cohort followed since 1966. We use structural equation modeling to examine pathways between substance use (i.e., alcohol, marijuana, and cocaine) and psychological distress over time by gender. Results: We find significant continuity from adolescence to midlife for substance use and for psychological distress, as well as significant correlations within time periods between substance use and psychological distress, particularly among women. We also find greater adolescent substance use predicts psychological distress in young adulthood for men, but no cross-lag associations for women. Women's adolescent psychological distress and substance use are linked uniquely to that of their mothers. Findings show additional gender differences in the developmental etiology of substance use and psychological distress. Conclusions: Findings demonstrate the continuity of substance use and psychological distress over time; the contemporaneous relationships between psychological distress and substance use within time periods, and minimal cross-lagged relationships. Findings also show that adolescent substance use may set boys on a pathway of long-term psychological distress, thus adding to evidence of negative consequences of frequent use. © 2011 Elsevier Ireland Ltd.","ISSN":"0376-8716","author":[{"literal":"Green K M"},{"literal":"Zebrak K A"},{"literal":"Robertson J A"},{"literal":"Fothergill K E"},{"literal":"Ensminger M E"}],"issued":{"date-parts":[["2012"]]}}}],"schema":"https://github.com/citation-style-language/schema/raw/master/csl-citation.json"} </w:instrText>
            </w:r>
            <w:r w:rsidRPr="00552A36">
              <w:rPr>
                <w:rFonts w:cs="Arial"/>
                <w:szCs w:val="20"/>
              </w:rPr>
              <w:fldChar w:fldCharType="separate"/>
            </w:r>
            <w:r w:rsidRPr="005D70E3">
              <w:rPr>
                <w:rFonts w:cs="Arial"/>
              </w:rPr>
              <w:t>[21]</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INT(16)-AC(32/33)</w:t>
            </w:r>
          </w:p>
        </w:tc>
        <w:tc>
          <w:tcPr>
            <w:tcW w:w="3912" w:type="dxa"/>
            <w:vAlign w:val="center"/>
          </w:tcPr>
          <w:p w:rsidR="00201753" w:rsidRPr="00552A36" w:rsidRDefault="00201753" w:rsidP="0086242F">
            <w:pPr>
              <w:pStyle w:val="NoSpacing"/>
              <w:rPr>
                <w:rFonts w:cs="Arial"/>
                <w:szCs w:val="20"/>
              </w:rPr>
            </w:pPr>
            <w:r w:rsidRPr="00552A36">
              <w:rPr>
                <w:rFonts w:cs="Arial"/>
                <w:szCs w:val="20"/>
              </w:rPr>
              <w:t>-0.311(0.147),p&lt;0.05 for male</w:t>
            </w:r>
          </w:p>
          <w:p w:rsidR="00201753" w:rsidRPr="00207FE9" w:rsidRDefault="00201753" w:rsidP="0086242F">
            <w:pPr>
              <w:pStyle w:val="Bibliography"/>
              <w:rPr>
                <w:rFonts w:ascii="Arial" w:hAnsi="Arial" w:cs="Arial"/>
                <w:sz w:val="20"/>
              </w:rPr>
            </w:pPr>
            <w:r w:rsidRPr="00552A36">
              <w:rPr>
                <w:rFonts w:cs="Arial"/>
                <w:szCs w:val="20"/>
              </w:rPr>
              <w:t>-</w:t>
            </w:r>
            <w:r w:rsidRPr="00A56530">
              <w:rPr>
                <w:rFonts w:ascii="Arial" w:hAnsi="Arial" w:cs="Arial"/>
                <w:sz w:val="20"/>
                <w:szCs w:val="20"/>
              </w:rPr>
              <w:t>0.023(0.111),p&gt;0.05 for female</w:t>
            </w:r>
            <w:r>
              <w:rPr>
                <w:rFonts w:cs="Arial"/>
                <w:szCs w:val="20"/>
              </w:rPr>
              <w:fldChar w:fldCharType="begin"/>
            </w:r>
            <w:r>
              <w:rPr>
                <w:rFonts w:cs="Arial"/>
                <w:szCs w:val="20"/>
              </w:rPr>
              <w:instrText xml:space="preserve"> ADDIN ZOTERO_BIBL {"uncited":[],"omitted":[],"custom":[]} CSL_BIBLIOGRAPHY </w:instrText>
            </w:r>
            <w:r>
              <w:rPr>
                <w:rFonts w:cs="Arial"/>
                <w:szCs w:val="20"/>
              </w:rPr>
              <w:fldChar w:fldCharType="end"/>
            </w:r>
          </w:p>
        </w:tc>
        <w:tc>
          <w:tcPr>
            <w:tcW w:w="737" w:type="dxa"/>
            <w:vAlign w:val="center"/>
          </w:tcPr>
          <w:p w:rsidR="00201753" w:rsidRPr="00552A36" w:rsidRDefault="00201753" w:rsidP="0086242F">
            <w:pPr>
              <w:pStyle w:val="NoSpacing"/>
              <w:rPr>
                <w:rFonts w:cs="Arial"/>
                <w:szCs w:val="20"/>
              </w:rPr>
            </w:pPr>
            <w:r w:rsidRPr="00552A36">
              <w:rPr>
                <w:rFonts w:cs="Arial"/>
                <w:szCs w:val="20"/>
              </w:rPr>
              <w:t>Yes</w:t>
            </w:r>
          </w:p>
        </w:tc>
        <w:tc>
          <w:tcPr>
            <w:tcW w:w="1020" w:type="dxa"/>
            <w:vAlign w:val="center"/>
          </w:tcPr>
          <w:p w:rsidR="00201753" w:rsidRPr="00552A36" w:rsidRDefault="00201753" w:rsidP="0086242F">
            <w:pPr>
              <w:pStyle w:val="NoSpacing"/>
              <w:rPr>
                <w:rFonts w:cs="Arial"/>
                <w:szCs w:val="20"/>
              </w:rPr>
            </w:pPr>
            <w:r w:rsidRPr="00552A36">
              <w:rPr>
                <w:rFonts w:cs="Arial"/>
                <w:szCs w:val="20"/>
              </w:rPr>
              <w:t>SEM</w:t>
            </w:r>
          </w:p>
        </w:tc>
        <w:tc>
          <w:tcPr>
            <w:tcW w:w="3969" w:type="dxa"/>
            <w:vAlign w:val="center"/>
          </w:tcPr>
          <w:p w:rsidR="00201753" w:rsidRPr="00552A36" w:rsidRDefault="00201753" w:rsidP="0086242F">
            <w:pPr>
              <w:pStyle w:val="NoSpacing"/>
              <w:rPr>
                <w:rFonts w:cs="Arial"/>
                <w:szCs w:val="20"/>
              </w:rPr>
            </w:pPr>
            <w:r w:rsidRPr="00552A36">
              <w:rPr>
                <w:rFonts w:cs="Arial"/>
                <w:szCs w:val="20"/>
              </w:rPr>
              <w:t>Mother's psychological distress at childhood and adolescence; low social economic status, mother's rating of psychological distress, teacher's rating of psychological distress, poor school performance, poor classroom behaviour, mother's substance use at adolescence, later psychological distress and marijuana/cocaine use</w:t>
            </w:r>
          </w:p>
        </w:tc>
        <w:tc>
          <w:tcPr>
            <w:tcW w:w="454" w:type="dxa"/>
            <w:vAlign w:val="center"/>
          </w:tcPr>
          <w:p w:rsidR="00201753" w:rsidRPr="00552A36" w:rsidRDefault="00201753" w:rsidP="0086242F">
            <w:pPr>
              <w:pStyle w:val="NoSpacing"/>
              <w:rPr>
                <w:rFonts w:cs="Arial"/>
                <w:szCs w:val="20"/>
              </w:rPr>
            </w:pPr>
            <w:r w:rsidRPr="00552A36">
              <w:rPr>
                <w:rFonts w:cs="Arial"/>
                <w:szCs w:val="20"/>
              </w:rPr>
              <w:t>5</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t>McKenzie et al.</w:t>
            </w:r>
          </w:p>
          <w:p w:rsidR="00201753" w:rsidRPr="00552A36" w:rsidRDefault="00201753" w:rsidP="0086242F">
            <w:pPr>
              <w:pStyle w:val="NoSpacing"/>
              <w:rPr>
                <w:rFonts w:cs="Arial"/>
                <w:szCs w:val="20"/>
              </w:rPr>
            </w:pPr>
            <w:r w:rsidRPr="00552A36">
              <w:rPr>
                <w:rFonts w:cs="Arial"/>
                <w:szCs w:val="20"/>
              </w:rPr>
              <w:t>(2011)</w:t>
            </w:r>
            <w:r w:rsidRPr="00552A36">
              <w:rPr>
                <w:rFonts w:cs="Arial"/>
                <w:szCs w:val="20"/>
              </w:rPr>
              <w:fldChar w:fldCharType="begin"/>
            </w:r>
            <w:r>
              <w:rPr>
                <w:rFonts w:cs="Arial"/>
                <w:szCs w:val="20"/>
              </w:rPr>
              <w:instrText xml:space="preserve"> ADDIN ZOTERO_ITEM CSL_CITATION {"citationID":"QpbcOqVX","properties":{"formattedCitation":"[24]","plainCitation":"[24]","noteIndex":0},"citationItems":[{"id":1834,"uris":["http://zotero.org/users/3535616/items/QGV7W7K7"],"uri":["http://zotero.org/users/3535616/items/QGV7W7K7"],"itemData":{"id":1834,"type":"article-journal","title":"Association of adolescent symptoms of depression and anxiety with alcohol use disorders in young adulthood: findings from the Victorian Adolescent Health Cohort Study","container-title":"The Medical Journal of Australia","page":"27","volume":"195","issue":"3","source":"www.mja.com.au","abstract":"Association of adolescent symptoms of depression and anxiety with alcohol use disorders in young adulthood: findings from the Victorian Adolescent Health Cohort Study","title-short":"Association of adolescent symptoms of depression and anxiety with alcohol use disorders in young adulthood","language":"en","author":[{"family":"McKenzie","given":"Maria"},{"family":"Jorm","given":"Anthony F."},{"family":"Romaniuk","given":"Helena"},{"family":"Olsson","given":"Craig A."},{"family":"Patton","given":"George C."}],"issued":{"date-parts":[["2011",8,1]]}}}],"schema":"https://github.com/citation-style-language/schema/raw/master/csl-citation.json"} </w:instrText>
            </w:r>
            <w:r w:rsidRPr="00552A36">
              <w:rPr>
                <w:rFonts w:cs="Arial"/>
                <w:szCs w:val="20"/>
              </w:rPr>
              <w:fldChar w:fldCharType="separate"/>
            </w:r>
            <w:r w:rsidRPr="005D70E3">
              <w:rPr>
                <w:rFonts w:cs="Arial"/>
              </w:rPr>
              <w:t>[24]</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INT(15.5-17.4)-AUD(24)</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Reference group: 0 waves </w:t>
            </w:r>
            <w:proofErr w:type="gramStart"/>
            <w:r w:rsidRPr="00552A36">
              <w:rPr>
                <w:rFonts w:cs="Arial"/>
                <w:szCs w:val="20"/>
              </w:rPr>
              <w:t>OR(</w:t>
            </w:r>
            <w:proofErr w:type="gramEnd"/>
            <w:r w:rsidRPr="00552A36">
              <w:rPr>
                <w:rFonts w:cs="Arial"/>
                <w:szCs w:val="20"/>
              </w:rPr>
              <w:t xml:space="preserve">95%) </w:t>
            </w:r>
          </w:p>
          <w:p w:rsidR="00201753" w:rsidRPr="00552A36" w:rsidRDefault="00201753" w:rsidP="0086242F">
            <w:pPr>
              <w:pStyle w:val="NoSpacing"/>
              <w:rPr>
                <w:rFonts w:cs="Arial"/>
                <w:szCs w:val="20"/>
              </w:rPr>
            </w:pPr>
            <w:r w:rsidRPr="00552A36">
              <w:rPr>
                <w:rFonts w:cs="Arial"/>
                <w:szCs w:val="20"/>
              </w:rPr>
              <w:t>1-2 waves: 1.3(1.2-1.4),p&lt;0.001</w:t>
            </w:r>
          </w:p>
          <w:p w:rsidR="00201753" w:rsidRPr="00552A36" w:rsidRDefault="00201753" w:rsidP="0086242F">
            <w:pPr>
              <w:pStyle w:val="NoSpacing"/>
              <w:rPr>
                <w:rFonts w:cs="Arial"/>
                <w:szCs w:val="20"/>
              </w:rPr>
            </w:pPr>
            <w:r w:rsidRPr="00552A36">
              <w:rPr>
                <w:rFonts w:cs="Arial"/>
                <w:szCs w:val="20"/>
              </w:rPr>
              <w:t>&gt;2 waves: 1.9(1.7-2.0),p&lt;0.001</w:t>
            </w:r>
          </w:p>
        </w:tc>
        <w:tc>
          <w:tcPr>
            <w:tcW w:w="737" w:type="dxa"/>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Align w:val="center"/>
          </w:tcPr>
          <w:p w:rsidR="00201753" w:rsidRPr="00552A36" w:rsidRDefault="00201753" w:rsidP="0086242F">
            <w:pPr>
              <w:pStyle w:val="NoSpacing"/>
              <w:rPr>
                <w:rFonts w:cs="Arial"/>
                <w:szCs w:val="20"/>
              </w:rPr>
            </w:pPr>
            <w:r w:rsidRPr="00552A36">
              <w:rPr>
                <w:rFonts w:cs="Arial"/>
                <w:szCs w:val="20"/>
              </w:rPr>
              <w:t xml:space="preserve">Logistic </w:t>
            </w:r>
            <w:proofErr w:type="spellStart"/>
            <w:r w:rsidRPr="00552A36">
              <w:rPr>
                <w:rFonts w:cs="Arial"/>
                <w:szCs w:val="20"/>
              </w:rPr>
              <w:t>reg</w:t>
            </w:r>
            <w:proofErr w:type="spellEnd"/>
          </w:p>
        </w:tc>
        <w:tc>
          <w:tcPr>
            <w:tcW w:w="3969" w:type="dxa"/>
            <w:vAlign w:val="center"/>
          </w:tcPr>
          <w:p w:rsidR="00201753" w:rsidRPr="00552A36" w:rsidRDefault="00201753" w:rsidP="0086242F">
            <w:pPr>
              <w:pStyle w:val="NoSpacing"/>
              <w:rPr>
                <w:rFonts w:cs="Arial"/>
                <w:szCs w:val="20"/>
              </w:rPr>
            </w:pPr>
            <w:r w:rsidRPr="00552A36">
              <w:rPr>
                <w:rFonts w:cs="Arial"/>
                <w:szCs w:val="20"/>
              </w:rPr>
              <w:t>Adolescent alcohol use, tobacco use, sex, school location, country of birth, parental education, marital status, parental tobacco and alcohol use</w:t>
            </w:r>
          </w:p>
        </w:tc>
        <w:tc>
          <w:tcPr>
            <w:tcW w:w="454" w:type="dxa"/>
            <w:vAlign w:val="center"/>
          </w:tcPr>
          <w:p w:rsidR="00201753" w:rsidRPr="00552A36" w:rsidRDefault="00201753" w:rsidP="0086242F">
            <w:pPr>
              <w:pStyle w:val="NoSpacing"/>
              <w:rPr>
                <w:rFonts w:cs="Arial"/>
                <w:szCs w:val="20"/>
              </w:rPr>
            </w:pPr>
            <w:r w:rsidRPr="00552A36">
              <w:rPr>
                <w:rFonts w:cs="Arial"/>
                <w:szCs w:val="20"/>
              </w:rPr>
              <w:t>8</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roofErr w:type="spellStart"/>
            <w:r w:rsidRPr="00552A36">
              <w:rPr>
                <w:rFonts w:cs="Arial"/>
                <w:szCs w:val="20"/>
              </w:rPr>
              <w:t>Stumm</w:t>
            </w:r>
            <w:proofErr w:type="spellEnd"/>
            <w:r w:rsidRPr="00552A36">
              <w:rPr>
                <w:rFonts w:cs="Arial"/>
                <w:szCs w:val="20"/>
              </w:rPr>
              <w:t xml:space="preserve"> et al. (2011)</w:t>
            </w:r>
            <w:r w:rsidRPr="00552A36">
              <w:rPr>
                <w:rFonts w:cs="Arial"/>
                <w:szCs w:val="20"/>
              </w:rPr>
              <w:fldChar w:fldCharType="begin"/>
            </w:r>
            <w:r>
              <w:rPr>
                <w:rFonts w:cs="Arial"/>
                <w:szCs w:val="20"/>
              </w:rPr>
              <w:instrText xml:space="preserve"> ADDIN ZOTERO_ITEM CSL_CITATION {"citationID":"2CIBtyaK","properties":{"formattedCitation":"[25]","plainCitation":"[25]","noteIndex":0},"citationItems":[{"id":579,"uris":["http://zotero.org/users/3535616/items/PM8M9S6M"],"uri":["http://zotero.org/users/3535616/items/PM8M9S6M"],"itemData":{"id":579,"type":"article-journal","title":"Childhood behavior problems and health at midlife: 35-year follow-up of a Scottish birth cohort","container-title":"Journal of Child Psychology and Psychiatry","page":"992-1001","volume":"52","issue":"9","source":"Wiley Online Library","abstract":"Background:  Childhood behavior problems are associated with premature mortality. To identify plausible pathways that may account for this association, we explored the extent to which childhood behavior problems relate to health behaviors and health outcomes at midlife. Methods:  The Aberdeen Children of the 1950s (ACONF) study comprises 12,500 children from the Aberdeen area, Scotland, UK. Childhood behavior problems were assessed by teacher ratings at children’s age of 6–12 years. Between 2001 and 2003, surviving study members, then aged 46–51 years, were mailed a questionnaire containing enquiries about physician-diagnosed conditions (long-term disease, diabetes, high blood pressure), general health, well-being, weight, smoking, and alcohol intake. A total of 7,183 responded. Results:  Two dimensions of externalizing (conduct problems and hyperactivity) and one of internalizing (emotional problems) behaviors were associated with adult health. Childhood conduct problems were related to an increased risk of long-term disease (odds ratio per one standard deviation increase; 95% confidence interval: 1.15; 1.02–1.29 for men; 1.26; 1.08–1.47 for women), obesity (1.16; 1.01–1.33 in men; 1.38; 1.14–1.68 in women), cigarette smoking (1.20; 1.07–1.34 in men; 1.17; 1.01–1.35 in women), and lower well-being. Childhood hyperactivity was associated with earlier initiation of smoking in men and women; smoking more cigarettes in women; and binge-drinking, as well as a higher frequency of hangovers in men. Internalizing behavior was related to a reduced the risk of ever smoking (.87; .80–.95 in men; .92; .85–.99 in women) and to healthier drinking patterns. In women but not men, internalizing problems also predicted a later age of smoking onset. Adjusting for socio-economic status of origin, childhood intelligence, education and age had negligible effects on these results. Conclusions:  Childhood behavior problems were associated with a series of adult health-related habits that may partially account for the link between early problem behaviors and premature mortality.","DOI":"10.1111/j.1469-7610.2011.02373.x","ISSN":"1469-7610","title-short":"Childhood behavior problems and health at midlife","language":"en","author":[{"family":"Stumm","given":"Sophie","non-dropping-particle":"von"},{"family":"Deary","given":"Ian J."},{"family":"Kivimäki","given":"Mika"},{"family":"Jokela","given":"Markus"},{"family":"Clark","given":"Heather"},{"family":"Batty","given":"G. David"}],"issued":{"date-parts":[["2011",9,1]]}}}],"schema":"https://github.com/citation-style-language/schema/raw/master/csl-citation.json"} </w:instrText>
            </w:r>
            <w:r w:rsidRPr="00552A36">
              <w:rPr>
                <w:rFonts w:cs="Arial"/>
                <w:szCs w:val="20"/>
              </w:rPr>
              <w:fldChar w:fldCharType="separate"/>
            </w:r>
            <w:r w:rsidRPr="005D70E3">
              <w:rPr>
                <w:rFonts w:cs="Arial"/>
              </w:rPr>
              <w:t>[25]</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EXT(9.7)-AC(46~52)</w:t>
            </w:r>
          </w:p>
          <w:p w:rsidR="00201753" w:rsidRPr="00552A36" w:rsidRDefault="00201753" w:rsidP="0086242F">
            <w:pPr>
              <w:pStyle w:val="NoSpacing"/>
              <w:rPr>
                <w:rFonts w:cs="Arial"/>
                <w:szCs w:val="20"/>
              </w:rPr>
            </w:pPr>
          </w:p>
        </w:tc>
        <w:tc>
          <w:tcPr>
            <w:tcW w:w="3912" w:type="dxa"/>
            <w:vAlign w:val="center"/>
          </w:tcPr>
          <w:p w:rsidR="00201753" w:rsidRPr="00552A36" w:rsidRDefault="00201753" w:rsidP="0086242F">
            <w:pPr>
              <w:pStyle w:val="NoSpacing"/>
              <w:rPr>
                <w:rFonts w:cs="Arial"/>
                <w:szCs w:val="20"/>
              </w:rPr>
            </w:pPr>
            <w:r w:rsidRPr="00552A36">
              <w:rPr>
                <w:rFonts w:cs="Arial"/>
                <w:szCs w:val="20"/>
              </w:rPr>
              <w:t>Drinking cessation(binary):</w:t>
            </w:r>
          </w:p>
          <w:p w:rsidR="00201753" w:rsidRPr="00552A36" w:rsidRDefault="00201753" w:rsidP="0086242F">
            <w:pPr>
              <w:pStyle w:val="NoSpacing"/>
              <w:rPr>
                <w:rFonts w:cs="Arial"/>
                <w:szCs w:val="20"/>
              </w:rPr>
            </w:pPr>
            <w:r w:rsidRPr="00552A36">
              <w:rPr>
                <w:rFonts w:cs="Arial"/>
                <w:szCs w:val="20"/>
              </w:rPr>
              <w:t>1.10(0.91,1.33) for male</w:t>
            </w:r>
          </w:p>
          <w:p w:rsidR="00201753" w:rsidRPr="00552A36" w:rsidRDefault="00201753" w:rsidP="0086242F">
            <w:pPr>
              <w:pStyle w:val="NoSpacing"/>
              <w:rPr>
                <w:rFonts w:cs="Arial"/>
                <w:szCs w:val="20"/>
              </w:rPr>
            </w:pPr>
            <w:r w:rsidRPr="00552A36">
              <w:rPr>
                <w:rFonts w:cs="Arial"/>
                <w:szCs w:val="20"/>
              </w:rPr>
              <w:t>1.08(0.84,1.40) for female</w:t>
            </w:r>
          </w:p>
          <w:p w:rsidR="00201753" w:rsidRPr="00552A36" w:rsidRDefault="00201753" w:rsidP="0086242F">
            <w:pPr>
              <w:pStyle w:val="NoSpacing"/>
              <w:rPr>
                <w:rFonts w:cs="Arial"/>
                <w:szCs w:val="20"/>
              </w:rPr>
            </w:pPr>
            <w:r w:rsidRPr="00552A36">
              <w:rPr>
                <w:rFonts w:cs="Arial"/>
                <w:szCs w:val="20"/>
              </w:rPr>
              <w:t>Four or more drinks(continuous):</w:t>
            </w:r>
          </w:p>
          <w:p w:rsidR="00201753" w:rsidRPr="00552A36" w:rsidRDefault="00201753" w:rsidP="0086242F">
            <w:pPr>
              <w:pStyle w:val="NoSpacing"/>
              <w:rPr>
                <w:rFonts w:cs="Arial"/>
                <w:szCs w:val="20"/>
              </w:rPr>
            </w:pPr>
            <w:r w:rsidRPr="00552A36">
              <w:rPr>
                <w:rFonts w:cs="Arial"/>
                <w:szCs w:val="20"/>
              </w:rPr>
              <w:t>-0.01(-0.09,0.05) for male</w:t>
            </w:r>
          </w:p>
          <w:p w:rsidR="00201753" w:rsidRPr="00552A36" w:rsidRDefault="00201753" w:rsidP="0086242F">
            <w:pPr>
              <w:pStyle w:val="NoSpacing"/>
              <w:rPr>
                <w:rFonts w:cs="Arial"/>
                <w:szCs w:val="20"/>
              </w:rPr>
            </w:pPr>
            <w:r w:rsidRPr="00552A36">
              <w:rPr>
                <w:rFonts w:cs="Arial"/>
                <w:szCs w:val="20"/>
              </w:rPr>
              <w:t>0.01(-0.08,0.10) for female</w:t>
            </w:r>
          </w:p>
          <w:p w:rsidR="00201753" w:rsidRPr="00552A36" w:rsidRDefault="00201753" w:rsidP="0086242F">
            <w:pPr>
              <w:pStyle w:val="NoSpacing"/>
              <w:rPr>
                <w:rFonts w:cs="Arial"/>
                <w:szCs w:val="20"/>
              </w:rPr>
            </w:pPr>
            <w:r w:rsidRPr="00552A36">
              <w:rPr>
                <w:rFonts w:cs="Arial"/>
                <w:szCs w:val="20"/>
              </w:rPr>
              <w:t>Hangovers(continuous):</w:t>
            </w:r>
          </w:p>
          <w:p w:rsidR="00201753" w:rsidRPr="00552A36" w:rsidRDefault="00201753" w:rsidP="0086242F">
            <w:pPr>
              <w:pStyle w:val="NoSpacing"/>
              <w:rPr>
                <w:rFonts w:cs="Arial"/>
                <w:szCs w:val="20"/>
              </w:rPr>
            </w:pPr>
            <w:r w:rsidRPr="00552A36">
              <w:rPr>
                <w:rFonts w:cs="Arial"/>
                <w:szCs w:val="20"/>
              </w:rPr>
              <w:t xml:space="preserve"> -0.00(-0.05,0.04) for male</w:t>
            </w:r>
          </w:p>
          <w:p w:rsidR="00201753" w:rsidRPr="00552A36" w:rsidRDefault="00201753" w:rsidP="0086242F">
            <w:pPr>
              <w:pStyle w:val="NoSpacing"/>
              <w:rPr>
                <w:rFonts w:cs="Arial"/>
                <w:szCs w:val="20"/>
              </w:rPr>
            </w:pPr>
            <w:r w:rsidRPr="00552A36">
              <w:rPr>
                <w:rFonts w:cs="Arial"/>
                <w:szCs w:val="20"/>
              </w:rPr>
              <w:t>0.02(-0.03,0.08) for female</w:t>
            </w:r>
          </w:p>
          <w:p w:rsidR="00201753" w:rsidRPr="00552A36" w:rsidRDefault="00201753" w:rsidP="0086242F">
            <w:pPr>
              <w:pStyle w:val="NoSpacing"/>
              <w:rPr>
                <w:rFonts w:cs="Arial"/>
                <w:szCs w:val="20"/>
              </w:rPr>
            </w:pPr>
            <w:r w:rsidRPr="00552A36">
              <w:rPr>
                <w:rFonts w:cs="Arial"/>
                <w:szCs w:val="20"/>
              </w:rPr>
              <w:t>Drinking frequency(categorical):</w:t>
            </w:r>
          </w:p>
          <w:p w:rsidR="00201753" w:rsidRPr="00552A36" w:rsidRDefault="00201753" w:rsidP="0086242F">
            <w:pPr>
              <w:pStyle w:val="NoSpacing"/>
              <w:rPr>
                <w:rFonts w:cs="Arial"/>
                <w:szCs w:val="20"/>
              </w:rPr>
            </w:pPr>
            <w:r w:rsidRPr="00552A36">
              <w:rPr>
                <w:rFonts w:cs="Arial"/>
                <w:szCs w:val="20"/>
              </w:rPr>
              <w:t>Reference group: drinking on special occasions</w:t>
            </w:r>
          </w:p>
          <w:p w:rsidR="00201753" w:rsidRPr="00552A36" w:rsidRDefault="00201753" w:rsidP="0086242F">
            <w:pPr>
              <w:pStyle w:val="NoSpacing"/>
              <w:rPr>
                <w:rFonts w:cs="Arial"/>
                <w:szCs w:val="20"/>
              </w:rPr>
            </w:pPr>
            <w:r w:rsidRPr="00552A36">
              <w:rPr>
                <w:rFonts w:cs="Arial"/>
                <w:szCs w:val="20"/>
              </w:rPr>
              <w:t>MALE</w:t>
            </w:r>
          </w:p>
          <w:p w:rsidR="00201753" w:rsidRPr="00552A36" w:rsidRDefault="00201753" w:rsidP="0086242F">
            <w:pPr>
              <w:pStyle w:val="NoSpacing"/>
              <w:rPr>
                <w:rFonts w:cs="Arial"/>
                <w:szCs w:val="20"/>
              </w:rPr>
            </w:pPr>
            <w:r w:rsidRPr="00552A36">
              <w:rPr>
                <w:rFonts w:cs="Arial"/>
                <w:szCs w:val="20"/>
              </w:rPr>
              <w:t>Every day: 0.96(0.78,1.19)</w:t>
            </w:r>
          </w:p>
          <w:p w:rsidR="00201753" w:rsidRPr="00552A36" w:rsidRDefault="00201753" w:rsidP="0086242F">
            <w:pPr>
              <w:pStyle w:val="NoSpacing"/>
              <w:rPr>
                <w:rFonts w:cs="Arial"/>
                <w:szCs w:val="20"/>
              </w:rPr>
            </w:pPr>
            <w:r w:rsidRPr="00552A36">
              <w:rPr>
                <w:rFonts w:cs="Arial"/>
                <w:szCs w:val="20"/>
              </w:rPr>
              <w:t>Most days: 0.85(0.70,1.03)</w:t>
            </w:r>
          </w:p>
          <w:p w:rsidR="00201753" w:rsidRPr="00552A36" w:rsidRDefault="00201753" w:rsidP="0086242F">
            <w:pPr>
              <w:pStyle w:val="NoSpacing"/>
              <w:rPr>
                <w:rFonts w:cs="Arial"/>
                <w:szCs w:val="20"/>
              </w:rPr>
            </w:pPr>
            <w:r w:rsidRPr="00552A36">
              <w:rPr>
                <w:rFonts w:cs="Arial"/>
                <w:szCs w:val="20"/>
              </w:rPr>
              <w:t>Weekends: 0.94(0.80,1.11)</w:t>
            </w:r>
          </w:p>
          <w:p w:rsidR="00201753" w:rsidRPr="00552A36" w:rsidRDefault="00201753" w:rsidP="0086242F">
            <w:pPr>
              <w:pStyle w:val="NoSpacing"/>
              <w:rPr>
                <w:rFonts w:cs="Arial"/>
                <w:szCs w:val="20"/>
              </w:rPr>
            </w:pPr>
            <w:r w:rsidRPr="00552A36">
              <w:rPr>
                <w:rFonts w:cs="Arial"/>
                <w:szCs w:val="20"/>
              </w:rPr>
              <w:t>&lt;once a week: 0.93(0.77,1.12)</w:t>
            </w:r>
          </w:p>
          <w:p w:rsidR="00201753" w:rsidRPr="00552A36" w:rsidRDefault="00201753" w:rsidP="0086242F">
            <w:pPr>
              <w:pStyle w:val="NoSpacing"/>
              <w:rPr>
                <w:rFonts w:cs="Arial"/>
                <w:szCs w:val="20"/>
              </w:rPr>
            </w:pPr>
            <w:r w:rsidRPr="00552A36">
              <w:rPr>
                <w:rFonts w:cs="Arial"/>
                <w:szCs w:val="20"/>
              </w:rPr>
              <w:t>FEMALE</w:t>
            </w:r>
          </w:p>
          <w:p w:rsidR="00201753" w:rsidRPr="00552A36" w:rsidRDefault="00201753" w:rsidP="0086242F">
            <w:pPr>
              <w:pStyle w:val="NoSpacing"/>
              <w:rPr>
                <w:rFonts w:cs="Arial"/>
                <w:szCs w:val="20"/>
              </w:rPr>
            </w:pPr>
            <w:r w:rsidRPr="00552A36">
              <w:rPr>
                <w:rFonts w:cs="Arial"/>
                <w:szCs w:val="20"/>
              </w:rPr>
              <w:lastRenderedPageBreak/>
              <w:t>Every day: 1.27(0.94,1.72)</w:t>
            </w:r>
          </w:p>
          <w:p w:rsidR="00201753" w:rsidRPr="00552A36" w:rsidRDefault="00201753" w:rsidP="0086242F">
            <w:pPr>
              <w:pStyle w:val="NoSpacing"/>
              <w:rPr>
                <w:rFonts w:cs="Arial"/>
                <w:szCs w:val="20"/>
              </w:rPr>
            </w:pPr>
            <w:r w:rsidRPr="00552A36">
              <w:rPr>
                <w:rFonts w:cs="Arial"/>
                <w:szCs w:val="20"/>
              </w:rPr>
              <w:t>Most days: 0.98(0.75,1.28)</w:t>
            </w:r>
          </w:p>
          <w:p w:rsidR="00201753" w:rsidRPr="00552A36" w:rsidRDefault="00201753" w:rsidP="0086242F">
            <w:pPr>
              <w:pStyle w:val="NoSpacing"/>
              <w:rPr>
                <w:rFonts w:cs="Arial"/>
                <w:szCs w:val="20"/>
              </w:rPr>
            </w:pPr>
            <w:r w:rsidRPr="00552A36">
              <w:rPr>
                <w:rFonts w:cs="Arial"/>
                <w:szCs w:val="20"/>
              </w:rPr>
              <w:t>Weekends: 1.01(0.84,1.21)</w:t>
            </w:r>
          </w:p>
          <w:p w:rsidR="00201753" w:rsidRPr="00552A36" w:rsidRDefault="00201753" w:rsidP="0086242F">
            <w:pPr>
              <w:pStyle w:val="NoSpacing"/>
              <w:rPr>
                <w:rFonts w:cs="Arial"/>
                <w:szCs w:val="20"/>
              </w:rPr>
            </w:pPr>
            <w:r w:rsidRPr="00552A36">
              <w:rPr>
                <w:rFonts w:cs="Arial"/>
                <w:szCs w:val="20"/>
              </w:rPr>
              <w:t>&lt;once a week: 1.11(0.90,1.36)</w:t>
            </w:r>
          </w:p>
          <w:p w:rsidR="00201753" w:rsidRPr="00552A36" w:rsidRDefault="00201753" w:rsidP="0086242F">
            <w:pPr>
              <w:pStyle w:val="NoSpacing"/>
              <w:rPr>
                <w:rFonts w:cs="Arial"/>
                <w:szCs w:val="20"/>
              </w:rPr>
            </w:pPr>
            <w:r w:rsidRPr="00552A36">
              <w:rPr>
                <w:rFonts w:cs="Arial"/>
                <w:szCs w:val="20"/>
              </w:rPr>
              <w:t>Alcohol amount(categorical):</w:t>
            </w:r>
          </w:p>
          <w:p w:rsidR="00201753" w:rsidRPr="00552A36" w:rsidRDefault="00201753" w:rsidP="0086242F">
            <w:pPr>
              <w:pStyle w:val="NoSpacing"/>
              <w:rPr>
                <w:rFonts w:cs="Arial"/>
                <w:szCs w:val="20"/>
              </w:rPr>
            </w:pPr>
            <w:r w:rsidRPr="00552A36">
              <w:rPr>
                <w:rFonts w:cs="Arial"/>
                <w:szCs w:val="20"/>
              </w:rPr>
              <w:t>Reference group: light drinkers</w:t>
            </w:r>
          </w:p>
          <w:p w:rsidR="00201753" w:rsidRPr="00552A36" w:rsidRDefault="00201753" w:rsidP="0086242F">
            <w:pPr>
              <w:pStyle w:val="NoSpacing"/>
              <w:rPr>
                <w:rFonts w:cs="Arial"/>
                <w:szCs w:val="20"/>
              </w:rPr>
            </w:pPr>
            <w:r w:rsidRPr="00552A36">
              <w:rPr>
                <w:rFonts w:cs="Arial"/>
                <w:szCs w:val="20"/>
              </w:rPr>
              <w:t>MALE</w:t>
            </w:r>
          </w:p>
          <w:p w:rsidR="00201753" w:rsidRPr="00552A36" w:rsidRDefault="00201753" w:rsidP="0086242F">
            <w:pPr>
              <w:pStyle w:val="NoSpacing"/>
              <w:rPr>
                <w:rFonts w:cs="Arial"/>
                <w:szCs w:val="20"/>
              </w:rPr>
            </w:pPr>
            <w:r w:rsidRPr="00552A36">
              <w:rPr>
                <w:rFonts w:cs="Arial"/>
                <w:szCs w:val="20"/>
              </w:rPr>
              <w:t>Moderate drinker: 1.01(0.88,1.16)</w:t>
            </w:r>
          </w:p>
          <w:p w:rsidR="00201753" w:rsidRPr="00552A36" w:rsidRDefault="00201753" w:rsidP="0086242F">
            <w:pPr>
              <w:pStyle w:val="NoSpacing"/>
              <w:rPr>
                <w:rFonts w:cs="Arial"/>
                <w:szCs w:val="20"/>
              </w:rPr>
            </w:pPr>
            <w:r w:rsidRPr="00552A36">
              <w:rPr>
                <w:rFonts w:cs="Arial"/>
                <w:szCs w:val="20"/>
              </w:rPr>
              <w:t>Extreme drinker: 0.99(0.88,1.11)</w:t>
            </w:r>
          </w:p>
          <w:p w:rsidR="00201753" w:rsidRPr="00552A36" w:rsidRDefault="00201753" w:rsidP="0086242F">
            <w:pPr>
              <w:pStyle w:val="NoSpacing"/>
              <w:rPr>
                <w:rFonts w:cs="Arial"/>
                <w:szCs w:val="20"/>
              </w:rPr>
            </w:pPr>
            <w:r w:rsidRPr="00552A36">
              <w:rPr>
                <w:rFonts w:cs="Arial"/>
                <w:szCs w:val="20"/>
              </w:rPr>
              <w:t>FEMALE</w:t>
            </w:r>
          </w:p>
          <w:p w:rsidR="00201753" w:rsidRPr="00552A36" w:rsidRDefault="00201753" w:rsidP="0086242F">
            <w:pPr>
              <w:pStyle w:val="NoSpacing"/>
              <w:rPr>
                <w:rFonts w:cs="Arial"/>
                <w:szCs w:val="20"/>
              </w:rPr>
            </w:pPr>
            <w:r w:rsidRPr="00552A36">
              <w:rPr>
                <w:rFonts w:cs="Arial"/>
                <w:szCs w:val="20"/>
              </w:rPr>
              <w:t>Moderate drinker: 0.95(0.78,1.16)</w:t>
            </w:r>
          </w:p>
          <w:p w:rsidR="00201753" w:rsidRPr="00552A36" w:rsidRDefault="00201753" w:rsidP="0086242F">
            <w:pPr>
              <w:pStyle w:val="NoSpacing"/>
              <w:rPr>
                <w:rFonts w:cs="Arial"/>
                <w:szCs w:val="20"/>
              </w:rPr>
            </w:pPr>
            <w:r w:rsidRPr="00552A36">
              <w:rPr>
                <w:rFonts w:cs="Arial"/>
                <w:szCs w:val="20"/>
              </w:rPr>
              <w:t>Extreme drinker: 1.27(1.06,1.52)</w:t>
            </w:r>
          </w:p>
        </w:tc>
        <w:tc>
          <w:tcPr>
            <w:tcW w:w="737" w:type="dxa"/>
            <w:vAlign w:val="center"/>
          </w:tcPr>
          <w:p w:rsidR="00201753" w:rsidRPr="00552A36" w:rsidRDefault="00201753" w:rsidP="0086242F">
            <w:pPr>
              <w:pStyle w:val="NoSpacing"/>
              <w:rPr>
                <w:rFonts w:cs="Arial"/>
                <w:szCs w:val="20"/>
              </w:rPr>
            </w:pPr>
            <w:r w:rsidRPr="00552A36">
              <w:rPr>
                <w:rFonts w:cs="Arial"/>
                <w:szCs w:val="20"/>
              </w:rPr>
              <w:lastRenderedPageBreak/>
              <w:t>NE</w:t>
            </w:r>
          </w:p>
        </w:tc>
        <w:tc>
          <w:tcPr>
            <w:tcW w:w="1020" w:type="dxa"/>
            <w:vAlign w:val="center"/>
          </w:tcPr>
          <w:p w:rsidR="00201753" w:rsidRPr="00552A36" w:rsidRDefault="00201753" w:rsidP="0086242F">
            <w:pPr>
              <w:pStyle w:val="NoSpacing"/>
              <w:rPr>
                <w:rFonts w:cs="Arial"/>
                <w:szCs w:val="20"/>
              </w:rPr>
            </w:pPr>
            <w:r w:rsidRPr="00552A36">
              <w:rPr>
                <w:rFonts w:cs="Arial"/>
                <w:szCs w:val="20"/>
              </w:rPr>
              <w:t xml:space="preserve">OLS(continuous); Logistic </w:t>
            </w:r>
            <w:proofErr w:type="spellStart"/>
            <w:r w:rsidRPr="00552A36">
              <w:rPr>
                <w:rFonts w:cs="Arial"/>
                <w:szCs w:val="20"/>
              </w:rPr>
              <w:t>reg</w:t>
            </w:r>
            <w:proofErr w:type="spellEnd"/>
            <w:r w:rsidRPr="00552A36">
              <w:rPr>
                <w:rFonts w:cs="Arial"/>
                <w:szCs w:val="20"/>
              </w:rPr>
              <w:t xml:space="preserve">(binary); Multinomial logistic </w:t>
            </w:r>
            <w:proofErr w:type="spellStart"/>
            <w:r w:rsidRPr="00552A36">
              <w:rPr>
                <w:rFonts w:cs="Arial"/>
                <w:szCs w:val="20"/>
              </w:rPr>
              <w:t>reg</w:t>
            </w:r>
            <w:proofErr w:type="spellEnd"/>
            <w:r w:rsidRPr="00552A36">
              <w:rPr>
                <w:rFonts w:cs="Arial"/>
                <w:szCs w:val="20"/>
              </w:rPr>
              <w:t>(categorical)</w:t>
            </w:r>
          </w:p>
        </w:tc>
        <w:tc>
          <w:tcPr>
            <w:tcW w:w="3969" w:type="dxa"/>
            <w:vAlign w:val="center"/>
          </w:tcPr>
          <w:p w:rsidR="00201753" w:rsidRPr="00552A36" w:rsidRDefault="00201753" w:rsidP="0086242F">
            <w:pPr>
              <w:pStyle w:val="NoSpacing"/>
              <w:rPr>
                <w:rFonts w:cs="Arial"/>
                <w:szCs w:val="20"/>
              </w:rPr>
            </w:pPr>
            <w:r w:rsidRPr="00552A36">
              <w:rPr>
                <w:rFonts w:cs="Arial"/>
                <w:szCs w:val="20"/>
              </w:rPr>
              <w:t>Age, intelligence, social class of origin, and educational qualification</w:t>
            </w:r>
          </w:p>
        </w:tc>
        <w:tc>
          <w:tcPr>
            <w:tcW w:w="454" w:type="dxa"/>
            <w:vAlign w:val="center"/>
          </w:tcPr>
          <w:p w:rsidR="00201753" w:rsidRPr="00552A36" w:rsidRDefault="00201753" w:rsidP="0086242F">
            <w:pPr>
              <w:pStyle w:val="NoSpacing"/>
              <w:rPr>
                <w:rFonts w:cs="Arial"/>
                <w:szCs w:val="20"/>
              </w:rPr>
            </w:pPr>
            <w:r w:rsidRPr="00552A36">
              <w:rPr>
                <w:rFonts w:cs="Arial"/>
                <w:szCs w:val="20"/>
              </w:rPr>
              <w:t>3</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INT(9.7)-AC(46~52)</w:t>
            </w:r>
          </w:p>
        </w:tc>
        <w:tc>
          <w:tcPr>
            <w:tcW w:w="3912" w:type="dxa"/>
            <w:vAlign w:val="center"/>
          </w:tcPr>
          <w:p w:rsidR="00201753" w:rsidRPr="00552A36" w:rsidRDefault="00201753" w:rsidP="0086242F">
            <w:pPr>
              <w:pStyle w:val="NoSpacing"/>
              <w:rPr>
                <w:rFonts w:cs="Arial"/>
                <w:szCs w:val="20"/>
              </w:rPr>
            </w:pPr>
            <w:r w:rsidRPr="00552A36">
              <w:rPr>
                <w:rFonts w:cs="Arial"/>
                <w:szCs w:val="20"/>
              </w:rPr>
              <w:t>Drinking cessation(binary):</w:t>
            </w:r>
          </w:p>
          <w:p w:rsidR="00201753" w:rsidRPr="00552A36" w:rsidRDefault="00201753" w:rsidP="0086242F">
            <w:pPr>
              <w:pStyle w:val="NoSpacing"/>
              <w:rPr>
                <w:rFonts w:cs="Arial"/>
                <w:szCs w:val="20"/>
              </w:rPr>
            </w:pPr>
            <w:r w:rsidRPr="00552A36">
              <w:rPr>
                <w:rFonts w:cs="Arial"/>
                <w:szCs w:val="20"/>
              </w:rPr>
              <w:t>1.09(0.90,1.33) for male</w:t>
            </w:r>
          </w:p>
          <w:p w:rsidR="00201753" w:rsidRPr="00552A36" w:rsidRDefault="00201753" w:rsidP="0086242F">
            <w:pPr>
              <w:pStyle w:val="NoSpacing"/>
              <w:rPr>
                <w:rFonts w:cs="Arial"/>
                <w:szCs w:val="20"/>
              </w:rPr>
            </w:pPr>
            <w:r w:rsidRPr="00552A36">
              <w:rPr>
                <w:rFonts w:cs="Arial"/>
                <w:szCs w:val="20"/>
              </w:rPr>
              <w:t>1.00(0.84,1.19) for female</w:t>
            </w:r>
          </w:p>
          <w:p w:rsidR="00201753" w:rsidRPr="00552A36" w:rsidRDefault="00201753" w:rsidP="0086242F">
            <w:pPr>
              <w:pStyle w:val="NoSpacing"/>
              <w:rPr>
                <w:rFonts w:cs="Arial"/>
                <w:szCs w:val="20"/>
              </w:rPr>
            </w:pPr>
            <w:r w:rsidRPr="00552A36">
              <w:rPr>
                <w:rFonts w:cs="Arial"/>
                <w:szCs w:val="20"/>
              </w:rPr>
              <w:t>Four or more drinks(continuous):</w:t>
            </w:r>
          </w:p>
          <w:p w:rsidR="00201753" w:rsidRPr="00552A36" w:rsidRDefault="00201753" w:rsidP="0086242F">
            <w:pPr>
              <w:pStyle w:val="NoSpacing"/>
              <w:rPr>
                <w:rFonts w:cs="Arial"/>
                <w:szCs w:val="20"/>
              </w:rPr>
            </w:pPr>
            <w:r w:rsidRPr="00552A36">
              <w:rPr>
                <w:rFonts w:cs="Arial"/>
                <w:szCs w:val="20"/>
              </w:rPr>
              <w:t>-0.08(-0.18,-0.06) for male</w:t>
            </w:r>
          </w:p>
          <w:p w:rsidR="00201753" w:rsidRPr="00552A36" w:rsidRDefault="00201753" w:rsidP="0086242F">
            <w:pPr>
              <w:pStyle w:val="NoSpacing"/>
              <w:rPr>
                <w:rFonts w:cs="Arial"/>
                <w:szCs w:val="20"/>
              </w:rPr>
            </w:pPr>
            <w:r w:rsidRPr="00552A36">
              <w:rPr>
                <w:rFonts w:cs="Arial"/>
                <w:szCs w:val="20"/>
              </w:rPr>
              <w:t>-0.06(-0.14,-0.02) for female</w:t>
            </w:r>
          </w:p>
          <w:p w:rsidR="00201753" w:rsidRPr="00552A36" w:rsidRDefault="00201753" w:rsidP="0086242F">
            <w:pPr>
              <w:pStyle w:val="NoSpacing"/>
              <w:rPr>
                <w:rFonts w:cs="Arial"/>
                <w:szCs w:val="20"/>
              </w:rPr>
            </w:pPr>
            <w:r w:rsidRPr="00552A36">
              <w:rPr>
                <w:rFonts w:cs="Arial"/>
                <w:szCs w:val="20"/>
              </w:rPr>
              <w:t>Hangovers(continuous):</w:t>
            </w:r>
          </w:p>
          <w:p w:rsidR="00201753" w:rsidRPr="00552A36" w:rsidRDefault="00201753" w:rsidP="0086242F">
            <w:pPr>
              <w:pStyle w:val="NoSpacing"/>
              <w:rPr>
                <w:rFonts w:cs="Arial"/>
                <w:szCs w:val="20"/>
              </w:rPr>
            </w:pPr>
            <w:r w:rsidRPr="00552A36">
              <w:rPr>
                <w:rFonts w:cs="Arial"/>
                <w:szCs w:val="20"/>
              </w:rPr>
              <w:t xml:space="preserve"> -0.05(-0.10,-0.01) for male</w:t>
            </w:r>
          </w:p>
          <w:p w:rsidR="00201753" w:rsidRPr="00552A36" w:rsidRDefault="00201753" w:rsidP="0086242F">
            <w:pPr>
              <w:pStyle w:val="NoSpacing"/>
              <w:rPr>
                <w:rFonts w:cs="Arial"/>
                <w:szCs w:val="20"/>
              </w:rPr>
            </w:pPr>
            <w:r w:rsidRPr="00552A36">
              <w:rPr>
                <w:rFonts w:cs="Arial"/>
                <w:szCs w:val="20"/>
              </w:rPr>
              <w:t>-0.01(-0.04,0.02) for female</w:t>
            </w:r>
          </w:p>
          <w:p w:rsidR="00201753" w:rsidRPr="00552A36" w:rsidRDefault="00201753" w:rsidP="0086242F">
            <w:pPr>
              <w:pStyle w:val="NoSpacing"/>
              <w:rPr>
                <w:rFonts w:cs="Arial"/>
                <w:szCs w:val="20"/>
              </w:rPr>
            </w:pPr>
            <w:r w:rsidRPr="00552A36">
              <w:rPr>
                <w:rFonts w:cs="Arial"/>
                <w:szCs w:val="20"/>
              </w:rPr>
              <w:t>Reference group: drinking on special occasions</w:t>
            </w:r>
          </w:p>
          <w:p w:rsidR="00201753" w:rsidRPr="00552A36" w:rsidRDefault="00201753" w:rsidP="0086242F">
            <w:pPr>
              <w:pStyle w:val="NoSpacing"/>
              <w:rPr>
                <w:rFonts w:cs="Arial"/>
                <w:szCs w:val="20"/>
              </w:rPr>
            </w:pPr>
            <w:r w:rsidRPr="00552A36">
              <w:rPr>
                <w:rFonts w:cs="Arial"/>
                <w:szCs w:val="20"/>
              </w:rPr>
              <w:t>MALE</w:t>
            </w:r>
          </w:p>
          <w:p w:rsidR="00201753" w:rsidRPr="00552A36" w:rsidRDefault="00201753" w:rsidP="0086242F">
            <w:pPr>
              <w:pStyle w:val="NoSpacing"/>
              <w:rPr>
                <w:rFonts w:cs="Arial"/>
                <w:szCs w:val="20"/>
              </w:rPr>
            </w:pPr>
            <w:r w:rsidRPr="00552A36">
              <w:rPr>
                <w:rFonts w:cs="Arial"/>
                <w:szCs w:val="20"/>
              </w:rPr>
              <w:t>Every day: 0.99(0.82,1.21)</w:t>
            </w:r>
          </w:p>
          <w:p w:rsidR="00201753" w:rsidRPr="00552A36" w:rsidRDefault="00201753" w:rsidP="0086242F">
            <w:pPr>
              <w:pStyle w:val="NoSpacing"/>
              <w:rPr>
                <w:rFonts w:cs="Arial"/>
                <w:szCs w:val="20"/>
              </w:rPr>
            </w:pPr>
            <w:r w:rsidRPr="00552A36">
              <w:rPr>
                <w:rFonts w:cs="Arial"/>
                <w:szCs w:val="20"/>
              </w:rPr>
              <w:t>Most days: 0.88(0.75,1.04)</w:t>
            </w:r>
          </w:p>
          <w:p w:rsidR="00201753" w:rsidRPr="00552A36" w:rsidRDefault="00201753" w:rsidP="0086242F">
            <w:pPr>
              <w:pStyle w:val="NoSpacing"/>
              <w:rPr>
                <w:rFonts w:cs="Arial"/>
                <w:szCs w:val="20"/>
              </w:rPr>
            </w:pPr>
            <w:r w:rsidRPr="00552A36">
              <w:rPr>
                <w:rFonts w:cs="Arial"/>
                <w:szCs w:val="20"/>
              </w:rPr>
              <w:t>Weekends: 0.92(0.79,1.07)</w:t>
            </w:r>
          </w:p>
          <w:p w:rsidR="00201753" w:rsidRPr="00552A36" w:rsidRDefault="00201753" w:rsidP="0086242F">
            <w:pPr>
              <w:pStyle w:val="NoSpacing"/>
              <w:rPr>
                <w:rFonts w:cs="Arial"/>
                <w:szCs w:val="20"/>
              </w:rPr>
            </w:pPr>
            <w:r w:rsidRPr="00552A36">
              <w:rPr>
                <w:rFonts w:cs="Arial"/>
                <w:szCs w:val="20"/>
              </w:rPr>
              <w:t>&lt;once a week: 0.94(0.78,1.12)</w:t>
            </w:r>
          </w:p>
          <w:p w:rsidR="00201753" w:rsidRPr="00552A36" w:rsidRDefault="00201753" w:rsidP="0086242F">
            <w:pPr>
              <w:pStyle w:val="NoSpacing"/>
              <w:rPr>
                <w:rFonts w:cs="Arial"/>
                <w:szCs w:val="20"/>
              </w:rPr>
            </w:pPr>
            <w:r w:rsidRPr="00552A36">
              <w:rPr>
                <w:rFonts w:cs="Arial"/>
                <w:szCs w:val="20"/>
              </w:rPr>
              <w:t>FEMALE</w:t>
            </w:r>
          </w:p>
          <w:p w:rsidR="00201753" w:rsidRPr="00552A36" w:rsidRDefault="00201753" w:rsidP="0086242F">
            <w:pPr>
              <w:pStyle w:val="NoSpacing"/>
              <w:rPr>
                <w:rFonts w:cs="Arial"/>
                <w:szCs w:val="20"/>
              </w:rPr>
            </w:pPr>
            <w:r w:rsidRPr="00552A36">
              <w:rPr>
                <w:rFonts w:cs="Arial"/>
                <w:szCs w:val="20"/>
              </w:rPr>
              <w:t>Every day: 0.88(0.69,1.13)</w:t>
            </w:r>
          </w:p>
          <w:p w:rsidR="00201753" w:rsidRPr="00552A36" w:rsidRDefault="00201753" w:rsidP="0086242F">
            <w:pPr>
              <w:pStyle w:val="NoSpacing"/>
              <w:rPr>
                <w:rFonts w:cs="Arial"/>
                <w:szCs w:val="20"/>
              </w:rPr>
            </w:pPr>
            <w:r w:rsidRPr="00552A36">
              <w:rPr>
                <w:rFonts w:cs="Arial"/>
                <w:szCs w:val="20"/>
              </w:rPr>
              <w:t>Most days: 1.00(0.88,1.15)</w:t>
            </w:r>
          </w:p>
          <w:p w:rsidR="00201753" w:rsidRPr="00552A36" w:rsidRDefault="00201753" w:rsidP="0086242F">
            <w:pPr>
              <w:pStyle w:val="NoSpacing"/>
              <w:rPr>
                <w:rFonts w:cs="Arial"/>
                <w:szCs w:val="20"/>
              </w:rPr>
            </w:pPr>
            <w:r w:rsidRPr="00552A36">
              <w:rPr>
                <w:rFonts w:cs="Arial"/>
                <w:szCs w:val="20"/>
              </w:rPr>
              <w:t>Weekends: 0.92(0.83,1.03)</w:t>
            </w:r>
          </w:p>
          <w:p w:rsidR="00201753" w:rsidRPr="00552A36" w:rsidRDefault="00201753" w:rsidP="0086242F">
            <w:pPr>
              <w:pStyle w:val="NoSpacing"/>
              <w:rPr>
                <w:rFonts w:cs="Arial"/>
                <w:szCs w:val="20"/>
              </w:rPr>
            </w:pPr>
            <w:r w:rsidRPr="00552A36">
              <w:rPr>
                <w:rFonts w:cs="Arial"/>
                <w:szCs w:val="20"/>
              </w:rPr>
              <w:t>&lt;once a week: 1.05(0.92,1.18)</w:t>
            </w:r>
          </w:p>
          <w:p w:rsidR="00201753" w:rsidRPr="00552A36" w:rsidRDefault="00201753" w:rsidP="0086242F">
            <w:pPr>
              <w:pStyle w:val="NoSpacing"/>
              <w:rPr>
                <w:rFonts w:cs="Arial"/>
                <w:szCs w:val="20"/>
              </w:rPr>
            </w:pPr>
            <w:r w:rsidRPr="00552A36">
              <w:rPr>
                <w:rFonts w:cs="Arial"/>
                <w:szCs w:val="20"/>
              </w:rPr>
              <w:t>Alcohol amount(categorical):</w:t>
            </w:r>
          </w:p>
          <w:p w:rsidR="00201753" w:rsidRPr="00552A36" w:rsidRDefault="00201753" w:rsidP="0086242F">
            <w:pPr>
              <w:pStyle w:val="NoSpacing"/>
              <w:rPr>
                <w:rFonts w:cs="Arial"/>
                <w:szCs w:val="20"/>
              </w:rPr>
            </w:pPr>
            <w:r w:rsidRPr="00552A36">
              <w:rPr>
                <w:rFonts w:cs="Arial"/>
                <w:szCs w:val="20"/>
              </w:rPr>
              <w:t>Reference group: light drinkers</w:t>
            </w:r>
          </w:p>
          <w:p w:rsidR="00201753" w:rsidRPr="00552A36" w:rsidRDefault="00201753" w:rsidP="0086242F">
            <w:pPr>
              <w:pStyle w:val="NoSpacing"/>
              <w:rPr>
                <w:rFonts w:cs="Arial"/>
                <w:szCs w:val="20"/>
              </w:rPr>
            </w:pPr>
            <w:r w:rsidRPr="00552A36">
              <w:rPr>
                <w:rFonts w:cs="Arial"/>
                <w:szCs w:val="20"/>
              </w:rPr>
              <w:t>MALE</w:t>
            </w:r>
          </w:p>
          <w:p w:rsidR="00201753" w:rsidRPr="00552A36" w:rsidRDefault="00201753" w:rsidP="0086242F">
            <w:pPr>
              <w:pStyle w:val="NoSpacing"/>
              <w:rPr>
                <w:rFonts w:cs="Arial"/>
                <w:szCs w:val="20"/>
              </w:rPr>
            </w:pPr>
            <w:r w:rsidRPr="00552A36">
              <w:rPr>
                <w:rFonts w:cs="Arial"/>
                <w:szCs w:val="20"/>
              </w:rPr>
              <w:t>Moderate drinker: 0.80(0.69,0.92)</w:t>
            </w:r>
          </w:p>
          <w:p w:rsidR="00201753" w:rsidRPr="00552A36" w:rsidRDefault="00201753" w:rsidP="0086242F">
            <w:pPr>
              <w:pStyle w:val="NoSpacing"/>
              <w:rPr>
                <w:rFonts w:cs="Arial"/>
                <w:szCs w:val="20"/>
              </w:rPr>
            </w:pPr>
            <w:r w:rsidRPr="00552A36">
              <w:rPr>
                <w:rFonts w:cs="Arial"/>
                <w:szCs w:val="20"/>
              </w:rPr>
              <w:lastRenderedPageBreak/>
              <w:t>Extreme drinker: 0.94(0.85,1.05)</w:t>
            </w:r>
          </w:p>
          <w:p w:rsidR="00201753" w:rsidRPr="00552A36" w:rsidRDefault="00201753" w:rsidP="0086242F">
            <w:pPr>
              <w:pStyle w:val="NoSpacing"/>
              <w:rPr>
                <w:rFonts w:cs="Arial"/>
                <w:szCs w:val="20"/>
              </w:rPr>
            </w:pPr>
            <w:r w:rsidRPr="00552A36">
              <w:rPr>
                <w:rFonts w:cs="Arial"/>
                <w:szCs w:val="20"/>
              </w:rPr>
              <w:t>FEMALE</w:t>
            </w:r>
          </w:p>
          <w:p w:rsidR="00201753" w:rsidRPr="00552A36" w:rsidRDefault="00201753" w:rsidP="0086242F">
            <w:pPr>
              <w:pStyle w:val="NoSpacing"/>
              <w:rPr>
                <w:rFonts w:cs="Arial"/>
                <w:szCs w:val="20"/>
              </w:rPr>
            </w:pPr>
            <w:r w:rsidRPr="00552A36">
              <w:rPr>
                <w:rFonts w:cs="Arial"/>
                <w:szCs w:val="20"/>
              </w:rPr>
              <w:t>Moderate drinker: 0.91(0.81,1.02)</w:t>
            </w:r>
          </w:p>
          <w:p w:rsidR="00201753" w:rsidRPr="00552A36" w:rsidRDefault="00201753" w:rsidP="0086242F">
            <w:pPr>
              <w:pStyle w:val="NoSpacing"/>
              <w:rPr>
                <w:rFonts w:cs="Arial"/>
                <w:szCs w:val="20"/>
              </w:rPr>
            </w:pPr>
            <w:r w:rsidRPr="00552A36">
              <w:rPr>
                <w:rFonts w:cs="Arial"/>
                <w:szCs w:val="20"/>
              </w:rPr>
              <w:t>Extreme drinker: 0.90(0.79,1.02)</w:t>
            </w:r>
          </w:p>
        </w:tc>
        <w:tc>
          <w:tcPr>
            <w:tcW w:w="737" w:type="dxa"/>
            <w:vAlign w:val="center"/>
          </w:tcPr>
          <w:p w:rsidR="00201753" w:rsidRPr="00552A36" w:rsidRDefault="00201753" w:rsidP="0086242F">
            <w:pPr>
              <w:pStyle w:val="NoSpacing"/>
              <w:rPr>
                <w:rFonts w:cs="Arial"/>
                <w:szCs w:val="20"/>
              </w:rPr>
            </w:pPr>
          </w:p>
        </w:tc>
        <w:tc>
          <w:tcPr>
            <w:tcW w:w="1020" w:type="dxa"/>
            <w:vAlign w:val="center"/>
          </w:tcPr>
          <w:p w:rsidR="00201753" w:rsidRPr="00552A36" w:rsidRDefault="00201753" w:rsidP="0086242F">
            <w:pPr>
              <w:pStyle w:val="NoSpacing"/>
              <w:rPr>
                <w:rFonts w:cs="Arial"/>
                <w:szCs w:val="20"/>
              </w:rPr>
            </w:pPr>
          </w:p>
        </w:tc>
        <w:tc>
          <w:tcPr>
            <w:tcW w:w="3969" w:type="dxa"/>
            <w:vAlign w:val="center"/>
          </w:tcPr>
          <w:p w:rsidR="00201753" w:rsidRPr="00552A36" w:rsidRDefault="00201753" w:rsidP="0086242F">
            <w:pPr>
              <w:pStyle w:val="NoSpacing"/>
              <w:rPr>
                <w:rFonts w:cs="Arial"/>
                <w:szCs w:val="20"/>
              </w:rPr>
            </w:pPr>
          </w:p>
        </w:tc>
        <w:tc>
          <w:tcPr>
            <w:tcW w:w="454" w:type="dxa"/>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roofErr w:type="spellStart"/>
            <w:r w:rsidRPr="00552A36">
              <w:rPr>
                <w:rFonts w:cs="Arial"/>
                <w:szCs w:val="20"/>
              </w:rPr>
              <w:t>Bor</w:t>
            </w:r>
            <w:proofErr w:type="spellEnd"/>
            <w:r w:rsidRPr="00552A36">
              <w:rPr>
                <w:rFonts w:cs="Arial"/>
                <w:szCs w:val="20"/>
              </w:rPr>
              <w:t xml:space="preserve"> et al. (2010)</w:t>
            </w:r>
            <w:r w:rsidRPr="00552A36">
              <w:rPr>
                <w:rFonts w:cs="Arial"/>
                <w:szCs w:val="20"/>
              </w:rPr>
              <w:fldChar w:fldCharType="begin"/>
            </w:r>
            <w:r>
              <w:rPr>
                <w:rFonts w:cs="Arial"/>
                <w:szCs w:val="20"/>
              </w:rPr>
              <w:instrText xml:space="preserve"> ADDIN ZOTERO_ITEM CSL_CITATION {"citationID":"a1faou78i3p","properties":{"formattedCitation":"[26]","plainCitation":"[26]","noteIndex":0},"citationItems":[{"id":2932,"uris":["http://zotero.org/users/3535616/items/W4A45TA8"],"uri":["http://zotero.org/users/3535616/items/W4A45TA8"],"itemData":{"id":2932,"type":"article-journal","title":"Do antisocial females exhibit poor outcomes in adulthood? An Australian cohort study","container-title":"Australian &amp; New Zealand Journal of Psychiatry","page":"648-657","volume":"44","issue":"7","source":"SAGE Journals","abstract":"Objective: Antisocial behaviour in young people is common and associated with adverse effects in adulthood. The question whether these effects are observed in both genders remains controversial. A typology of antisocial behaviour that captures childhood limited (CL), adolescent onset (AO) and life course persistent behaviour (LCP) through both developmental stages is utilized to examine young adult outcomes in both sexes., Methods: The Mater–University of Queensland Study of Pregnancy (MUSP) data set is a longitudinal study following up a cohort of 7223 infants and mothers from antenatal care to the child's 21st year. Data on child antisocial behaviour was collected at ages 5 and 14 years. At the 21-year follow up, self-reported outcomes were collected on antisocial behaviour, use of alcohol, tobacco and cannabis, physical and mental health functioning. The relationship between the three antisocial sub-types and negative young adult outcomes was examined for both males and females using a series of logistic regressions., Results: Complete data across 21 years was available for 3173 participants. Males experienced higher levels of antisocial behaviour. In both males and females, AO and LCP groups exhibited elevated risk of negative outcomes including continuing antisocial behaviour, cannabis use, general health problems and depression/anxiety symptoms. The CL group exhibited poorer outcomes in physical and mental health but not in other domains., Conclusion: Both males and females exhibiting AO and LCP antisocial behaviour are at increased risk of serious adverse outcomes in young adulthood. The significant loss to follow up of high-risk groups suggests the important relationship between early antisocial behaviour and problems in adulthood have been underestimated. Further research is required to understand antisocial behaviour in adolescence, identify factors that reinforce its continuity into adulthood, and identify interventions which are able to modify adult outcomes.","DOI":"10.3109/00048671003631159","ISSN":"0004-8674","title-short":"Do Antisocial Females Exhibit Poor Outcomes in Adulthood?","journalAbbreviation":"Aust N Z J Psychiatry","language":"en","author":[{"family":"Bor","given":"William"},{"family":"McGee","given":"Tara Renae"},{"family":"Hayatbakhsh","given":"Reza"},{"family":"Dean","given":"Angela"},{"family":"Najman","given":"Jake M."}],"issued":{"date-parts":[["2010",7,1]]}}}],"schema":"https://github.com/citation-style-language/schema/raw/master/csl-citation.json"} </w:instrText>
            </w:r>
            <w:r w:rsidRPr="00552A36">
              <w:rPr>
                <w:rFonts w:cs="Arial"/>
                <w:szCs w:val="20"/>
              </w:rPr>
              <w:fldChar w:fldCharType="separate"/>
            </w:r>
            <w:r w:rsidRPr="005D70E3">
              <w:rPr>
                <w:rFonts w:cs="Arial"/>
              </w:rPr>
              <w:t>[26]</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EXT(5-14)-AC(21)</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Reference group: </w:t>
            </w:r>
          </w:p>
          <w:p w:rsidR="00201753" w:rsidRPr="00552A36" w:rsidRDefault="00201753" w:rsidP="0086242F">
            <w:pPr>
              <w:pStyle w:val="NoSpacing"/>
              <w:rPr>
                <w:rFonts w:cs="Arial"/>
                <w:szCs w:val="20"/>
              </w:rPr>
            </w:pPr>
            <w:r w:rsidRPr="00552A36">
              <w:rPr>
                <w:rFonts w:cs="Arial"/>
                <w:szCs w:val="20"/>
              </w:rPr>
              <w:t>Unclassified group for EXT</w:t>
            </w:r>
          </w:p>
          <w:p w:rsidR="00201753" w:rsidRPr="00552A36" w:rsidRDefault="00201753" w:rsidP="0086242F">
            <w:pPr>
              <w:pStyle w:val="NoSpacing"/>
              <w:rPr>
                <w:rFonts w:cs="Arial"/>
                <w:szCs w:val="20"/>
              </w:rPr>
            </w:pPr>
            <w:r w:rsidRPr="00552A36">
              <w:rPr>
                <w:rFonts w:cs="Arial"/>
                <w:szCs w:val="20"/>
              </w:rPr>
              <w:t>Non-drinker for AC</w:t>
            </w:r>
          </w:p>
          <w:p w:rsidR="00201753" w:rsidRPr="00552A36" w:rsidRDefault="00201753" w:rsidP="0086242F">
            <w:pPr>
              <w:pStyle w:val="NoSpacing"/>
              <w:rPr>
                <w:rFonts w:cs="Arial"/>
                <w:szCs w:val="20"/>
              </w:rPr>
            </w:pPr>
            <w:r w:rsidRPr="00552A36">
              <w:rPr>
                <w:rFonts w:cs="Arial"/>
                <w:szCs w:val="20"/>
              </w:rPr>
              <w:t>Male-1-6 drinks per occasion</w:t>
            </w:r>
          </w:p>
          <w:p w:rsidR="00201753" w:rsidRPr="00552A36" w:rsidRDefault="00201753" w:rsidP="0086242F">
            <w:pPr>
              <w:pStyle w:val="NoSpacing"/>
              <w:rPr>
                <w:rFonts w:cs="Arial"/>
                <w:szCs w:val="20"/>
              </w:rPr>
            </w:pPr>
            <w:r w:rsidRPr="00552A36">
              <w:rPr>
                <w:rFonts w:cs="Arial"/>
                <w:szCs w:val="20"/>
              </w:rPr>
              <w:t>CL: 0.9(0.5,1.7)</w:t>
            </w:r>
          </w:p>
          <w:p w:rsidR="00201753" w:rsidRPr="00552A36" w:rsidRDefault="00201753" w:rsidP="0086242F">
            <w:pPr>
              <w:pStyle w:val="NoSpacing"/>
              <w:rPr>
                <w:rFonts w:cs="Arial"/>
                <w:szCs w:val="20"/>
              </w:rPr>
            </w:pPr>
            <w:r w:rsidRPr="00552A36">
              <w:rPr>
                <w:rFonts w:cs="Arial"/>
                <w:szCs w:val="20"/>
              </w:rPr>
              <w:t>AL:1.0(0.5,2.2)</w:t>
            </w:r>
          </w:p>
          <w:p w:rsidR="00201753" w:rsidRPr="00552A36" w:rsidRDefault="00201753" w:rsidP="0086242F">
            <w:pPr>
              <w:pStyle w:val="NoSpacing"/>
              <w:rPr>
                <w:rFonts w:cs="Arial"/>
                <w:szCs w:val="20"/>
              </w:rPr>
            </w:pPr>
            <w:r w:rsidRPr="00552A36">
              <w:rPr>
                <w:rFonts w:cs="Arial"/>
                <w:szCs w:val="20"/>
              </w:rPr>
              <w:t>LCP:1.0(0.2,4.5)</w:t>
            </w:r>
          </w:p>
          <w:p w:rsidR="00201753" w:rsidRPr="00552A36" w:rsidRDefault="00201753" w:rsidP="0086242F">
            <w:pPr>
              <w:pStyle w:val="NoSpacing"/>
              <w:rPr>
                <w:rFonts w:cs="Arial"/>
                <w:szCs w:val="20"/>
              </w:rPr>
            </w:pPr>
            <w:r w:rsidRPr="00552A36">
              <w:rPr>
                <w:rFonts w:cs="Arial"/>
                <w:szCs w:val="20"/>
              </w:rPr>
              <w:t>Female-1-6 drinks per occasion</w:t>
            </w:r>
          </w:p>
          <w:p w:rsidR="00201753" w:rsidRPr="00552A36" w:rsidRDefault="00201753" w:rsidP="0086242F">
            <w:pPr>
              <w:pStyle w:val="NoSpacing"/>
              <w:rPr>
                <w:rFonts w:cs="Arial"/>
                <w:szCs w:val="20"/>
              </w:rPr>
            </w:pPr>
            <w:r w:rsidRPr="00552A36">
              <w:rPr>
                <w:rFonts w:cs="Arial"/>
                <w:szCs w:val="20"/>
              </w:rPr>
              <w:t>CL: 1.9(0.9,4.1)</w:t>
            </w:r>
          </w:p>
          <w:p w:rsidR="00201753" w:rsidRPr="00552A36" w:rsidRDefault="00201753" w:rsidP="0086242F">
            <w:pPr>
              <w:pStyle w:val="NoSpacing"/>
              <w:rPr>
                <w:rFonts w:cs="Arial"/>
                <w:szCs w:val="20"/>
              </w:rPr>
            </w:pPr>
            <w:r w:rsidRPr="00552A36">
              <w:rPr>
                <w:rFonts w:cs="Arial"/>
                <w:szCs w:val="20"/>
              </w:rPr>
              <w:t>AL:0.9(0.5,1.7)</w:t>
            </w:r>
          </w:p>
          <w:p w:rsidR="00201753" w:rsidRDefault="00201753" w:rsidP="0086242F">
            <w:pPr>
              <w:pStyle w:val="NoSpacing"/>
              <w:rPr>
                <w:rFonts w:cs="Arial"/>
                <w:szCs w:val="20"/>
              </w:rPr>
            </w:pPr>
            <w:r w:rsidRPr="00552A36">
              <w:rPr>
                <w:rFonts w:cs="Arial"/>
                <w:szCs w:val="20"/>
              </w:rPr>
              <w:t>LCP:0.4(0.2,0.9)</w:t>
            </w:r>
          </w:p>
          <w:p w:rsidR="00201753" w:rsidRPr="00552A36" w:rsidRDefault="00201753" w:rsidP="0086242F">
            <w:pPr>
              <w:pStyle w:val="NoSpacing"/>
              <w:rPr>
                <w:rFonts w:cs="Arial"/>
                <w:szCs w:val="20"/>
              </w:rPr>
            </w:pPr>
            <w:r w:rsidRPr="00552A36">
              <w:rPr>
                <w:rFonts w:cs="Arial"/>
                <w:szCs w:val="20"/>
              </w:rPr>
              <w:t>Male-&gt;6 drinks per occasion</w:t>
            </w:r>
          </w:p>
          <w:p w:rsidR="00201753" w:rsidRPr="00552A36" w:rsidRDefault="00201753" w:rsidP="0086242F">
            <w:pPr>
              <w:pStyle w:val="NoSpacing"/>
              <w:rPr>
                <w:rFonts w:cs="Arial"/>
                <w:szCs w:val="20"/>
              </w:rPr>
            </w:pPr>
            <w:r w:rsidRPr="00552A36">
              <w:rPr>
                <w:rFonts w:cs="Arial"/>
                <w:szCs w:val="20"/>
              </w:rPr>
              <w:t>CL: 1.1(0.6,2.0)</w:t>
            </w:r>
          </w:p>
          <w:p w:rsidR="00201753" w:rsidRPr="00552A36" w:rsidRDefault="00201753" w:rsidP="0086242F">
            <w:pPr>
              <w:pStyle w:val="NoSpacing"/>
              <w:rPr>
                <w:rFonts w:cs="Arial"/>
                <w:szCs w:val="20"/>
              </w:rPr>
            </w:pPr>
            <w:r w:rsidRPr="00552A36">
              <w:rPr>
                <w:rFonts w:cs="Arial"/>
                <w:szCs w:val="20"/>
              </w:rPr>
              <w:t>AL:1.7(0.8,3.6)</w:t>
            </w:r>
          </w:p>
          <w:p w:rsidR="00201753" w:rsidRPr="00552A36" w:rsidRDefault="00201753" w:rsidP="0086242F">
            <w:pPr>
              <w:pStyle w:val="NoSpacing"/>
              <w:rPr>
                <w:rFonts w:cs="Arial"/>
                <w:szCs w:val="20"/>
              </w:rPr>
            </w:pPr>
            <w:r w:rsidRPr="00552A36">
              <w:rPr>
                <w:rFonts w:cs="Arial"/>
                <w:szCs w:val="20"/>
              </w:rPr>
              <w:t>LCP:2.6(0.6,11.2)</w:t>
            </w:r>
          </w:p>
          <w:p w:rsidR="00201753" w:rsidRPr="00552A36" w:rsidRDefault="00201753" w:rsidP="0086242F">
            <w:pPr>
              <w:pStyle w:val="NoSpacing"/>
              <w:rPr>
                <w:rFonts w:cs="Arial"/>
                <w:szCs w:val="20"/>
              </w:rPr>
            </w:pPr>
            <w:r w:rsidRPr="00552A36">
              <w:rPr>
                <w:rFonts w:cs="Arial"/>
                <w:szCs w:val="20"/>
              </w:rPr>
              <w:t>Female-&gt;6 drinks per occasion</w:t>
            </w:r>
          </w:p>
          <w:p w:rsidR="00201753" w:rsidRPr="00552A36" w:rsidRDefault="00201753" w:rsidP="0086242F">
            <w:pPr>
              <w:pStyle w:val="NoSpacing"/>
              <w:rPr>
                <w:rFonts w:cs="Arial"/>
                <w:szCs w:val="20"/>
              </w:rPr>
            </w:pPr>
            <w:r w:rsidRPr="00552A36">
              <w:rPr>
                <w:rFonts w:cs="Arial"/>
                <w:szCs w:val="20"/>
              </w:rPr>
              <w:t>CL: 1.6(0.6,3.8)</w:t>
            </w:r>
          </w:p>
          <w:p w:rsidR="00201753" w:rsidRPr="00552A36" w:rsidRDefault="00201753" w:rsidP="0086242F">
            <w:pPr>
              <w:pStyle w:val="NoSpacing"/>
              <w:rPr>
                <w:rFonts w:cs="Arial"/>
                <w:szCs w:val="20"/>
              </w:rPr>
            </w:pPr>
            <w:r w:rsidRPr="00552A36">
              <w:rPr>
                <w:rFonts w:cs="Arial"/>
                <w:szCs w:val="20"/>
              </w:rPr>
              <w:t>AL:1.3(0.6,2.7)</w:t>
            </w:r>
          </w:p>
          <w:p w:rsidR="00201753" w:rsidRPr="00552A36" w:rsidRDefault="00201753" w:rsidP="0086242F">
            <w:pPr>
              <w:pStyle w:val="NoSpacing"/>
              <w:rPr>
                <w:rFonts w:cs="Arial"/>
                <w:szCs w:val="20"/>
              </w:rPr>
            </w:pPr>
            <w:r w:rsidRPr="00552A36">
              <w:rPr>
                <w:rFonts w:cs="Arial"/>
                <w:szCs w:val="20"/>
              </w:rPr>
              <w:t>LCP:0.4(0.1,1.2)</w:t>
            </w:r>
          </w:p>
        </w:tc>
        <w:tc>
          <w:tcPr>
            <w:tcW w:w="737" w:type="dxa"/>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Align w:val="center"/>
          </w:tcPr>
          <w:p w:rsidR="00201753" w:rsidRPr="00552A36" w:rsidRDefault="00201753" w:rsidP="0086242F">
            <w:pPr>
              <w:pStyle w:val="NoSpacing"/>
              <w:rPr>
                <w:rFonts w:cs="Arial"/>
                <w:szCs w:val="20"/>
              </w:rPr>
            </w:pPr>
            <w:r w:rsidRPr="00552A36">
              <w:rPr>
                <w:rFonts w:cs="Arial"/>
                <w:szCs w:val="20"/>
              </w:rPr>
              <w:t xml:space="preserve">Multinomial logistic </w:t>
            </w:r>
            <w:proofErr w:type="spellStart"/>
            <w:r w:rsidRPr="00552A36">
              <w:rPr>
                <w:rFonts w:cs="Arial"/>
                <w:szCs w:val="20"/>
              </w:rPr>
              <w:t>reg</w:t>
            </w:r>
            <w:proofErr w:type="spellEnd"/>
          </w:p>
        </w:tc>
        <w:tc>
          <w:tcPr>
            <w:tcW w:w="3969" w:type="dxa"/>
            <w:vAlign w:val="center"/>
          </w:tcPr>
          <w:p w:rsidR="00201753" w:rsidRPr="00552A36" w:rsidRDefault="00201753" w:rsidP="0086242F">
            <w:pPr>
              <w:pStyle w:val="NoSpacing"/>
              <w:rPr>
                <w:rFonts w:cs="Arial"/>
                <w:szCs w:val="20"/>
              </w:rPr>
            </w:pPr>
            <w:r w:rsidRPr="00552A36">
              <w:rPr>
                <w:rFonts w:cs="Arial"/>
                <w:szCs w:val="20"/>
              </w:rPr>
              <w:t>None</w:t>
            </w:r>
          </w:p>
        </w:tc>
        <w:tc>
          <w:tcPr>
            <w:tcW w:w="454" w:type="dxa"/>
            <w:vAlign w:val="center"/>
          </w:tcPr>
          <w:p w:rsidR="00201753" w:rsidRPr="00552A36" w:rsidRDefault="00201753" w:rsidP="0086242F">
            <w:pPr>
              <w:pStyle w:val="NoSpacing"/>
              <w:rPr>
                <w:rFonts w:cs="Arial"/>
                <w:szCs w:val="20"/>
              </w:rPr>
            </w:pPr>
            <w:r w:rsidRPr="00552A36">
              <w:rPr>
                <w:rFonts w:cs="Arial"/>
                <w:szCs w:val="20"/>
              </w:rPr>
              <w:t>2</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t xml:space="preserve">Hill et al. </w:t>
            </w:r>
          </w:p>
          <w:p w:rsidR="00201753" w:rsidRPr="00552A36" w:rsidRDefault="00201753" w:rsidP="0086242F">
            <w:pPr>
              <w:pStyle w:val="NoSpacing"/>
              <w:rPr>
                <w:rFonts w:cs="Arial"/>
                <w:szCs w:val="20"/>
              </w:rPr>
            </w:pPr>
            <w:r w:rsidRPr="00552A36">
              <w:rPr>
                <w:rFonts w:cs="Arial"/>
                <w:szCs w:val="20"/>
              </w:rPr>
              <w:t>(2010)</w:t>
            </w:r>
            <w:r w:rsidRPr="00552A36">
              <w:rPr>
                <w:rFonts w:cs="Arial"/>
                <w:szCs w:val="20"/>
              </w:rPr>
              <w:fldChar w:fldCharType="begin"/>
            </w:r>
            <w:r>
              <w:rPr>
                <w:rFonts w:cs="Arial"/>
                <w:szCs w:val="20"/>
              </w:rPr>
              <w:instrText xml:space="preserve"> ADDIN ZOTERO_ITEM CSL_CITATION {"citationID":"1oPmX2Lb","properties":{"formattedCitation":"[27]","plainCitation":"[27]","noteIndex":0},"citationItems":[{"id":76,"uris":["http://zotero.org/users/3535616/items/4IMEXS36"],"uri":["http://zotero.org/users/3535616/items/4IMEXS36"],"itemData":{"id":76,"type":"article-journal","title":"Person–environment interaction in the prediction of alcohol abuse and alcohol dependence in adulthood","container-title":"Drug and Alcohol Dependence","page":"62-69","volume":"110","issue":"1","source":"ScienceDirect","abstract":"Behavioral disinhibition (externalizing/impulsivity) and behavioral inhibition (internalizing/anxiety) may contribute to the development of alcohol abuse and dependence. But tests of person-by-environment interactions in predicting alcohol use disorders are needed. This study examined the extent to which interactions between behavioral disinhibition, behavioral inhibition and family management during adolescence predict alcohol abuse and alcohol dependence at age 27. This study used longitudinal data from a community sample of 808 men and women interviewed from ages 10 to 27 in the Seattle Social Development Project. Zero-order correlations followed by a series of nested regressions examined the relationships between individual characteristics (behavioral disinhibition and behavioral inhibition/anxiety) and environment (good vs. poor family management practices during adolescence) in predicting alcohol abuse and dependence criterion counts at age 27. Behavioral disinhibition and poor family management predicted increased likelihood of both alcohol abuse and alcohol dependence at age 27. Behavioral inhibition/anxiety was unrelated to both outcomes. Youths high in behavioral disinhibition were at increased risk for later alcohol abuse and dependence only in consistently poorly managed family environments. In consistently well-managed families, high levels of behavioral disinhibition did not increase risk for later alcohol abuse or dependence. Behavioral disinhibition increases risk for alcohol abuse and dependence in early adulthood only for individuals who experience poor family management during adolescence. Interventions seeking to reduce environmental risks by strengthening consistent positive family management practices may prevent later alcohol abuse and dependence among individuals at risk due to behavioral disinhibition.","DOI":"10.1016/j.drugalcdep.2010.02.005","ISSN":"0376-8716","journalAbbreviation":"Drug and Alcohol Dependence","author":[{"family":"Hill","given":"Karl G."},{"family":"Hawkins","given":"J. David"},{"family":"Bailey","given":"Jennifer A."},{"family":"Catalano","given":"Richard F."},{"family":"Abbott","given":"Robert D."},{"family":"Shapiro","given":"Valerie B."}],"issued":{"date-parts":[["2010",7,1]]}}}],"schema":"https://github.com/citation-style-language/schema/raw/master/csl-citation.json"} </w:instrText>
            </w:r>
            <w:r w:rsidRPr="00552A36">
              <w:rPr>
                <w:rFonts w:cs="Arial"/>
                <w:szCs w:val="20"/>
              </w:rPr>
              <w:fldChar w:fldCharType="separate"/>
            </w:r>
            <w:r w:rsidRPr="005D70E3">
              <w:rPr>
                <w:rFonts w:cs="Arial"/>
              </w:rPr>
              <w:t>[27]</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EXT(14/15)-AUD(27)</w:t>
            </w:r>
          </w:p>
          <w:p w:rsidR="00201753" w:rsidRPr="00552A36" w:rsidRDefault="00201753" w:rsidP="0086242F">
            <w:pPr>
              <w:pStyle w:val="NoSpacing"/>
              <w:rPr>
                <w:rFonts w:cs="Arial"/>
                <w:szCs w:val="20"/>
              </w:rPr>
            </w:pPr>
          </w:p>
        </w:tc>
        <w:tc>
          <w:tcPr>
            <w:tcW w:w="3912" w:type="dxa"/>
            <w:vAlign w:val="center"/>
          </w:tcPr>
          <w:p w:rsidR="00201753" w:rsidRPr="00552A36" w:rsidRDefault="00201753" w:rsidP="0086242F">
            <w:pPr>
              <w:pStyle w:val="NoSpacing"/>
              <w:rPr>
                <w:rFonts w:cs="Arial"/>
                <w:szCs w:val="20"/>
              </w:rPr>
            </w:pPr>
            <w:r w:rsidRPr="00552A36">
              <w:rPr>
                <w:rFonts w:cs="Arial"/>
                <w:szCs w:val="20"/>
              </w:rPr>
              <w:t>Alcohol abuse:0.086,p=0.060</w:t>
            </w:r>
          </w:p>
          <w:p w:rsidR="00201753" w:rsidRPr="00552A36" w:rsidRDefault="00201753" w:rsidP="0086242F">
            <w:pPr>
              <w:pStyle w:val="NoSpacing"/>
              <w:rPr>
                <w:rFonts w:cs="Arial"/>
                <w:szCs w:val="20"/>
              </w:rPr>
            </w:pPr>
            <w:r w:rsidRPr="00552A36">
              <w:rPr>
                <w:rFonts w:cs="Arial"/>
                <w:szCs w:val="20"/>
              </w:rPr>
              <w:t>Alcohol dependence: 0.076,p=0.092</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OLS</w:t>
            </w:r>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 xml:space="preserve">Ethnicity, sex and poverty, past-month drinking at age 12, Family management—ages 11–14, </w:t>
            </w:r>
            <w:proofErr w:type="spellStart"/>
            <w:r w:rsidRPr="00552A36">
              <w:rPr>
                <w:rFonts w:cs="Arial"/>
                <w:szCs w:val="20"/>
              </w:rPr>
              <w:t>Behavioral</w:t>
            </w:r>
            <w:proofErr w:type="spellEnd"/>
            <w:r w:rsidRPr="00552A36">
              <w:rPr>
                <w:rFonts w:cs="Arial"/>
                <w:szCs w:val="20"/>
              </w:rPr>
              <w:t xml:space="preserve"> inhibition/anxiety (BI/A)—ages 14–15, </w:t>
            </w:r>
            <w:proofErr w:type="spellStart"/>
            <w:r w:rsidRPr="00552A36">
              <w:rPr>
                <w:rFonts w:cs="Arial"/>
                <w:szCs w:val="20"/>
              </w:rPr>
              <w:t>Behavioral</w:t>
            </w:r>
            <w:proofErr w:type="spellEnd"/>
            <w:r w:rsidRPr="00552A36">
              <w:rPr>
                <w:rFonts w:cs="Arial"/>
                <w:szCs w:val="20"/>
              </w:rPr>
              <w:t xml:space="preserve"> disinhibition/anxiety (BDI)—ages 14–15 accordingly</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5</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ANX(14/15)-AUD(27)</w:t>
            </w:r>
          </w:p>
        </w:tc>
        <w:tc>
          <w:tcPr>
            <w:tcW w:w="3912" w:type="dxa"/>
            <w:vAlign w:val="center"/>
          </w:tcPr>
          <w:p w:rsidR="00201753" w:rsidRPr="00552A36" w:rsidRDefault="00201753" w:rsidP="0086242F">
            <w:pPr>
              <w:pStyle w:val="NoSpacing"/>
              <w:rPr>
                <w:rFonts w:cs="Arial"/>
                <w:szCs w:val="20"/>
              </w:rPr>
            </w:pPr>
            <w:r w:rsidRPr="00552A36">
              <w:rPr>
                <w:rFonts w:cs="Arial"/>
                <w:szCs w:val="20"/>
              </w:rPr>
              <w:t>Alcohol abuse: -0.015,p=0.723</w:t>
            </w:r>
          </w:p>
          <w:p w:rsidR="00201753" w:rsidRPr="00552A36" w:rsidRDefault="00201753" w:rsidP="0086242F">
            <w:pPr>
              <w:pStyle w:val="NoSpacing"/>
              <w:rPr>
                <w:rFonts w:cs="Arial"/>
                <w:szCs w:val="20"/>
              </w:rPr>
            </w:pPr>
            <w:r w:rsidRPr="00552A36">
              <w:rPr>
                <w:rFonts w:cs="Arial"/>
                <w:szCs w:val="20"/>
              </w:rPr>
              <w:t>Alcohol dependence: 0.008,p=0.837</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proofErr w:type="spellStart"/>
            <w:r w:rsidRPr="00552A36">
              <w:rPr>
                <w:rFonts w:cs="Arial"/>
                <w:szCs w:val="20"/>
              </w:rPr>
              <w:t>Huurre</w:t>
            </w:r>
            <w:proofErr w:type="spellEnd"/>
            <w:r w:rsidRPr="00552A36">
              <w:rPr>
                <w:rFonts w:cs="Arial"/>
                <w:szCs w:val="20"/>
              </w:rPr>
              <w:t xml:space="preserve"> et al. (2010)</w:t>
            </w:r>
            <w:r w:rsidRPr="00552A36">
              <w:rPr>
                <w:rFonts w:cs="Arial"/>
                <w:szCs w:val="20"/>
              </w:rPr>
              <w:fldChar w:fldCharType="begin"/>
            </w:r>
            <w:r>
              <w:rPr>
                <w:rFonts w:cs="Arial"/>
                <w:szCs w:val="20"/>
              </w:rPr>
              <w:instrText xml:space="preserve"> ADDIN ZOTERO_ITEM CSL_CITATION {"citationID":"SfPYjBly","properties":{"formattedCitation":"[28]","plainCitation":"[28]","noteIndex":0},"citationItems":[{"id":101,"uris":["http://zotero.org/users/3535616/items/5V6FGBEF"],"uri":["http://zotero.org/users/3535616/items/5V6FGBEF"],"itemData":{"id":101,"type":"article-journal","title":"Adolescent risk factors for excessive alcohol use at age 32 years. A 16-year prospective follow-up study","container-title":"Social Psychiatry and Psychiatric Epidemiology","page":"125-134","volume":"45","issue":"1","source":"link-springer-com.libproxy.ucl.ac.uk","abstract":"AimsTo examine which socioeconomic, family, personal and lifestyle risk factors in adolescence were the strongest independent predictors of excessive alcohol use in adulthood.MethodsIn a prospective longitudinal study, all 16-year-olds of one Finnish city completed questionnaires at school, and were followed up by postal questionnaires at 32 years of age [n = 1,471, (females n = 805, males n = 666); response rate 70.3%). The alcohol use disorders identification test (AUDIT) was used to assess alcohol use in adulthood. AUDIT scores of 8 or more for females and 10 or more for males were classified as excessive alcohol use. Adolescent risk factors examined were parental social class, school performance, depressive symptoms, self-esteem, impulsiveness, parental divorce, relationships with parents, parental trust, health behaviour, leisure-time spent with friends, dating, and problems with the law.ResultsAll the socioeconomic, family, personal, and lifestyle variables in adolescence, except parental social class in both genders and self-esteem among females, showed significant univariate associations with excessive alcohol use at age 32 years. Multivariate logistic regression analysis showed that among adolescent males, parental divorce, moderate and high level of depressive symptoms, leisure-time spent daily among friends and moderate and drunkenness-orientated drinking were the strongest predictors of excessive alcohol use in adulthood. Among females, the strongest adolescent predictors of excessive alcohol use in adulthood were drunkenness-orientated drinking and frequent smoking.ConclusionsEarly interventions for adolescent substance use and a set of specific psychosocial risk factors should be tailored and evaluated as methods for identifying those at high risk of and preventing excessive alcohol use in adulthood.","DOI":"10.1007/s00127-009-0048-y","ISSN":"0933-7954, 1433-9285","journalAbbreviation":"Soc Psychiat Epidemiol","language":"en","author":[{"family":"Huurre","given":"Taina"},{"family":"Lintonen","given":"Tomi"},{"family":"Kaprio","given":"Jaakko"},{"family":"Pelkonen","given":"Mirjami"},{"family":"Marttunen","given":"Mauri"},{"family":"Aro","given":"Hillevi"}],"issued":{"date-parts":[["2010",1,1]]}}}],"schema":"https://github.com/citation-style-language/schema/raw/master/csl-citation.json"} </w:instrText>
            </w:r>
            <w:r w:rsidRPr="00552A36">
              <w:rPr>
                <w:rFonts w:cs="Arial"/>
                <w:szCs w:val="20"/>
              </w:rPr>
              <w:fldChar w:fldCharType="separate"/>
            </w:r>
            <w:r w:rsidRPr="005D70E3">
              <w:rPr>
                <w:rFonts w:cs="Arial"/>
              </w:rPr>
              <w:t>[28]</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DEP(16)-H/P Drinking (32)</w:t>
            </w:r>
          </w:p>
        </w:tc>
        <w:tc>
          <w:tcPr>
            <w:tcW w:w="3912" w:type="dxa"/>
            <w:vAlign w:val="center"/>
          </w:tcPr>
          <w:p w:rsidR="00201753" w:rsidRPr="00552A36" w:rsidRDefault="00201753" w:rsidP="0086242F">
            <w:pPr>
              <w:pStyle w:val="NoSpacing"/>
              <w:rPr>
                <w:rFonts w:cs="Arial"/>
                <w:szCs w:val="20"/>
              </w:rPr>
            </w:pPr>
            <w:r w:rsidRPr="00552A36">
              <w:rPr>
                <w:rFonts w:cs="Arial"/>
                <w:szCs w:val="20"/>
              </w:rPr>
              <w:t>Reference: Low depression</w:t>
            </w:r>
          </w:p>
          <w:p w:rsidR="00201753" w:rsidRPr="00552A36" w:rsidRDefault="00201753" w:rsidP="0086242F">
            <w:pPr>
              <w:pStyle w:val="NoSpacing"/>
              <w:rPr>
                <w:rFonts w:cs="Arial"/>
                <w:szCs w:val="20"/>
              </w:rPr>
            </w:pPr>
            <w:r w:rsidRPr="00552A36">
              <w:rPr>
                <w:rFonts w:cs="Arial"/>
                <w:szCs w:val="20"/>
              </w:rPr>
              <w:t>Male</w:t>
            </w:r>
          </w:p>
          <w:p w:rsidR="00201753" w:rsidRPr="00552A36" w:rsidRDefault="00201753" w:rsidP="0086242F">
            <w:pPr>
              <w:pStyle w:val="NoSpacing"/>
              <w:rPr>
                <w:rFonts w:cs="Arial"/>
                <w:szCs w:val="20"/>
              </w:rPr>
            </w:pPr>
            <w:r w:rsidRPr="00552A36">
              <w:rPr>
                <w:rFonts w:cs="Arial"/>
                <w:szCs w:val="20"/>
              </w:rPr>
              <w:t>Middle: 1.69(1.01,2.84),p=0.048</w:t>
            </w:r>
          </w:p>
          <w:p w:rsidR="00201753" w:rsidRPr="00552A36" w:rsidRDefault="00201753" w:rsidP="0086242F">
            <w:pPr>
              <w:pStyle w:val="NoSpacing"/>
              <w:rPr>
                <w:rFonts w:cs="Arial"/>
                <w:szCs w:val="20"/>
              </w:rPr>
            </w:pPr>
            <w:r w:rsidRPr="00552A36">
              <w:rPr>
                <w:rFonts w:cs="Arial"/>
                <w:szCs w:val="20"/>
              </w:rPr>
              <w:t>High: 1.77(1.01,3.11),p=0.045</w:t>
            </w:r>
          </w:p>
          <w:p w:rsidR="00201753" w:rsidRPr="00552A36" w:rsidRDefault="00201753" w:rsidP="0086242F">
            <w:pPr>
              <w:pStyle w:val="NoSpacing"/>
              <w:rPr>
                <w:rFonts w:cs="Arial"/>
                <w:szCs w:val="20"/>
              </w:rPr>
            </w:pPr>
            <w:r w:rsidRPr="00552A36">
              <w:rPr>
                <w:rFonts w:cs="Arial"/>
                <w:szCs w:val="20"/>
              </w:rPr>
              <w:t>Female</w:t>
            </w:r>
          </w:p>
          <w:p w:rsidR="00201753" w:rsidRPr="00552A36" w:rsidRDefault="00201753" w:rsidP="0086242F">
            <w:pPr>
              <w:pStyle w:val="NoSpacing"/>
              <w:rPr>
                <w:rFonts w:cs="Arial"/>
                <w:szCs w:val="20"/>
              </w:rPr>
            </w:pPr>
            <w:r w:rsidRPr="00552A36">
              <w:rPr>
                <w:rFonts w:cs="Arial"/>
                <w:szCs w:val="20"/>
              </w:rPr>
              <w:t>Middle:1.34(0.73,2.46),p=0.34</w:t>
            </w:r>
          </w:p>
          <w:p w:rsidR="00201753" w:rsidRPr="00552A36" w:rsidRDefault="00201753" w:rsidP="0086242F">
            <w:pPr>
              <w:pStyle w:val="NoSpacing"/>
              <w:rPr>
                <w:rFonts w:cs="Arial"/>
                <w:szCs w:val="20"/>
              </w:rPr>
            </w:pPr>
            <w:r w:rsidRPr="00552A36">
              <w:rPr>
                <w:rFonts w:cs="Arial"/>
                <w:szCs w:val="20"/>
              </w:rPr>
              <w:t>High:0.96(0.49,1.86),p=0.892</w:t>
            </w:r>
          </w:p>
        </w:tc>
        <w:tc>
          <w:tcPr>
            <w:tcW w:w="737" w:type="dxa"/>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Align w:val="center"/>
          </w:tcPr>
          <w:p w:rsidR="00201753" w:rsidRPr="00552A36" w:rsidRDefault="00201753" w:rsidP="0086242F">
            <w:pPr>
              <w:pStyle w:val="NoSpacing"/>
              <w:rPr>
                <w:rFonts w:cs="Arial"/>
                <w:szCs w:val="20"/>
              </w:rPr>
            </w:pPr>
            <w:r w:rsidRPr="00552A36">
              <w:rPr>
                <w:rFonts w:cs="Arial"/>
                <w:szCs w:val="20"/>
              </w:rPr>
              <w:t xml:space="preserve">Logistic </w:t>
            </w:r>
            <w:proofErr w:type="spellStart"/>
            <w:r w:rsidRPr="00552A36">
              <w:rPr>
                <w:rFonts w:cs="Arial"/>
                <w:szCs w:val="20"/>
              </w:rPr>
              <w:t>reg</w:t>
            </w:r>
            <w:proofErr w:type="spellEnd"/>
          </w:p>
        </w:tc>
        <w:tc>
          <w:tcPr>
            <w:tcW w:w="3969" w:type="dxa"/>
            <w:vAlign w:val="center"/>
          </w:tcPr>
          <w:p w:rsidR="00201753" w:rsidRPr="00552A36" w:rsidRDefault="00201753" w:rsidP="0086242F">
            <w:pPr>
              <w:pStyle w:val="NoSpacing"/>
              <w:rPr>
                <w:rFonts w:cs="Arial"/>
                <w:szCs w:val="20"/>
              </w:rPr>
            </w:pPr>
            <w:r w:rsidRPr="00552A36">
              <w:rPr>
                <w:rFonts w:cs="Arial"/>
                <w:szCs w:val="20"/>
              </w:rPr>
              <w:t>Parental social class, school performance, parental divorce, relationship with mother, relationship with father, parental trust, self-esteem, impulsiveness, spent leisure-time daily among friends, dating experience, drinking habit, smoking habit, problems with the law.</w:t>
            </w:r>
          </w:p>
        </w:tc>
        <w:tc>
          <w:tcPr>
            <w:tcW w:w="454" w:type="dxa"/>
            <w:vAlign w:val="center"/>
          </w:tcPr>
          <w:p w:rsidR="00201753" w:rsidRPr="00552A36" w:rsidRDefault="00201753" w:rsidP="0086242F">
            <w:pPr>
              <w:pStyle w:val="NoSpacing"/>
              <w:rPr>
                <w:rFonts w:cs="Arial"/>
                <w:szCs w:val="20"/>
              </w:rPr>
            </w:pPr>
            <w:r w:rsidRPr="00552A36">
              <w:rPr>
                <w:rFonts w:cs="Arial"/>
                <w:szCs w:val="20"/>
              </w:rPr>
              <w:t>4</w:t>
            </w: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lastRenderedPageBreak/>
              <w:t>Colman et al. (2009)</w:t>
            </w:r>
            <w:r w:rsidRPr="00552A36">
              <w:rPr>
                <w:rFonts w:cs="Arial"/>
                <w:szCs w:val="20"/>
              </w:rPr>
              <w:fldChar w:fldCharType="begin"/>
            </w:r>
            <w:r>
              <w:rPr>
                <w:rFonts w:cs="Arial"/>
                <w:szCs w:val="20"/>
              </w:rPr>
              <w:instrText xml:space="preserve"> ADDIN ZOTERO_ITEM CSL_CITATION {"citationID":"2HevYlVM","properties":{"formattedCitation":"[29]","plainCitation":"[29]","noteIndex":0},"citationItems":[{"id":1685,"uris":["http://zotero.org/users/3535616/items/CS7KAP78"],"uri":["http://zotero.org/users/3535616/items/CS7KAP78"],"itemData":{"id":1685,"type":"article-journal","title":"Outcomes of conduct problems in adolescence: 40 year follow-up of national cohort","container-title":"British Medical Journal: BMJ, International edition; London","page":"208-211","volume":"338","issue":"7688","source":"ProQuest","abstract":"Objective: To describe long term outcomes associated with externalising behaviour in adolescence, defined in this study as conduct problems reported by a teacher, in a population based sample. Design; Longitudinal study from age 13-53. Setting: The Medical Research Council National Survey of Health and Development (the British 1946 birth cohort). Participants: 3652 survey members assessed by their teachers for symptoms of externalising behaviour at age 13 and 15. Main outcome measures: Mental disorder, alcohol abuse, relationship difficulties, highest level of education, social class, unemployment, and financial difficulties at ages 36-53. Results: 348 adolescents were identified with severe externalising behaviour, 1051 with mild externalising behaviour, and 2253 with no externalising behaviour. All negative outcomes measured in adulthood were more common in those with severe or mild externalising behaviour in adolescence, as rated by teachers, compared with those with no externalising behaviour. Adolescents with severe externalising behaviour were more likely to leave school without any qualifications (65.2%; adjusted odds ratio 4.0, 95% confidence interval 2.9 to 5.5), as were those with mild externalising behaviour (52.2%; 2.3, 1.9 to 2.8), compared with those with no externalising behaviour (30.8%). On a composite measure of global adversity throughout adulthood that included mental health, family life and relationships, and educational and economic problems, those with severe externalising behaviour scored significantly higher (40.1% in top quarter), as did those with mild externalising behaviour (28.3%), compared with those with no externalising behaviour (17.0%). Conclusions: Adolescents who exhibit externalising behaviour experience multiple social and health impairments that adversely affect them, their families, and society throughout adult life. [PUBLICATION ABSTRACT]","ISSN":"09598146","title-short":"Outcomes of conduct problems in adolescence","language":"English","author":[{"family":"Colman","given":"Ian"},{"family":"Murray","given":"Joseph"},{"family":"Abbott","given":"Rosemary A."},{"family":"Maughan","given":"Barbara"},{"family":"Croudace","given":"Tim J."},{"family":"Jones","given":"Peter B."}],"issued":{"date-parts":[["2009",1,24]]}}}],"schema":"https://github.com/citation-style-language/schema/raw/master/csl-citation.json"} </w:instrText>
            </w:r>
            <w:r w:rsidRPr="00552A36">
              <w:rPr>
                <w:rFonts w:cs="Arial"/>
                <w:szCs w:val="20"/>
              </w:rPr>
              <w:fldChar w:fldCharType="separate"/>
            </w:r>
            <w:r w:rsidRPr="005D70E3">
              <w:rPr>
                <w:rFonts w:cs="Arial"/>
              </w:rPr>
              <w:t>[29]</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EXT(13-15)-H/P Drinking (43-53)</w:t>
            </w:r>
          </w:p>
        </w:tc>
        <w:tc>
          <w:tcPr>
            <w:tcW w:w="3912" w:type="dxa"/>
            <w:vAlign w:val="center"/>
          </w:tcPr>
          <w:p w:rsidR="00201753" w:rsidRPr="00552A36" w:rsidRDefault="00201753" w:rsidP="0086242F">
            <w:pPr>
              <w:pStyle w:val="NoSpacing"/>
              <w:rPr>
                <w:rFonts w:cs="Arial"/>
                <w:szCs w:val="20"/>
              </w:rPr>
            </w:pPr>
            <w:r w:rsidRPr="00552A36">
              <w:rPr>
                <w:rFonts w:cs="Arial"/>
                <w:szCs w:val="20"/>
              </w:rPr>
              <w:t>Reference: no EXT group</w:t>
            </w:r>
          </w:p>
          <w:p w:rsidR="00201753" w:rsidRPr="00552A36" w:rsidRDefault="00201753" w:rsidP="0086242F">
            <w:pPr>
              <w:pStyle w:val="NoSpacing"/>
              <w:rPr>
                <w:rFonts w:cs="Arial"/>
                <w:szCs w:val="20"/>
              </w:rPr>
            </w:pPr>
            <w:r w:rsidRPr="00552A36">
              <w:rPr>
                <w:rFonts w:cs="Arial"/>
                <w:szCs w:val="20"/>
              </w:rPr>
              <w:t>Mild: 1.4(1.0,1.9)</w:t>
            </w:r>
          </w:p>
          <w:p w:rsidR="00201753" w:rsidRPr="00552A36" w:rsidRDefault="00201753" w:rsidP="0086242F">
            <w:pPr>
              <w:pStyle w:val="NoSpacing"/>
              <w:rPr>
                <w:rFonts w:cs="Arial"/>
                <w:szCs w:val="20"/>
              </w:rPr>
            </w:pPr>
            <w:r w:rsidRPr="00552A36">
              <w:rPr>
                <w:rFonts w:cs="Arial"/>
                <w:szCs w:val="20"/>
              </w:rPr>
              <w:t>Severe:1.2(0.7,2.1)</w:t>
            </w:r>
          </w:p>
        </w:tc>
        <w:tc>
          <w:tcPr>
            <w:tcW w:w="737" w:type="dxa"/>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Align w:val="center"/>
          </w:tcPr>
          <w:p w:rsidR="00201753" w:rsidRPr="00552A36" w:rsidRDefault="00201753" w:rsidP="0086242F">
            <w:pPr>
              <w:pStyle w:val="NoSpacing"/>
              <w:rPr>
                <w:rFonts w:cs="Arial"/>
                <w:szCs w:val="20"/>
              </w:rPr>
            </w:pPr>
            <w:r w:rsidRPr="00552A36">
              <w:rPr>
                <w:rFonts w:cs="Arial"/>
                <w:szCs w:val="20"/>
              </w:rPr>
              <w:t xml:space="preserve">Ordinal logistic </w:t>
            </w:r>
            <w:proofErr w:type="spellStart"/>
            <w:r w:rsidRPr="00552A36">
              <w:rPr>
                <w:rFonts w:cs="Arial"/>
                <w:szCs w:val="20"/>
              </w:rPr>
              <w:t>reg</w:t>
            </w:r>
            <w:proofErr w:type="spellEnd"/>
          </w:p>
        </w:tc>
        <w:tc>
          <w:tcPr>
            <w:tcW w:w="3969" w:type="dxa"/>
            <w:vAlign w:val="center"/>
          </w:tcPr>
          <w:p w:rsidR="00201753" w:rsidRPr="00552A36" w:rsidRDefault="00201753" w:rsidP="0086242F">
            <w:pPr>
              <w:pStyle w:val="NoSpacing"/>
              <w:rPr>
                <w:rFonts w:cs="Arial"/>
                <w:szCs w:val="20"/>
              </w:rPr>
            </w:pPr>
            <w:r w:rsidRPr="00552A36">
              <w:rPr>
                <w:rFonts w:cs="Arial"/>
                <w:szCs w:val="20"/>
              </w:rPr>
              <w:t>Sex, father’s social class, cognitive ability, and depression-anxiety in adolescence</w:t>
            </w:r>
          </w:p>
        </w:tc>
        <w:tc>
          <w:tcPr>
            <w:tcW w:w="454" w:type="dxa"/>
            <w:vAlign w:val="center"/>
          </w:tcPr>
          <w:p w:rsidR="00201753" w:rsidRPr="00552A36" w:rsidRDefault="00201753" w:rsidP="0086242F">
            <w:pPr>
              <w:pStyle w:val="NoSpacing"/>
              <w:rPr>
                <w:rFonts w:cs="Arial"/>
                <w:szCs w:val="20"/>
              </w:rPr>
            </w:pPr>
            <w:r w:rsidRPr="00552A36">
              <w:rPr>
                <w:rFonts w:cs="Arial"/>
                <w:szCs w:val="20"/>
              </w:rPr>
              <w:t>3</w:t>
            </w:r>
          </w:p>
        </w:tc>
      </w:tr>
      <w:tr w:rsidR="00201753" w:rsidRPr="00552A36" w:rsidTr="0086242F">
        <w:trPr>
          <w:trHeight w:val="661"/>
          <w:jc w:val="center"/>
        </w:trPr>
        <w:tc>
          <w:tcPr>
            <w:tcW w:w="1417" w:type="dxa"/>
            <w:vMerge w:val="restart"/>
            <w:vAlign w:val="center"/>
            <w:hideMark/>
          </w:tcPr>
          <w:p w:rsidR="00201753" w:rsidRPr="00552A36" w:rsidRDefault="00201753" w:rsidP="0086242F">
            <w:pPr>
              <w:pStyle w:val="NoSpacing"/>
              <w:rPr>
                <w:rFonts w:cs="Arial"/>
                <w:szCs w:val="20"/>
              </w:rPr>
            </w:pPr>
            <w:proofErr w:type="spellStart"/>
            <w:r w:rsidRPr="00552A36">
              <w:rPr>
                <w:rFonts w:cs="Arial"/>
                <w:szCs w:val="20"/>
              </w:rPr>
              <w:t>Maggs</w:t>
            </w:r>
            <w:proofErr w:type="spellEnd"/>
            <w:r w:rsidRPr="00552A36">
              <w:rPr>
                <w:rFonts w:cs="Arial"/>
                <w:szCs w:val="20"/>
              </w:rPr>
              <w:t xml:space="preserve"> et al. (2008)</w:t>
            </w:r>
            <w:r w:rsidRPr="00552A36">
              <w:rPr>
                <w:rFonts w:cs="Arial"/>
                <w:szCs w:val="20"/>
              </w:rPr>
              <w:fldChar w:fldCharType="begin"/>
            </w:r>
            <w:r>
              <w:rPr>
                <w:rFonts w:cs="Arial"/>
                <w:szCs w:val="20"/>
              </w:rPr>
              <w:instrText xml:space="preserve"> ADDIN ZOTERO_ITEM CSL_CITATION {"citationID":"6esZDdn5","properties":{"formattedCitation":"[30]","plainCitation":"[30]","noteIndex":0},"citationItems":[{"id":706,"uris":["http://zotero.org/users/3535616/items/U2XIHPP3"],"uri":["http://zotero.org/users/3535616/items/U2XIHPP3"],"itemData":{"id":706,"type":"article-journal","title":"Childhood and adolescent predictors of alcohol use and problems in adolescence and adulthood in the National Child Development Study","container-title":"Addiction","page":"7-22","volume":"103","source":"EBSCOhost","abstract":"Aims  To identify childhood and adolescent predictors of alcohol use and harmful drinking in adolescence and adulthood. Design  Longitudinal data from childhood to mid-life from the National Child Development Study (NCDS) were used, including predictors collected at ages 7, 11, 16 years and alcohol outcomes collected at ages 16, 23, 33 and 42 years. Setting  The NCDS is an ongoing longitudinal study of a cohort of 1 week's births in Britain in 1958. Participants  Childhood and adolescent predictors and alcohol use data from at least one adolescent or adult wave were available from 7883 females and 8126 males. Measurements  Social background, family, academic and behavioural predictors measured at ages 7, 11 and 16 years were entered into hierarchical multiple and logistic regressions to predict quantity of alcohol use at ages 16, 23, and 33 years and harmful drinking [i.e. Cut-down, Annoyed, Guilt, Eye-opener (CAGE) questionnaire score] by age 42 years. Findings  Previous drinking was controlled in final models to predict change. Drinking was heavier among those with greater childhood and adolescent social advantage (especially females), less harmonious family relationships, more social maladjustment, greater academic performance, less internalizing problems, more truancy and earlier school-leaving plans. Conclusions  Alcohol use and problems in adulthood can be predicted by indicators of social background, adjustment and behaviour in childhood and adolescence. Results demonstrate that the early roots of adolescent and adult alcohol use behaviours begin in childhood. ABSTRACT FROM AUTHOR","ISSN":"09652140","journalAbbreviation":"Addiction","author":[{"family":"Maggs","given":"Jennifer L."},{"family":"Patrick","given":"Megan E."},{"family":"Feinstein","given":"Leon"}],"issued":{"date-parts":[["2008",5,2]]}}}],"schema":"https://github.com/citation-style-language/schema/raw/master/csl-citation.json"} </w:instrText>
            </w:r>
            <w:r w:rsidRPr="00552A36">
              <w:rPr>
                <w:rFonts w:cs="Arial"/>
                <w:szCs w:val="20"/>
              </w:rPr>
              <w:fldChar w:fldCharType="separate"/>
            </w:r>
            <w:r w:rsidRPr="005D70E3">
              <w:rPr>
                <w:rFonts w:cs="Arial"/>
              </w:rPr>
              <w:t>[30]</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EXT(7)-AC(23)</w:t>
            </w:r>
          </w:p>
        </w:tc>
        <w:tc>
          <w:tcPr>
            <w:tcW w:w="3912" w:type="dxa"/>
            <w:vAlign w:val="center"/>
          </w:tcPr>
          <w:p w:rsidR="00201753" w:rsidRPr="00552A36" w:rsidRDefault="00201753" w:rsidP="0086242F">
            <w:pPr>
              <w:pStyle w:val="NoSpacing"/>
              <w:rPr>
                <w:rFonts w:cs="Arial"/>
                <w:szCs w:val="20"/>
              </w:rPr>
            </w:pPr>
            <w:r w:rsidRPr="00552A36">
              <w:rPr>
                <w:rFonts w:cs="Arial"/>
                <w:szCs w:val="20"/>
              </w:rPr>
              <w:t>2.17(0.84) for man</w:t>
            </w:r>
            <w:r>
              <w:rPr>
                <w:rFonts w:cs="Arial"/>
                <w:szCs w:val="20"/>
              </w:rPr>
              <w:t>, p&lt;0.05</w:t>
            </w:r>
          </w:p>
          <w:p w:rsidR="00201753" w:rsidRPr="00552A36" w:rsidRDefault="00201753" w:rsidP="0086242F">
            <w:pPr>
              <w:pStyle w:val="NoSpacing"/>
              <w:rPr>
                <w:rFonts w:cs="Arial"/>
                <w:szCs w:val="20"/>
              </w:rPr>
            </w:pPr>
            <w:r w:rsidRPr="00552A36">
              <w:rPr>
                <w:rFonts w:cs="Arial"/>
                <w:szCs w:val="20"/>
              </w:rPr>
              <w:t>0.27(0.30) for woman</w:t>
            </w:r>
            <w:r>
              <w:rPr>
                <w:rFonts w:cs="Arial"/>
                <w:szCs w:val="20"/>
              </w:rPr>
              <w:t>, p&gt;0.05</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NE</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OLS/Logistic</w:t>
            </w:r>
            <w:r>
              <w:rPr>
                <w:rFonts w:cs="Arial"/>
                <w:szCs w:val="20"/>
              </w:rPr>
              <w:t xml:space="preserve"> </w:t>
            </w:r>
            <w:proofErr w:type="spellStart"/>
            <w:r>
              <w:rPr>
                <w:rFonts w:cs="Arial"/>
                <w:szCs w:val="20"/>
              </w:rPr>
              <w:t>reg</w:t>
            </w:r>
            <w:proofErr w:type="spellEnd"/>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Social class and parents’ educational level, parents reading with the child (at age 7), academic ability, academic test scores, Social maladjustment, Externalising behaviour (EB) at ages 7 and 11 accordingly, Internalising behaviour (IB) at ages 7 and 11 accordingly</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5</w:t>
            </w:r>
          </w:p>
        </w:tc>
      </w:tr>
      <w:tr w:rsidR="00201753" w:rsidRPr="00552A36" w:rsidTr="0086242F">
        <w:trPr>
          <w:trHeight w:val="658"/>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INT(7)-AC(23)</w:t>
            </w:r>
          </w:p>
        </w:tc>
        <w:tc>
          <w:tcPr>
            <w:tcW w:w="3912" w:type="dxa"/>
            <w:vAlign w:val="center"/>
          </w:tcPr>
          <w:p w:rsidR="00201753" w:rsidRPr="00552A36" w:rsidRDefault="00201753" w:rsidP="0086242F">
            <w:pPr>
              <w:pStyle w:val="NoSpacing"/>
              <w:rPr>
                <w:rFonts w:cs="Arial"/>
                <w:szCs w:val="20"/>
              </w:rPr>
            </w:pPr>
            <w:r w:rsidRPr="00552A36">
              <w:rPr>
                <w:rFonts w:cs="Arial"/>
                <w:szCs w:val="20"/>
              </w:rPr>
              <w:t>-3.66(0.76) for man</w:t>
            </w:r>
            <w:r>
              <w:rPr>
                <w:rFonts w:cs="Arial"/>
                <w:szCs w:val="20"/>
              </w:rPr>
              <w:t>, p&lt;0.001</w:t>
            </w:r>
          </w:p>
          <w:p w:rsidR="00201753" w:rsidRPr="00552A36" w:rsidRDefault="00201753" w:rsidP="0086242F">
            <w:pPr>
              <w:pStyle w:val="NoSpacing"/>
              <w:rPr>
                <w:rFonts w:cs="Arial"/>
                <w:szCs w:val="20"/>
              </w:rPr>
            </w:pPr>
            <w:r w:rsidRPr="00552A36">
              <w:rPr>
                <w:rFonts w:cs="Arial"/>
                <w:szCs w:val="20"/>
              </w:rPr>
              <w:t>-0.59(0.26) for woman</w:t>
            </w:r>
            <w:r>
              <w:rPr>
                <w:rFonts w:cs="Arial"/>
                <w:szCs w:val="20"/>
              </w:rPr>
              <w:t>,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658"/>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EXT(11)-AC(23)</w:t>
            </w:r>
          </w:p>
        </w:tc>
        <w:tc>
          <w:tcPr>
            <w:tcW w:w="3912" w:type="dxa"/>
            <w:vAlign w:val="center"/>
          </w:tcPr>
          <w:p w:rsidR="00201753" w:rsidRPr="00552A36" w:rsidRDefault="00201753" w:rsidP="0086242F">
            <w:pPr>
              <w:pStyle w:val="NoSpacing"/>
              <w:rPr>
                <w:rFonts w:cs="Arial"/>
                <w:szCs w:val="20"/>
              </w:rPr>
            </w:pPr>
            <w:r w:rsidRPr="00552A36">
              <w:rPr>
                <w:rFonts w:cs="Arial"/>
                <w:szCs w:val="20"/>
              </w:rPr>
              <w:t>2.72(0.91) for man</w:t>
            </w:r>
            <w:r>
              <w:rPr>
                <w:rFonts w:cs="Arial"/>
                <w:szCs w:val="20"/>
              </w:rPr>
              <w:t>, p&lt;0.01</w:t>
            </w:r>
          </w:p>
          <w:p w:rsidR="00201753" w:rsidRPr="00552A36" w:rsidRDefault="00201753" w:rsidP="0086242F">
            <w:pPr>
              <w:pStyle w:val="NoSpacing"/>
              <w:rPr>
                <w:rFonts w:cs="Arial"/>
                <w:szCs w:val="20"/>
              </w:rPr>
            </w:pPr>
            <w:r w:rsidRPr="00552A36">
              <w:rPr>
                <w:rFonts w:cs="Arial"/>
                <w:szCs w:val="20"/>
              </w:rPr>
              <w:t>0.09(0.33) for woman</w:t>
            </w:r>
            <w:r>
              <w:rPr>
                <w:rFonts w:cs="Arial"/>
                <w:szCs w:val="20"/>
              </w:rPr>
              <w:t>, 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658"/>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INT(11)-AC(23)</w:t>
            </w:r>
          </w:p>
        </w:tc>
        <w:tc>
          <w:tcPr>
            <w:tcW w:w="3912" w:type="dxa"/>
            <w:vAlign w:val="center"/>
          </w:tcPr>
          <w:p w:rsidR="00201753" w:rsidRPr="00552A36" w:rsidRDefault="00201753" w:rsidP="0086242F">
            <w:pPr>
              <w:pStyle w:val="NoSpacing"/>
              <w:rPr>
                <w:rFonts w:cs="Arial"/>
                <w:szCs w:val="20"/>
              </w:rPr>
            </w:pPr>
            <w:r w:rsidRPr="00552A36">
              <w:rPr>
                <w:rFonts w:cs="Arial"/>
                <w:szCs w:val="20"/>
              </w:rPr>
              <w:t>-2.54(0.82) for man</w:t>
            </w:r>
            <w:r>
              <w:rPr>
                <w:rFonts w:cs="Arial"/>
                <w:szCs w:val="20"/>
              </w:rPr>
              <w:t>, p&lt;0.01</w:t>
            </w:r>
          </w:p>
          <w:p w:rsidR="00201753" w:rsidRPr="00552A36" w:rsidRDefault="00201753" w:rsidP="0086242F">
            <w:pPr>
              <w:pStyle w:val="NoSpacing"/>
              <w:rPr>
                <w:rFonts w:cs="Arial"/>
                <w:szCs w:val="20"/>
              </w:rPr>
            </w:pPr>
            <w:r w:rsidRPr="00552A36">
              <w:rPr>
                <w:rFonts w:cs="Arial"/>
                <w:szCs w:val="20"/>
              </w:rPr>
              <w:t>-0.01(0.28) for woman</w:t>
            </w:r>
            <w:r>
              <w:rPr>
                <w:rFonts w:cs="Arial"/>
                <w:szCs w:val="20"/>
              </w:rPr>
              <w:t>, 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EXT(7)-AC(33)</w:t>
            </w:r>
          </w:p>
        </w:tc>
        <w:tc>
          <w:tcPr>
            <w:tcW w:w="3912" w:type="dxa"/>
            <w:vAlign w:val="center"/>
          </w:tcPr>
          <w:p w:rsidR="00201753" w:rsidRPr="00552A36" w:rsidRDefault="00201753" w:rsidP="0086242F">
            <w:pPr>
              <w:pStyle w:val="NoSpacing"/>
              <w:rPr>
                <w:rFonts w:cs="Arial"/>
                <w:szCs w:val="20"/>
              </w:rPr>
            </w:pPr>
            <w:r w:rsidRPr="00552A36">
              <w:rPr>
                <w:rFonts w:cs="Arial"/>
                <w:szCs w:val="20"/>
              </w:rPr>
              <w:t>2.41(0.75) for man</w:t>
            </w:r>
            <w:r>
              <w:rPr>
                <w:rFonts w:cs="Arial"/>
                <w:szCs w:val="20"/>
              </w:rPr>
              <w:t>, p&lt;0.01</w:t>
            </w:r>
          </w:p>
          <w:p w:rsidR="00201753" w:rsidRPr="00552A36" w:rsidRDefault="00201753" w:rsidP="0086242F">
            <w:pPr>
              <w:pStyle w:val="NoSpacing"/>
              <w:rPr>
                <w:rFonts w:cs="Arial"/>
                <w:szCs w:val="20"/>
              </w:rPr>
            </w:pPr>
            <w:r w:rsidRPr="00552A36">
              <w:rPr>
                <w:rFonts w:cs="Arial"/>
                <w:szCs w:val="20"/>
              </w:rPr>
              <w:t>0.70(0.32) for woman</w:t>
            </w:r>
            <w:r>
              <w:rPr>
                <w:rFonts w:cs="Arial"/>
                <w:szCs w:val="20"/>
              </w:rPr>
              <w:t>,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INT(7)-AC(33)</w:t>
            </w:r>
          </w:p>
        </w:tc>
        <w:tc>
          <w:tcPr>
            <w:tcW w:w="3912" w:type="dxa"/>
            <w:vAlign w:val="center"/>
          </w:tcPr>
          <w:p w:rsidR="00201753" w:rsidRPr="00552A36" w:rsidRDefault="00201753" w:rsidP="0086242F">
            <w:pPr>
              <w:pStyle w:val="NoSpacing"/>
              <w:rPr>
                <w:rFonts w:cs="Arial"/>
                <w:szCs w:val="20"/>
              </w:rPr>
            </w:pPr>
            <w:r w:rsidRPr="00552A36">
              <w:rPr>
                <w:rFonts w:cs="Arial"/>
                <w:szCs w:val="20"/>
              </w:rPr>
              <w:t>-3.08(0.67) for man</w:t>
            </w:r>
            <w:r>
              <w:rPr>
                <w:rFonts w:cs="Arial"/>
                <w:szCs w:val="20"/>
              </w:rPr>
              <w:t>, p&lt;0.001</w:t>
            </w:r>
          </w:p>
          <w:p w:rsidR="00201753" w:rsidRPr="00552A36" w:rsidRDefault="00201753" w:rsidP="0086242F">
            <w:pPr>
              <w:pStyle w:val="NoSpacing"/>
              <w:rPr>
                <w:rFonts w:cs="Arial"/>
                <w:szCs w:val="20"/>
              </w:rPr>
            </w:pPr>
            <w:r w:rsidRPr="00552A36">
              <w:rPr>
                <w:rFonts w:cs="Arial"/>
                <w:szCs w:val="20"/>
              </w:rPr>
              <w:t>-0.83(0.28) for woman</w:t>
            </w:r>
            <w:r>
              <w:rPr>
                <w:rFonts w:cs="Arial"/>
                <w:szCs w:val="20"/>
              </w:rPr>
              <w:t>, p&lt;0.01</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EXT(11)-AC(33)</w:t>
            </w:r>
          </w:p>
        </w:tc>
        <w:tc>
          <w:tcPr>
            <w:tcW w:w="3912" w:type="dxa"/>
            <w:vAlign w:val="center"/>
          </w:tcPr>
          <w:p w:rsidR="00201753" w:rsidRPr="00552A36" w:rsidRDefault="00201753" w:rsidP="0086242F">
            <w:pPr>
              <w:pStyle w:val="NoSpacing"/>
              <w:rPr>
                <w:rFonts w:cs="Arial"/>
                <w:szCs w:val="20"/>
              </w:rPr>
            </w:pPr>
            <w:r w:rsidRPr="00552A36">
              <w:rPr>
                <w:rFonts w:cs="Arial"/>
                <w:szCs w:val="20"/>
              </w:rPr>
              <w:t>1.49 (0.80) for man</w:t>
            </w:r>
            <w:r>
              <w:rPr>
                <w:rFonts w:cs="Arial"/>
                <w:szCs w:val="20"/>
              </w:rPr>
              <w:t>, p&gt;0.05</w:t>
            </w:r>
          </w:p>
          <w:p w:rsidR="00201753" w:rsidRPr="00552A36" w:rsidRDefault="00201753" w:rsidP="0086242F">
            <w:pPr>
              <w:pStyle w:val="NoSpacing"/>
              <w:rPr>
                <w:rFonts w:cs="Arial"/>
                <w:szCs w:val="20"/>
              </w:rPr>
            </w:pPr>
            <w:r w:rsidRPr="00552A36">
              <w:rPr>
                <w:rFonts w:cs="Arial"/>
                <w:szCs w:val="20"/>
              </w:rPr>
              <w:t>-0.10(0.35) for woman</w:t>
            </w:r>
            <w:r>
              <w:rPr>
                <w:rFonts w:cs="Arial"/>
                <w:szCs w:val="20"/>
              </w:rPr>
              <w:t>, 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INT(11)-AC(33)</w:t>
            </w:r>
          </w:p>
        </w:tc>
        <w:tc>
          <w:tcPr>
            <w:tcW w:w="3912" w:type="dxa"/>
            <w:vAlign w:val="center"/>
          </w:tcPr>
          <w:p w:rsidR="00201753" w:rsidRPr="00552A36" w:rsidRDefault="00201753" w:rsidP="0086242F">
            <w:pPr>
              <w:pStyle w:val="NoSpacing"/>
              <w:rPr>
                <w:rFonts w:cs="Arial"/>
                <w:szCs w:val="20"/>
              </w:rPr>
            </w:pPr>
            <w:r w:rsidRPr="00552A36">
              <w:rPr>
                <w:rFonts w:cs="Arial"/>
                <w:szCs w:val="20"/>
              </w:rPr>
              <w:t>-2.77(0.72) for man</w:t>
            </w:r>
            <w:r>
              <w:rPr>
                <w:rFonts w:cs="Arial"/>
                <w:szCs w:val="20"/>
              </w:rPr>
              <w:t>, p&lt;0.001</w:t>
            </w:r>
          </w:p>
          <w:p w:rsidR="00201753" w:rsidRPr="00552A36" w:rsidRDefault="00201753" w:rsidP="0086242F">
            <w:pPr>
              <w:pStyle w:val="NoSpacing"/>
              <w:rPr>
                <w:rFonts w:cs="Arial"/>
                <w:szCs w:val="20"/>
              </w:rPr>
            </w:pPr>
            <w:r w:rsidRPr="00552A36">
              <w:rPr>
                <w:rFonts w:cs="Arial"/>
                <w:szCs w:val="20"/>
              </w:rPr>
              <w:t>-0.76(0.30) for woman</w:t>
            </w:r>
            <w:r>
              <w:rPr>
                <w:rFonts w:cs="Arial"/>
                <w:szCs w:val="20"/>
              </w:rPr>
              <w:t>,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EXT(7)-H/P Drinking (42)</w:t>
            </w:r>
          </w:p>
        </w:tc>
        <w:tc>
          <w:tcPr>
            <w:tcW w:w="3912" w:type="dxa"/>
            <w:vAlign w:val="center"/>
          </w:tcPr>
          <w:p w:rsidR="00201753" w:rsidRPr="00552A36" w:rsidRDefault="00201753" w:rsidP="0086242F">
            <w:pPr>
              <w:pStyle w:val="NoSpacing"/>
              <w:rPr>
                <w:rFonts w:cs="Arial"/>
                <w:szCs w:val="20"/>
              </w:rPr>
            </w:pPr>
            <w:r w:rsidRPr="00552A36">
              <w:rPr>
                <w:rFonts w:cs="Arial"/>
                <w:szCs w:val="20"/>
              </w:rPr>
              <w:t>1.10, NR for man</w:t>
            </w:r>
            <w:r>
              <w:rPr>
                <w:rFonts w:cs="Arial"/>
                <w:szCs w:val="20"/>
              </w:rPr>
              <w:t>, p&gt;0.05</w:t>
            </w:r>
          </w:p>
          <w:p w:rsidR="00201753" w:rsidRPr="00552A36" w:rsidRDefault="00201753" w:rsidP="0086242F">
            <w:pPr>
              <w:pStyle w:val="NoSpacing"/>
              <w:rPr>
                <w:rFonts w:cs="Arial"/>
                <w:szCs w:val="20"/>
              </w:rPr>
            </w:pPr>
            <w:r w:rsidRPr="00552A36">
              <w:rPr>
                <w:rFonts w:cs="Arial"/>
                <w:szCs w:val="20"/>
              </w:rPr>
              <w:t>1.54 (1.14,2.09) for woman</w:t>
            </w:r>
            <w:r>
              <w:rPr>
                <w:rFonts w:cs="Arial"/>
                <w:szCs w:val="20"/>
              </w:rPr>
              <w:t>, p&lt;0.01</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INT(7)-H/P Drinking (42)</w:t>
            </w:r>
          </w:p>
        </w:tc>
        <w:tc>
          <w:tcPr>
            <w:tcW w:w="3912" w:type="dxa"/>
            <w:vAlign w:val="center"/>
          </w:tcPr>
          <w:p w:rsidR="00201753" w:rsidRPr="00552A36" w:rsidRDefault="00201753" w:rsidP="0086242F">
            <w:pPr>
              <w:pStyle w:val="NoSpacing"/>
              <w:rPr>
                <w:rFonts w:cs="Arial"/>
                <w:szCs w:val="20"/>
              </w:rPr>
            </w:pPr>
            <w:r w:rsidRPr="00552A36">
              <w:rPr>
                <w:rFonts w:cs="Arial"/>
                <w:szCs w:val="20"/>
              </w:rPr>
              <w:t>0.91, NR for man</w:t>
            </w:r>
            <w:r>
              <w:rPr>
                <w:rFonts w:cs="Arial"/>
                <w:szCs w:val="20"/>
              </w:rPr>
              <w:t>, p&gt;0.05</w:t>
            </w:r>
          </w:p>
          <w:p w:rsidR="00201753" w:rsidRPr="00552A36" w:rsidRDefault="00201753" w:rsidP="0086242F">
            <w:pPr>
              <w:pStyle w:val="NoSpacing"/>
              <w:rPr>
                <w:rFonts w:cs="Arial"/>
                <w:szCs w:val="20"/>
              </w:rPr>
            </w:pPr>
            <w:r w:rsidRPr="00552A36">
              <w:rPr>
                <w:rFonts w:cs="Arial"/>
                <w:szCs w:val="20"/>
              </w:rPr>
              <w:t>0.89, NR for woman</w:t>
            </w:r>
            <w:r>
              <w:rPr>
                <w:rFonts w:cs="Arial"/>
                <w:szCs w:val="20"/>
              </w:rPr>
              <w:t>, 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EXT(11)-H/P Drinking (42)</w:t>
            </w:r>
          </w:p>
        </w:tc>
        <w:tc>
          <w:tcPr>
            <w:tcW w:w="3912" w:type="dxa"/>
            <w:vAlign w:val="center"/>
          </w:tcPr>
          <w:p w:rsidR="00201753" w:rsidRPr="00552A36" w:rsidRDefault="00201753" w:rsidP="0086242F">
            <w:pPr>
              <w:pStyle w:val="NoSpacing"/>
              <w:rPr>
                <w:rFonts w:cs="Arial"/>
                <w:szCs w:val="20"/>
              </w:rPr>
            </w:pPr>
            <w:r w:rsidRPr="00552A36">
              <w:rPr>
                <w:rFonts w:cs="Arial"/>
                <w:szCs w:val="20"/>
              </w:rPr>
              <w:t>1.30, NR for man</w:t>
            </w:r>
            <w:r>
              <w:rPr>
                <w:rFonts w:cs="Arial"/>
                <w:szCs w:val="20"/>
              </w:rPr>
              <w:t>, p&gt;0.05</w:t>
            </w:r>
          </w:p>
          <w:p w:rsidR="00201753" w:rsidRPr="00552A36" w:rsidRDefault="00201753" w:rsidP="0086242F">
            <w:pPr>
              <w:pStyle w:val="NoSpacing"/>
              <w:rPr>
                <w:rFonts w:cs="Arial"/>
                <w:szCs w:val="20"/>
              </w:rPr>
            </w:pPr>
            <w:r w:rsidRPr="00552A36">
              <w:rPr>
                <w:rFonts w:cs="Arial"/>
                <w:szCs w:val="20"/>
              </w:rPr>
              <w:t>1.59 (1.07,2.36) for woman</w:t>
            </w:r>
            <w:r>
              <w:rPr>
                <w:rFonts w:cs="Arial"/>
                <w:szCs w:val="20"/>
              </w:rPr>
              <w:t>,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INT(11)-H/P Drinking (42)</w:t>
            </w:r>
          </w:p>
        </w:tc>
        <w:tc>
          <w:tcPr>
            <w:tcW w:w="3912" w:type="dxa"/>
            <w:vAlign w:val="center"/>
          </w:tcPr>
          <w:p w:rsidR="00201753" w:rsidRPr="00552A36" w:rsidRDefault="00201753" w:rsidP="0086242F">
            <w:pPr>
              <w:pStyle w:val="NoSpacing"/>
              <w:rPr>
                <w:rFonts w:cs="Arial"/>
                <w:szCs w:val="20"/>
              </w:rPr>
            </w:pPr>
            <w:r w:rsidRPr="00552A36">
              <w:rPr>
                <w:rFonts w:cs="Arial"/>
                <w:szCs w:val="20"/>
              </w:rPr>
              <w:t>0.78, NR for man</w:t>
            </w:r>
            <w:r>
              <w:rPr>
                <w:rFonts w:cs="Arial"/>
                <w:szCs w:val="20"/>
              </w:rPr>
              <w:t>, , p&gt;0.05</w:t>
            </w:r>
          </w:p>
          <w:p w:rsidR="00201753" w:rsidRPr="00552A36" w:rsidRDefault="00201753" w:rsidP="0086242F">
            <w:pPr>
              <w:pStyle w:val="NoSpacing"/>
              <w:rPr>
                <w:rFonts w:cs="Arial"/>
                <w:szCs w:val="20"/>
              </w:rPr>
            </w:pPr>
            <w:r w:rsidRPr="00552A36">
              <w:rPr>
                <w:rFonts w:cs="Arial"/>
                <w:szCs w:val="20"/>
              </w:rPr>
              <w:t>1.04, NR for woman</w:t>
            </w:r>
            <w:r>
              <w:rPr>
                <w:rFonts w:cs="Arial"/>
                <w:szCs w:val="20"/>
              </w:rPr>
              <w:t>, 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517"/>
          <w:jc w:val="center"/>
        </w:trPr>
        <w:tc>
          <w:tcPr>
            <w:tcW w:w="1417" w:type="dxa"/>
            <w:vMerge w:val="restart"/>
            <w:vAlign w:val="center"/>
            <w:hideMark/>
          </w:tcPr>
          <w:p w:rsidR="00201753" w:rsidRPr="00552A36" w:rsidRDefault="00201753" w:rsidP="0086242F">
            <w:pPr>
              <w:pStyle w:val="NoSpacing"/>
              <w:rPr>
                <w:rFonts w:cs="Arial"/>
                <w:szCs w:val="20"/>
              </w:rPr>
            </w:pPr>
            <w:proofErr w:type="spellStart"/>
            <w:r w:rsidRPr="00552A36">
              <w:rPr>
                <w:rFonts w:cs="Arial"/>
                <w:szCs w:val="20"/>
              </w:rPr>
              <w:t>Pitkanen</w:t>
            </w:r>
            <w:proofErr w:type="spellEnd"/>
            <w:r w:rsidRPr="00552A36">
              <w:rPr>
                <w:rFonts w:cs="Arial"/>
                <w:szCs w:val="20"/>
              </w:rPr>
              <w:t xml:space="preserve"> et al. (2008)</w:t>
            </w:r>
            <w:r w:rsidRPr="00552A36">
              <w:rPr>
                <w:rFonts w:cs="Arial"/>
                <w:szCs w:val="20"/>
              </w:rPr>
              <w:fldChar w:fldCharType="begin"/>
            </w:r>
            <w:r>
              <w:rPr>
                <w:rFonts w:cs="Arial"/>
                <w:szCs w:val="20"/>
              </w:rPr>
              <w:instrText xml:space="preserve"> ADDIN ZOTERO_ITEM CSL_CITATION {"citationID":"52LUxGzE","properties":{"formattedCitation":"[31]","plainCitation":"[31]","noteIndex":0},"citationItems":[{"id":48,"uris":["http://zotero.org/users/3535616/items/3NT9RTFF"],"uri":["http://zotero.org/users/3535616/items/3NT9RTFF"],"itemData":{"id":48,"type":"article-journal","title":"A developmental approach to alcohol drinking behaviour in adulthood: A follow-up study from age 8 to age 42","container-title":"Addiction","page":"48-68","volume":"103","issue":"Suppl1","abstract":"Aims: To study the links of family background, child and adolescent social behaviour, and (mal)adaptation with heavy drinking by age 20 and with the frequency of drinking, binge drinking, Cut-down, Annoyed, Guilt, Eye-opener (CAGE) questionnaire scores and problems due to drinking at ages 27 and 42 years. Design: In the Finnish Jyvaskyla Longitudinal Study of Personality and Social Development, data have been collected by interviews, inventories and questionnaires. Behavioural data were gathered at ages 8 and 14; data on alcohol consumption were gathered at ages 14, 20, 27, 36 and 42. Participants: A total of 184 males and 163 females; 94% of the original sample of the 8-year-olds. Findings: Family adversities, externalizing problem behaviours, low school success, truancy and substance use in adolescence were associated in early middle age with problems due to drinking in both genders, and to binge drinking and CAGE scores in females. The antecedents varied, however, across the indicators of drinking and gender. The frequency of drinking was least predictable by the studied antecedents. Childhood and adolescent antecedents and drinking up to age 20 explained 43% of males' and 31% of females' problem drinking at age 42; 31% and 19%, respectively, at age 27. Conclusions: The early warning signs of drinking problems should be taken seriously in the preventive work for alcohol abuse. Problem drinking in early middle age is preceded by maladjustment to school, early age of onset of drinking and heavy drinking in adolescence even more significantly than problem drinking in early adulthood. (PsycINFO Database Record (c) 2016 APA, all rights reserved)","ISSN":"0965-2140","author":[{"literal":"Pitkanen Tuuli"},{"literal":"Kokko Katja"},{"literal":"Lyyra Anna-Liisa"},{"literal":"Pulkkinen Lea"}],"issued":{"date-parts":[["2008"]]}}}],"schema":"https://github.com/citation-style-language/schema/raw/master/csl-citation.json"} </w:instrText>
            </w:r>
            <w:r w:rsidRPr="00552A36">
              <w:rPr>
                <w:rFonts w:cs="Arial"/>
                <w:szCs w:val="20"/>
              </w:rPr>
              <w:fldChar w:fldCharType="separate"/>
            </w:r>
            <w:r w:rsidRPr="005D70E3">
              <w:rPr>
                <w:rFonts w:cs="Arial"/>
              </w:rPr>
              <w:t>[31]</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ANT(8)-H/P Drinking (20)</w:t>
            </w:r>
          </w:p>
        </w:tc>
        <w:tc>
          <w:tcPr>
            <w:tcW w:w="3912" w:type="dxa"/>
            <w:vAlign w:val="center"/>
          </w:tcPr>
          <w:p w:rsidR="00201753" w:rsidRPr="00552A36" w:rsidRDefault="00201753" w:rsidP="0086242F">
            <w:pPr>
              <w:pStyle w:val="NoSpacing"/>
              <w:rPr>
                <w:rFonts w:cs="Arial"/>
                <w:szCs w:val="20"/>
              </w:rPr>
            </w:pPr>
            <w:r w:rsidRPr="00552A36">
              <w:rPr>
                <w:rFonts w:cs="Arial"/>
                <w:szCs w:val="20"/>
              </w:rPr>
              <w:t>0.06 for male, p&gt;0.05</w:t>
            </w:r>
          </w:p>
          <w:p w:rsidR="00201753" w:rsidRPr="00552A36" w:rsidRDefault="00201753" w:rsidP="0086242F">
            <w:pPr>
              <w:pStyle w:val="NoSpacing"/>
              <w:rPr>
                <w:rFonts w:cs="Arial"/>
                <w:szCs w:val="20"/>
              </w:rPr>
            </w:pPr>
            <w:r w:rsidRPr="00552A36">
              <w:rPr>
                <w:rFonts w:cs="Arial"/>
                <w:szCs w:val="20"/>
              </w:rPr>
              <w:t>0,04 for female, p&gt;0.05</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OLS</w:t>
            </w:r>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 xml:space="preserve">Age8 social behaviour accordingly: social activity, constructiveness, compliance, aggressiveness, low self-control, anxiety, school success; Age14 social behaviour </w:t>
            </w:r>
            <w:r w:rsidRPr="00552A36">
              <w:rPr>
                <w:rFonts w:cs="Arial"/>
                <w:szCs w:val="20"/>
              </w:rPr>
              <w:lastRenderedPageBreak/>
              <w:t>accordingly: social behaviour, constructiveness, compliance, aggressiveness, low self-control, anxiety, school success</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lastRenderedPageBreak/>
              <w:t>5</w:t>
            </w:r>
          </w:p>
        </w:tc>
      </w:tr>
      <w:tr w:rsidR="00201753" w:rsidRPr="00552A36" w:rsidTr="0086242F">
        <w:trPr>
          <w:trHeight w:val="517"/>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ANT(8)-H/P Drinking(PD)(27)</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-0.15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 xml:space="preserve">0.09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517"/>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ANT(8)-H/P Drinking(PD)(42)</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0.06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 xml:space="preserve">-0.02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517"/>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ANT(14)-H/P Drinking(20)</w:t>
            </w:r>
          </w:p>
        </w:tc>
        <w:tc>
          <w:tcPr>
            <w:tcW w:w="3912" w:type="dxa"/>
            <w:vAlign w:val="center"/>
          </w:tcPr>
          <w:p w:rsidR="00201753" w:rsidRPr="00552A36" w:rsidRDefault="00201753" w:rsidP="0086242F">
            <w:pPr>
              <w:pStyle w:val="NoSpacing"/>
              <w:rPr>
                <w:rFonts w:cs="Arial"/>
                <w:szCs w:val="20"/>
              </w:rPr>
            </w:pPr>
            <w:r w:rsidRPr="00552A36">
              <w:rPr>
                <w:rFonts w:cs="Arial"/>
                <w:szCs w:val="20"/>
              </w:rPr>
              <w:t>-0.24 for male, p&lt;0.01</w:t>
            </w:r>
          </w:p>
          <w:p w:rsidR="00201753" w:rsidRPr="00552A36" w:rsidRDefault="00201753" w:rsidP="0086242F">
            <w:pPr>
              <w:pStyle w:val="NoSpacing"/>
              <w:rPr>
                <w:rFonts w:cs="Arial"/>
                <w:szCs w:val="20"/>
              </w:rPr>
            </w:pPr>
            <w:r w:rsidRPr="00552A36">
              <w:rPr>
                <w:rFonts w:cs="Arial"/>
                <w:szCs w:val="20"/>
              </w:rPr>
              <w:t>-0.07 for female, 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517"/>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ANT(14)-H/P Drinking(PD)(27)</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0.01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 xml:space="preserve">0.00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517"/>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ANT(14)-H/P Drinking(PD) (42)</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-0.14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 xml:space="preserve">-0.11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517"/>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ANT(8)-AC(27)</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0.06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 xml:space="preserve">-0.06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517"/>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ANT(8)-AC(42)</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-0.03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 xml:space="preserve">-0.08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ANT(14)-AC(27)</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-0.15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-0.20 for female,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ANT(14)-AC(42)</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-0.01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-0.19 for female,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ANT(8)-H/P Drinking(HD)(27)</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0.15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 xml:space="preserve">-0.07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ANT(8)-H/P Drinking(HD)(42)</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-0.03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 xml:space="preserve">-0.06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ANT(14)-H/P Drinking(HD)(27)</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-0.16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-0.13 for female,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ANT(14)-H/P Drinking(HD)(42)</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-0.16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-0.13 for female, p&lt;0.05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ANT(8)-H/P Drinking(CAGE)(27)</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0.07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0.09 for female, 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ANT(8)-H/P Drinking(CAGE)(42)</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0.08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0.00 for female, 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ANT(14)-H/P Drinking(CAGE)(27)</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-0.09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 xml:space="preserve">-0.03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ANT(14)-H/P Drinking(CAGE)(42)</w:t>
            </w:r>
          </w:p>
        </w:tc>
        <w:tc>
          <w:tcPr>
            <w:tcW w:w="3912" w:type="dxa"/>
            <w:vAlign w:val="center"/>
          </w:tcPr>
          <w:p w:rsidR="00201753" w:rsidRPr="00552A36" w:rsidRDefault="00201753" w:rsidP="0086242F">
            <w:pPr>
              <w:pStyle w:val="NoSpacing"/>
              <w:rPr>
                <w:rFonts w:cs="Arial"/>
                <w:szCs w:val="20"/>
              </w:rPr>
            </w:pPr>
            <w:r w:rsidRPr="00552A36">
              <w:rPr>
                <w:rFonts w:cs="Arial"/>
                <w:szCs w:val="20"/>
              </w:rPr>
              <w:t xml:space="preserve">-0.03 for </w:t>
            </w:r>
            <w:proofErr w:type="spellStart"/>
            <w:r w:rsidRPr="00552A36">
              <w:rPr>
                <w:rFonts w:cs="Arial"/>
                <w:szCs w:val="20"/>
              </w:rPr>
              <w:t>male,p</w:t>
            </w:r>
            <w:proofErr w:type="spellEnd"/>
            <w:r w:rsidRPr="00552A36">
              <w:rPr>
                <w:rFonts w:cs="Arial"/>
                <w:szCs w:val="20"/>
              </w:rPr>
              <w:t>&gt;0.05</w:t>
            </w:r>
          </w:p>
          <w:p w:rsidR="00201753" w:rsidRPr="00552A36" w:rsidRDefault="00201753" w:rsidP="0086242F">
            <w:pPr>
              <w:pStyle w:val="NoSpacing"/>
              <w:rPr>
                <w:rFonts w:cs="Arial"/>
                <w:szCs w:val="20"/>
              </w:rPr>
            </w:pPr>
            <w:r w:rsidRPr="00552A36">
              <w:rPr>
                <w:rFonts w:cs="Arial"/>
                <w:szCs w:val="20"/>
              </w:rPr>
              <w:t>-0.12 for female, 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hideMark/>
          </w:tcPr>
          <w:p w:rsidR="00201753" w:rsidRPr="00552A36" w:rsidRDefault="00201753" w:rsidP="0086242F">
            <w:pPr>
              <w:pStyle w:val="NoSpacing"/>
              <w:rPr>
                <w:rFonts w:cs="Arial"/>
                <w:szCs w:val="20"/>
              </w:rPr>
            </w:pPr>
            <w:r w:rsidRPr="00552A36">
              <w:rPr>
                <w:rFonts w:cs="Arial"/>
                <w:szCs w:val="20"/>
              </w:rPr>
              <w:lastRenderedPageBreak/>
              <w:t>Timmermans et al. (2008)</w:t>
            </w:r>
            <w:r w:rsidRPr="00552A36">
              <w:rPr>
                <w:rFonts w:cs="Arial"/>
                <w:szCs w:val="20"/>
              </w:rPr>
              <w:fldChar w:fldCharType="begin"/>
            </w:r>
            <w:r>
              <w:rPr>
                <w:rFonts w:cs="Arial"/>
                <w:szCs w:val="20"/>
              </w:rPr>
              <w:instrText xml:space="preserve"> ADDIN ZOTERO_ITEM CSL_CITATION {"citationID":"xkn4vUyH","properties":{"formattedCitation":"[32]","plainCitation":"[32]","noteIndex":0},"citationItems":[{"id":237,"uris":["http://zotero.org/users/3535616/items/AJ2FIJRF"],"uri":["http://zotero.org/users/3535616/items/AJ2FIJRF"],"itemData":{"id":237,"type":"article-journal","title":"Which forms of child/adolescent externalizing behaviors account for late adolescent risky sexual behavior and substance use?","container-title":"Journal Of Child Psychology And Psychiatry","page":"386-394","volume":"49","issue":"4","abstract":"Background Health risk behaviors like substance use (alcohol, tobacco, soft/hard drugs) and risky sexual behavior become more prevalent in adolescence. Children with behavior problems are thought to be prone to engage in health risk behaviors later in life. It is, however, unclear which problems within the externalizing spectrum account for these outcomes. Methods Three hundred and nine children were followed from age 4/5 years to 18 years (14-year follow-up). Level and course of parent-rated opposition, physical aggression, status violations and property violations were used to predict adolescent-reported substance use and risky sexual behavior at age 18 years. Results Both level and change in physical aggression were unique predictors of all forms of adolescent health risk behavior. Levels of status violations predicted smoking and soft drug use only, while change in property violations predicted each of the health risk behaviors. The links between opposition and health risk behaviors were accounted for by co-occurring problem behaviors. Conclusions Of externalizing problems, physical aggression is the best predictor of adolescent substance use and risky sexual behavior from childhood onwards. Possible explanations and implications of these findings, and future research directions are discussed.","DOI":"10.1111/j.1469-7610.2007.01842.x","ISSN":"0021-9630","author":[{"literal":"Timmermans Maartje"},{"literal":"van Lier"},{"literal":"Pol A C"},{"literal":"Koot Hans M"}],"issued":{"date-parts":[["2008"]]}}}],"schema":"https://github.com/citation-style-language/schema/raw/master/csl-citation.json"} </w:instrText>
            </w:r>
            <w:r w:rsidRPr="00552A36">
              <w:rPr>
                <w:rFonts w:cs="Arial"/>
                <w:szCs w:val="20"/>
              </w:rPr>
              <w:fldChar w:fldCharType="separate"/>
            </w:r>
            <w:r w:rsidRPr="005D70E3">
              <w:rPr>
                <w:rFonts w:cs="Arial"/>
              </w:rPr>
              <w:t>[32]</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EXT(4-18)-H/P Drinking(CAGE)(18)</w:t>
            </w:r>
          </w:p>
        </w:tc>
        <w:tc>
          <w:tcPr>
            <w:tcW w:w="3912" w:type="dxa"/>
            <w:vAlign w:val="center"/>
          </w:tcPr>
          <w:p w:rsidR="00201753" w:rsidRPr="00552A36" w:rsidRDefault="00201753" w:rsidP="0086242F">
            <w:pPr>
              <w:pStyle w:val="NoSpacing"/>
              <w:rPr>
                <w:rFonts w:cs="Arial"/>
                <w:szCs w:val="20"/>
              </w:rPr>
            </w:pPr>
            <w:r w:rsidRPr="00552A36">
              <w:rPr>
                <w:rFonts w:cs="Arial"/>
                <w:szCs w:val="20"/>
              </w:rPr>
              <w:t>Intercept: 0.11(0.04),p&lt;0.01</w:t>
            </w:r>
          </w:p>
          <w:p w:rsidR="00201753" w:rsidRPr="00552A36" w:rsidRDefault="00201753" w:rsidP="0086242F">
            <w:pPr>
              <w:pStyle w:val="NoSpacing"/>
              <w:rPr>
                <w:rFonts w:cs="Arial"/>
                <w:szCs w:val="20"/>
              </w:rPr>
            </w:pPr>
            <w:r w:rsidRPr="00552A36">
              <w:rPr>
                <w:rFonts w:cs="Arial"/>
                <w:szCs w:val="20"/>
              </w:rPr>
              <w:t>Slope: 0.95(0.42),p&lt;0.05</w:t>
            </w:r>
          </w:p>
        </w:tc>
        <w:tc>
          <w:tcPr>
            <w:tcW w:w="737" w:type="dxa"/>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Align w:val="center"/>
          </w:tcPr>
          <w:p w:rsidR="00201753" w:rsidRPr="00552A36" w:rsidRDefault="00201753" w:rsidP="0086242F">
            <w:pPr>
              <w:pStyle w:val="NoSpacing"/>
              <w:rPr>
                <w:rFonts w:cs="Arial"/>
                <w:szCs w:val="20"/>
              </w:rPr>
            </w:pPr>
            <w:r w:rsidRPr="00552A36">
              <w:rPr>
                <w:rFonts w:cs="Arial"/>
                <w:szCs w:val="20"/>
              </w:rPr>
              <w:t>OLS</w:t>
            </w:r>
          </w:p>
        </w:tc>
        <w:tc>
          <w:tcPr>
            <w:tcW w:w="3969" w:type="dxa"/>
            <w:vAlign w:val="center"/>
          </w:tcPr>
          <w:p w:rsidR="00201753" w:rsidRPr="00552A36" w:rsidRDefault="00201753" w:rsidP="0086242F">
            <w:pPr>
              <w:pStyle w:val="NoSpacing"/>
              <w:rPr>
                <w:rFonts w:cs="Arial"/>
                <w:szCs w:val="20"/>
              </w:rPr>
            </w:pPr>
            <w:r w:rsidRPr="00552A36">
              <w:rPr>
                <w:rFonts w:cs="Arial"/>
                <w:szCs w:val="20"/>
              </w:rPr>
              <w:t>None</w:t>
            </w:r>
          </w:p>
        </w:tc>
        <w:tc>
          <w:tcPr>
            <w:tcW w:w="454" w:type="dxa"/>
            <w:vAlign w:val="center"/>
          </w:tcPr>
          <w:p w:rsidR="00201753" w:rsidRPr="00552A36" w:rsidRDefault="00201753" w:rsidP="0086242F">
            <w:pPr>
              <w:pStyle w:val="NoSpacing"/>
              <w:rPr>
                <w:rFonts w:cs="Arial"/>
                <w:szCs w:val="20"/>
              </w:rPr>
            </w:pPr>
            <w:r w:rsidRPr="00552A36">
              <w:rPr>
                <w:rFonts w:cs="Arial"/>
                <w:szCs w:val="20"/>
              </w:rPr>
              <w:t>2</w:t>
            </w:r>
          </w:p>
        </w:tc>
      </w:tr>
      <w:tr w:rsidR="00201753" w:rsidRPr="00552A36" w:rsidTr="0086242F">
        <w:trPr>
          <w:trHeight w:val="360"/>
          <w:jc w:val="center"/>
        </w:trPr>
        <w:tc>
          <w:tcPr>
            <w:tcW w:w="1417" w:type="dxa"/>
            <w:vMerge w:val="restart"/>
            <w:vAlign w:val="center"/>
            <w:hideMark/>
          </w:tcPr>
          <w:p w:rsidR="00201753" w:rsidRPr="00552A36" w:rsidRDefault="00201753" w:rsidP="0086242F">
            <w:pPr>
              <w:pStyle w:val="NoSpacing"/>
              <w:rPr>
                <w:rFonts w:cs="Arial"/>
                <w:szCs w:val="20"/>
              </w:rPr>
            </w:pPr>
            <w:proofErr w:type="spellStart"/>
            <w:r w:rsidRPr="00552A36">
              <w:rPr>
                <w:rFonts w:cs="Arial"/>
                <w:szCs w:val="20"/>
              </w:rPr>
              <w:t>Pardini</w:t>
            </w:r>
            <w:proofErr w:type="spellEnd"/>
            <w:r w:rsidRPr="00552A36">
              <w:rPr>
                <w:rFonts w:cs="Arial"/>
                <w:szCs w:val="20"/>
              </w:rPr>
              <w:t xml:space="preserve"> et al. (2007)</w:t>
            </w:r>
            <w:r w:rsidRPr="00552A36">
              <w:rPr>
                <w:rFonts w:cs="Arial"/>
                <w:szCs w:val="20"/>
              </w:rPr>
              <w:fldChar w:fldCharType="begin"/>
            </w:r>
            <w:r>
              <w:rPr>
                <w:rFonts w:cs="Arial"/>
                <w:szCs w:val="20"/>
              </w:rPr>
              <w:instrText xml:space="preserve"> ADDIN ZOTERO_ITEM CSL_CITATION {"citationID":"6srGWcU8","properties":{"formattedCitation":"[33]","plainCitation":"[33]","noteIndex":0},"citationItems":[{"id":509,"uris":["http://zotero.org/users/3535616/items/KN2DST7N"],"uri":["http://zotero.org/users/3535616/items/KN2DST7N"],"itemData":{"id":509,"type":"article-journal","title":"Early adolescent psychopathology as a predictor of alcohol use disorders by young adulthood","container-title":"Drug and Alcohol Dependence","page":"S38-S49","volume":"88","issue":"SUPPL.1","abstract":"Few prospective studies have examined the relation between early adolescent conduct disorder (CD) symptoms and the development of alcohol use disorders (AUD) by young adulthood. The relative contribution of other forms of adolescent psychopathology (i.e., attention-deficit hyperactivity disorder, depression, anxiety/withdrawal) to the development of AUD also remains poorly understood. There is some suggestion that the co-occurrence of conduct disorder symptoms with other forms of psychopathology may interact synergistically in predicting later alcohol use problems. The current study explores these issues using data on 506 boys from the oldest sample of the Pittsburgh Youth Study (PYS). Consistent with prior research, early conduct disorder symptoms emerged as a consistent predictor of increased AUD symptoms and an alcohol dependence diagnosis by young adulthood. In contrast, adolescent boys with high levels of anxiety/withdrawal had lower levels of AUD symptoms and were less likely to develop alcohol dependence by young adulthood. Increased depression in early adolescence was associated with higher AUD symptoms and alcohol abuse and dependence diagnoses by young adulthood, but only for boys with high levels of conduct disorder symptoms. No evidence was found for a relation between attention-deficit hyperactivity disorder symptoms and AUD symptoms or diagnoses after controlling for co-occurring psychopathology. © 2007 Elsevier Ireland Ltd. All rights reserved.","ISSN":"0376-8716","author":[{"literal":"Pardini D"},{"literal":"White H R"},{"literal":"Stouthamer-Loeber M"}],"issued":{"date-parts":[["2007"]]}}}],"schema":"https://github.com/citation-style-language/schema/raw/master/csl-citation.json"} </w:instrText>
            </w:r>
            <w:r w:rsidRPr="00552A36">
              <w:rPr>
                <w:rFonts w:cs="Arial"/>
                <w:szCs w:val="20"/>
              </w:rPr>
              <w:fldChar w:fldCharType="separate"/>
            </w:r>
            <w:r w:rsidRPr="005D70E3">
              <w:rPr>
                <w:rFonts w:cs="Arial"/>
              </w:rPr>
              <w:t>[33]</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EXT(13.9)-AUD(20.4-25.4)</w:t>
            </w:r>
          </w:p>
        </w:tc>
        <w:tc>
          <w:tcPr>
            <w:tcW w:w="3912" w:type="dxa"/>
            <w:vAlign w:val="center"/>
          </w:tcPr>
          <w:p w:rsidR="00201753" w:rsidRPr="00552A36" w:rsidRDefault="00201753" w:rsidP="0086242F">
            <w:pPr>
              <w:pStyle w:val="NoSpacing"/>
              <w:rPr>
                <w:rFonts w:cs="Arial"/>
                <w:szCs w:val="20"/>
              </w:rPr>
            </w:pPr>
            <w:r w:rsidRPr="00552A36">
              <w:rPr>
                <w:rFonts w:cs="Arial"/>
                <w:szCs w:val="20"/>
              </w:rPr>
              <w:t>Zero inflation:</w:t>
            </w:r>
          </w:p>
          <w:p w:rsidR="00201753" w:rsidRPr="00552A36" w:rsidRDefault="00201753" w:rsidP="0086242F">
            <w:pPr>
              <w:pStyle w:val="NoSpacing"/>
              <w:rPr>
                <w:rFonts w:cs="Arial"/>
                <w:szCs w:val="20"/>
              </w:rPr>
            </w:pPr>
            <w:r w:rsidRPr="00552A36">
              <w:rPr>
                <w:rFonts w:cs="Arial"/>
                <w:szCs w:val="20"/>
              </w:rPr>
              <w:t>1.065(0.808,1.402), p=0.656</w:t>
            </w:r>
          </w:p>
          <w:p w:rsidR="00201753" w:rsidRPr="00552A36" w:rsidRDefault="00201753" w:rsidP="0086242F">
            <w:pPr>
              <w:pStyle w:val="NoSpacing"/>
              <w:rPr>
                <w:rFonts w:cs="Arial"/>
                <w:szCs w:val="20"/>
              </w:rPr>
            </w:pPr>
            <w:r w:rsidRPr="00552A36">
              <w:rPr>
                <w:rFonts w:cs="Arial"/>
                <w:szCs w:val="20"/>
              </w:rPr>
              <w:t>Symptom count:</w:t>
            </w:r>
          </w:p>
          <w:p w:rsidR="00201753" w:rsidRPr="00552A36" w:rsidRDefault="00201753" w:rsidP="0086242F">
            <w:pPr>
              <w:pStyle w:val="NoSpacing"/>
              <w:rPr>
                <w:rFonts w:cs="Arial"/>
                <w:szCs w:val="20"/>
              </w:rPr>
            </w:pPr>
            <w:r w:rsidRPr="00552A36">
              <w:rPr>
                <w:rFonts w:cs="Arial"/>
                <w:szCs w:val="20"/>
              </w:rPr>
              <w:t>1.190(1.054,1.342), p=0.005</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NA</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Poisson</w:t>
            </w:r>
            <w:r>
              <w:rPr>
                <w:rFonts w:cs="Arial"/>
                <w:szCs w:val="20"/>
              </w:rPr>
              <w:t xml:space="preserve"> </w:t>
            </w:r>
            <w:proofErr w:type="spellStart"/>
            <w:r>
              <w:rPr>
                <w:rFonts w:cs="Arial"/>
                <w:szCs w:val="20"/>
              </w:rPr>
              <w:t>reg</w:t>
            </w:r>
            <w:proofErr w:type="spellEnd"/>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Age, minority status, family socioeconomic status, parent alcohol/drug problems, child's prior alcohol use, child's prior alcohol problems, CD symptoms, ADHA symptoms, depression, Anxiety/withdrawal</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7</w:t>
            </w:r>
          </w:p>
        </w:tc>
      </w:tr>
      <w:tr w:rsidR="00201753" w:rsidRPr="00552A36" w:rsidTr="0086242F">
        <w:trPr>
          <w:trHeight w:val="360"/>
          <w:jc w:val="center"/>
        </w:trPr>
        <w:tc>
          <w:tcPr>
            <w:tcW w:w="1417" w:type="dxa"/>
            <w:vMerge/>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DEP(13.9)-AUD(20.4-25.4)</w:t>
            </w:r>
          </w:p>
        </w:tc>
        <w:tc>
          <w:tcPr>
            <w:tcW w:w="3912" w:type="dxa"/>
            <w:vAlign w:val="center"/>
          </w:tcPr>
          <w:p w:rsidR="00201753" w:rsidRPr="00552A36" w:rsidRDefault="00201753" w:rsidP="0086242F">
            <w:pPr>
              <w:pStyle w:val="NoSpacing"/>
              <w:rPr>
                <w:rFonts w:cs="Arial"/>
                <w:szCs w:val="20"/>
              </w:rPr>
            </w:pPr>
            <w:r w:rsidRPr="00552A36">
              <w:rPr>
                <w:rFonts w:cs="Arial"/>
                <w:szCs w:val="20"/>
              </w:rPr>
              <w:t>Zero inflation:</w:t>
            </w:r>
          </w:p>
          <w:p w:rsidR="00201753" w:rsidRPr="00552A36" w:rsidRDefault="00201753" w:rsidP="0086242F">
            <w:pPr>
              <w:pStyle w:val="NoSpacing"/>
              <w:rPr>
                <w:rFonts w:cs="Arial"/>
                <w:szCs w:val="20"/>
              </w:rPr>
            </w:pPr>
            <w:r w:rsidRPr="00552A36">
              <w:rPr>
                <w:rFonts w:cs="Arial"/>
                <w:szCs w:val="20"/>
              </w:rPr>
              <w:t>0.956(0.736,1.241), p=0.736</w:t>
            </w:r>
          </w:p>
          <w:p w:rsidR="00201753" w:rsidRPr="00552A36" w:rsidRDefault="00201753" w:rsidP="0086242F">
            <w:pPr>
              <w:pStyle w:val="NoSpacing"/>
              <w:rPr>
                <w:rFonts w:cs="Arial"/>
                <w:szCs w:val="20"/>
              </w:rPr>
            </w:pPr>
            <w:r w:rsidRPr="00552A36">
              <w:rPr>
                <w:rFonts w:cs="Arial"/>
                <w:szCs w:val="20"/>
              </w:rPr>
              <w:t>Symptom count:</w:t>
            </w:r>
          </w:p>
          <w:p w:rsidR="00201753" w:rsidRPr="00552A36" w:rsidRDefault="00201753" w:rsidP="0086242F">
            <w:pPr>
              <w:pStyle w:val="NoSpacing"/>
              <w:rPr>
                <w:rFonts w:cs="Arial"/>
                <w:szCs w:val="20"/>
              </w:rPr>
            </w:pPr>
            <w:r w:rsidRPr="00552A36">
              <w:rPr>
                <w:rFonts w:cs="Arial"/>
                <w:szCs w:val="20"/>
              </w:rPr>
              <w:t>1.048(0.937,1.172), p=0.408</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ANX(13.9)-AUD(20.4-25.4)</w:t>
            </w:r>
          </w:p>
        </w:tc>
        <w:tc>
          <w:tcPr>
            <w:tcW w:w="3912" w:type="dxa"/>
            <w:vAlign w:val="center"/>
          </w:tcPr>
          <w:p w:rsidR="00201753" w:rsidRPr="00552A36" w:rsidRDefault="00201753" w:rsidP="0086242F">
            <w:pPr>
              <w:pStyle w:val="NoSpacing"/>
              <w:rPr>
                <w:rFonts w:cs="Arial"/>
                <w:szCs w:val="20"/>
              </w:rPr>
            </w:pPr>
            <w:r w:rsidRPr="00552A36">
              <w:rPr>
                <w:rFonts w:cs="Arial"/>
                <w:szCs w:val="20"/>
              </w:rPr>
              <w:t>Zero inflation:</w:t>
            </w:r>
          </w:p>
          <w:p w:rsidR="00201753" w:rsidRPr="00552A36" w:rsidRDefault="00201753" w:rsidP="0086242F">
            <w:pPr>
              <w:pStyle w:val="NoSpacing"/>
              <w:rPr>
                <w:rFonts w:cs="Arial"/>
                <w:szCs w:val="20"/>
              </w:rPr>
            </w:pPr>
            <w:r w:rsidRPr="00552A36">
              <w:rPr>
                <w:rFonts w:cs="Arial"/>
                <w:szCs w:val="20"/>
              </w:rPr>
              <w:t>1.079(0.806,1.445), p=0.610</w:t>
            </w:r>
          </w:p>
          <w:p w:rsidR="00201753" w:rsidRPr="00552A36" w:rsidRDefault="00201753" w:rsidP="0086242F">
            <w:pPr>
              <w:pStyle w:val="NoSpacing"/>
              <w:rPr>
                <w:rFonts w:cs="Arial"/>
                <w:szCs w:val="20"/>
              </w:rPr>
            </w:pPr>
            <w:r w:rsidRPr="00552A36">
              <w:rPr>
                <w:rFonts w:cs="Arial"/>
                <w:szCs w:val="20"/>
              </w:rPr>
              <w:t>Symptom count:</w:t>
            </w:r>
          </w:p>
          <w:p w:rsidR="00201753" w:rsidRPr="00552A36" w:rsidRDefault="00201753" w:rsidP="0086242F">
            <w:pPr>
              <w:pStyle w:val="NoSpacing"/>
              <w:rPr>
                <w:rFonts w:cs="Arial"/>
                <w:szCs w:val="20"/>
              </w:rPr>
            </w:pPr>
            <w:r w:rsidRPr="00552A36">
              <w:rPr>
                <w:rFonts w:cs="Arial"/>
                <w:szCs w:val="20"/>
              </w:rPr>
              <w:t>0.858(0.774,0.952), p=0.004</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restart"/>
            <w:vAlign w:val="center"/>
            <w:hideMark/>
          </w:tcPr>
          <w:p w:rsidR="00201753" w:rsidRPr="00552A36" w:rsidRDefault="00201753" w:rsidP="0086242F">
            <w:pPr>
              <w:pStyle w:val="NoSpacing"/>
              <w:rPr>
                <w:rFonts w:cs="Arial"/>
                <w:szCs w:val="20"/>
              </w:rPr>
            </w:pPr>
            <w:r w:rsidRPr="00552A36">
              <w:rPr>
                <w:rFonts w:cs="Arial"/>
                <w:szCs w:val="20"/>
              </w:rPr>
              <w:t>Niemela et al. (2006)</w:t>
            </w:r>
            <w:r w:rsidRPr="00552A36">
              <w:rPr>
                <w:rFonts w:cs="Arial"/>
                <w:szCs w:val="20"/>
              </w:rPr>
              <w:fldChar w:fldCharType="begin"/>
            </w:r>
            <w:r>
              <w:rPr>
                <w:rFonts w:cs="Arial"/>
                <w:szCs w:val="20"/>
              </w:rPr>
              <w:instrText xml:space="preserve"> ADDIN ZOTERO_ITEM CSL_CITATION {"citationID":"iBYydWxR","properties":{"formattedCitation":"[34]","plainCitation":"[34]","noteIndex":0},"citationItems":[{"id":652,"uris":["http://zotero.org/users/3535616/items/S2V3R7MQ"],"uri":["http://zotero.org/users/3535616/items/S2V3R7MQ"],"itemData":{"id":652,"type":"article-journal","title":"Childhood predictors of drunkenness in late adolescence among males: a 10-year population-based follow-up study","container-title":"Addiction","page":"512-521","volume":"101","issue":"4","abstract":"Aims To study childhood precursors of drunkenness frequency among 18-year-old boys in a representative, nation-wide 10-year follow-up study. Design In 1989, a general population sample of 2946 8-year-old boys was collected. Three different informant sources were used: parents, teachers and the boys themselves. The follow-up was 10 years later in 1999, when the boys were called up for their obligatory military service at age 18. Information about drunkenness frequency was obtained from 78.3% (n = 2306) of the original sample. Setting Finland, nation-wide; in 1989 at schools, in 1999 at the obligatory military call-up. Participants General population sample of Finnish boys born in 1981. Measurements At age 8, the Rutter A2 scale, Rutter B2 scale and Child Depression Inventory (CDI) were used. At age 18, self-reported drunkenness frequency during the previous 6 months was determined. Findings Of the subjects, 15.0% reported never being drunk from alcohol, 74.6% reported being occasionally drunk and 10.4% reported being drunk at least once a week during the previous 6 months. After adjusting for other variables, teacher's estimate of the child's problem behaviour at age 8 predicted frequent drunkenness in late adolescence. Hyperactive problems predicted both occasional and frequent drunkenness. Conduct problems at age 8 predicted only frequent drunkenness. High teacher-reported scores of emotional problems predicted lower occurrence of drunkenness-orientated alcohol use. Conclusions The educational system has a potential role in detecting boys at risk of later risk-taking behaviours, such as frequent drunkenness. Early interventions in children with conduct problems and hyperactivity are called for.","DOI":"10.1111/j.1360-0443.2006.01381.x","ISSN":"0965-2140","author":[{"literal":"Niemela S"},{"literal":"Sourander A"},{"literal":"Poikolainen K"},{"literal":"Helenius H"},{"literal":"Sillanmaki L"},{"literal":"Parkkola K"},{"literal":"Piha J"},{"literal":"Kumpulainen K"},{"literal":"Almqvist F"},{"literal":"Moilanen I"}],"issued":{"date-parts":[["2006"]]}}}],"schema":"https://github.com/citation-style-language/schema/raw/master/csl-citation.json"} </w:instrText>
            </w:r>
            <w:r w:rsidRPr="00552A36">
              <w:rPr>
                <w:rFonts w:cs="Arial"/>
                <w:szCs w:val="20"/>
              </w:rPr>
              <w:fldChar w:fldCharType="separate"/>
            </w:r>
            <w:r w:rsidRPr="005D70E3">
              <w:rPr>
                <w:rFonts w:cs="Arial"/>
              </w:rPr>
              <w:t>[34]</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EXT(8)-H/P Drinking(18)</w:t>
            </w:r>
          </w:p>
        </w:tc>
        <w:tc>
          <w:tcPr>
            <w:tcW w:w="3912" w:type="dxa"/>
            <w:vAlign w:val="center"/>
          </w:tcPr>
          <w:p w:rsidR="00201753" w:rsidRPr="00552A36" w:rsidRDefault="00201753" w:rsidP="0086242F">
            <w:pPr>
              <w:pStyle w:val="NoSpacing"/>
              <w:rPr>
                <w:rFonts w:cs="Arial"/>
                <w:szCs w:val="20"/>
              </w:rPr>
            </w:pPr>
            <w:r w:rsidRPr="00552A36">
              <w:rPr>
                <w:rFonts w:cs="Arial"/>
                <w:szCs w:val="20"/>
              </w:rPr>
              <w:t>Reference: no drunkenness</w:t>
            </w:r>
          </w:p>
          <w:p w:rsidR="00201753" w:rsidRPr="00552A36" w:rsidRDefault="00201753" w:rsidP="0086242F">
            <w:pPr>
              <w:pStyle w:val="NoSpacing"/>
              <w:rPr>
                <w:rFonts w:cs="Arial"/>
                <w:szCs w:val="20"/>
              </w:rPr>
            </w:pPr>
            <w:r w:rsidRPr="00552A36">
              <w:rPr>
                <w:rFonts w:cs="Arial"/>
                <w:szCs w:val="20"/>
              </w:rPr>
              <w:t>Drunkenness less than weekly:</w:t>
            </w:r>
          </w:p>
          <w:p w:rsidR="00201753" w:rsidRPr="00552A36" w:rsidRDefault="00201753" w:rsidP="0086242F">
            <w:pPr>
              <w:pStyle w:val="NoSpacing"/>
              <w:rPr>
                <w:rFonts w:cs="Arial"/>
                <w:szCs w:val="20"/>
              </w:rPr>
            </w:pPr>
            <w:r w:rsidRPr="00552A36">
              <w:rPr>
                <w:rFonts w:cs="Arial"/>
                <w:szCs w:val="20"/>
              </w:rPr>
              <w:t>1.0(0.94,1.16)</w:t>
            </w:r>
          </w:p>
          <w:p w:rsidR="00201753" w:rsidRPr="00552A36" w:rsidRDefault="00201753" w:rsidP="0086242F">
            <w:pPr>
              <w:pStyle w:val="NoSpacing"/>
              <w:rPr>
                <w:rFonts w:cs="Arial"/>
                <w:szCs w:val="20"/>
              </w:rPr>
            </w:pPr>
            <w:r w:rsidRPr="00552A36">
              <w:rPr>
                <w:rFonts w:cs="Arial"/>
                <w:szCs w:val="20"/>
              </w:rPr>
              <w:t>Drunkenness once a week or more often:</w:t>
            </w:r>
          </w:p>
          <w:p w:rsidR="00201753" w:rsidRPr="00552A36" w:rsidRDefault="00201753" w:rsidP="0086242F">
            <w:pPr>
              <w:pStyle w:val="NoSpacing"/>
              <w:rPr>
                <w:rFonts w:cs="Arial"/>
                <w:szCs w:val="20"/>
              </w:rPr>
            </w:pPr>
            <w:r w:rsidRPr="00552A36">
              <w:rPr>
                <w:rFonts w:cs="Arial"/>
                <w:szCs w:val="20"/>
              </w:rPr>
              <w:t>1.1(1.0,1.31)</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NA</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 xml:space="preserve">Logistic </w:t>
            </w:r>
            <w:proofErr w:type="spellStart"/>
            <w:r w:rsidRPr="00552A36">
              <w:rPr>
                <w:rFonts w:cs="Arial"/>
                <w:szCs w:val="20"/>
              </w:rPr>
              <w:t>reg</w:t>
            </w:r>
            <w:proofErr w:type="spellEnd"/>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Non-intact family structure, hyperactive, conduct and emotional problems according to teacher’s report</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4</w:t>
            </w:r>
          </w:p>
        </w:tc>
      </w:tr>
      <w:tr w:rsidR="00201753" w:rsidRPr="00552A36" w:rsidTr="0086242F">
        <w:trPr>
          <w:trHeight w:val="360"/>
          <w:jc w:val="center"/>
        </w:trPr>
        <w:tc>
          <w:tcPr>
            <w:tcW w:w="1417" w:type="dxa"/>
            <w:vMerge/>
            <w:vAlign w:val="center"/>
            <w:hideMark/>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INT(8)-H/P Drinking(18)</w:t>
            </w:r>
          </w:p>
        </w:tc>
        <w:tc>
          <w:tcPr>
            <w:tcW w:w="3912" w:type="dxa"/>
            <w:vAlign w:val="center"/>
          </w:tcPr>
          <w:p w:rsidR="00201753" w:rsidRPr="00552A36" w:rsidRDefault="00201753" w:rsidP="0086242F">
            <w:pPr>
              <w:pStyle w:val="NoSpacing"/>
              <w:rPr>
                <w:rFonts w:cs="Arial"/>
                <w:szCs w:val="20"/>
              </w:rPr>
            </w:pPr>
            <w:r w:rsidRPr="00552A36">
              <w:rPr>
                <w:rFonts w:cs="Arial"/>
                <w:szCs w:val="20"/>
              </w:rPr>
              <w:t>Drunkenness less than weekly:</w:t>
            </w:r>
          </w:p>
          <w:p w:rsidR="00201753" w:rsidRPr="00552A36" w:rsidRDefault="00201753" w:rsidP="0086242F">
            <w:pPr>
              <w:pStyle w:val="NoSpacing"/>
              <w:rPr>
                <w:rFonts w:cs="Arial"/>
                <w:szCs w:val="20"/>
              </w:rPr>
            </w:pPr>
            <w:r w:rsidRPr="00552A36">
              <w:rPr>
                <w:rFonts w:cs="Arial"/>
                <w:szCs w:val="20"/>
              </w:rPr>
              <w:t>0.8(0.71,0.90)</w:t>
            </w:r>
          </w:p>
          <w:p w:rsidR="00201753" w:rsidRPr="00552A36" w:rsidRDefault="00201753" w:rsidP="0086242F">
            <w:pPr>
              <w:pStyle w:val="NoSpacing"/>
              <w:rPr>
                <w:rFonts w:cs="Arial"/>
                <w:szCs w:val="20"/>
              </w:rPr>
            </w:pPr>
            <w:r w:rsidRPr="00552A36">
              <w:rPr>
                <w:rFonts w:cs="Arial"/>
                <w:szCs w:val="20"/>
              </w:rPr>
              <w:t>Drunkenness once a week or more often:</w:t>
            </w:r>
          </w:p>
          <w:p w:rsidR="00201753" w:rsidRPr="00552A36" w:rsidRDefault="00201753" w:rsidP="0086242F">
            <w:pPr>
              <w:pStyle w:val="NoSpacing"/>
              <w:rPr>
                <w:rFonts w:cs="Arial"/>
                <w:szCs w:val="20"/>
              </w:rPr>
            </w:pPr>
            <w:r w:rsidRPr="00552A36">
              <w:rPr>
                <w:rFonts w:cs="Arial"/>
                <w:szCs w:val="20"/>
              </w:rPr>
              <w:t>0.8(0.68,0.96)</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proofErr w:type="spellStart"/>
            <w:r w:rsidRPr="00552A36">
              <w:rPr>
                <w:rFonts w:cs="Arial"/>
                <w:szCs w:val="20"/>
              </w:rPr>
              <w:t>Moffit</w:t>
            </w:r>
            <w:proofErr w:type="spellEnd"/>
            <w:r w:rsidRPr="00552A36">
              <w:rPr>
                <w:rFonts w:cs="Arial"/>
                <w:szCs w:val="20"/>
              </w:rPr>
              <w:t xml:space="preserve"> et al. (2002)</w:t>
            </w:r>
            <w:r w:rsidRPr="00552A36">
              <w:rPr>
                <w:rFonts w:cs="Arial"/>
                <w:szCs w:val="20"/>
              </w:rPr>
              <w:fldChar w:fldCharType="begin"/>
            </w:r>
            <w:r>
              <w:rPr>
                <w:rFonts w:cs="Arial"/>
                <w:szCs w:val="20"/>
              </w:rPr>
              <w:instrText xml:space="preserve"> ADDIN ZOTERO_ITEM CSL_CITATION {"citationID":"a2n28klj4vk","properties":{"formattedCitation":"[35]","plainCitation":"[35]","noteIndex":0},"citationItems":[{"id":2942,"uris":["http://zotero.org/users/3535616/items/WBZDNZJV"],"uri":["http://zotero.org/users/3535616/items/WBZDNZJV"],"itemData":{"id":2942,"type":"article-journal","title":"Males on the life-course-persistent and adolescence-limited antisocial pathways: follow-up at age 26 years","container-title":"Development and Psychopathology","page":"179-207","volume":"14","issue":"1","source":"PubMed","abstract":"This article reports a comparison on outcomes of 26-year-old males who were defined several years ago in the Dunedin longitudinal study as exhibiting childhood-onset versus adolescent-onset antisocial behavior and who were indistinguishable on delinquent offending in adolescence. Previous studies of these groups in childhood and adolescence showed that childhood-onset delinquents had inadequate parenting, neurocognitive problems, undercontrolled temperament, severe hyperactivity, psychopathic personality traits, and violent behavior. Adolescent-onset delinquents were not distinguished by these features. Here followed to age 26 years, the childhood-onset delinquents were the most elevated on psychopathic personality traits, mental-health problems, substance dependence, numbers of children, financial problems, work problems, and drug-related and violent crime, including violence against women and children. The adolescent-onset delinquents at 26 years were less extreme but elevated on impulsive personality traits, mental-health problems, substance dependence, financial problems, and property offenses. A third group of men who had been aggressive as children but not very delinquent as adolescents emerged as low-level chronic offenders who were anxious, depressed, socially isolated, and had financial and work problems. These findings support the theory of life-course-persistent and adolescence-limited antisocial behavior but also extend it. Findings recommend intervention with all aggressive children and with all delinquent adolescents, to prevent a variety of maladjustments in adult life.","ISSN":"0954-5794","note":"PMID: 11893092","title-short":"Males on the life-course-persistent and adolescence-limited antisocial pathways","journalAbbreviation":"Dev. Psychopathol.","language":"eng","author":[{"family":"Moffitt","given":"Terrie E."},{"family":"Caspi","given":"Avshalom"},{"family":"Harrington","given":"Honalee"},{"family":"Milne","given":"Barry J."}],"issued":{"date-parts":[["2002"]]}}}],"schema":"https://github.com/citation-style-language/schema/raw/master/csl-citation.json"} </w:instrText>
            </w:r>
            <w:r w:rsidRPr="00552A36">
              <w:rPr>
                <w:rFonts w:cs="Arial"/>
                <w:szCs w:val="20"/>
              </w:rPr>
              <w:fldChar w:fldCharType="separate"/>
            </w:r>
            <w:r w:rsidRPr="005D70E3">
              <w:rPr>
                <w:rFonts w:cs="Arial"/>
              </w:rPr>
              <w:t>[35]</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EXT(5-18)-AUD(26)</w:t>
            </w:r>
          </w:p>
        </w:tc>
        <w:tc>
          <w:tcPr>
            <w:tcW w:w="3912" w:type="dxa"/>
            <w:vAlign w:val="center"/>
          </w:tcPr>
          <w:p w:rsidR="00201753" w:rsidRPr="00552A36" w:rsidRDefault="00201753" w:rsidP="0086242F">
            <w:pPr>
              <w:pStyle w:val="NoSpacing"/>
              <w:rPr>
                <w:rFonts w:cs="Arial"/>
                <w:szCs w:val="20"/>
              </w:rPr>
            </w:pPr>
            <w:r w:rsidRPr="00552A36">
              <w:rPr>
                <w:rFonts w:cs="Arial"/>
                <w:szCs w:val="20"/>
              </w:rPr>
              <w:t>Reference: Unclassified group</w:t>
            </w:r>
          </w:p>
          <w:p w:rsidR="00201753" w:rsidRPr="00552A36" w:rsidRDefault="00201753" w:rsidP="0086242F">
            <w:pPr>
              <w:pStyle w:val="NoSpacing"/>
              <w:rPr>
                <w:rFonts w:cs="Arial"/>
                <w:szCs w:val="20"/>
              </w:rPr>
            </w:pPr>
            <w:r w:rsidRPr="00552A36">
              <w:rPr>
                <w:rFonts w:cs="Arial"/>
                <w:szCs w:val="20"/>
              </w:rPr>
              <w:t xml:space="preserve">Abstainer: </w:t>
            </w:r>
          </w:p>
          <w:p w:rsidR="00201753" w:rsidRPr="00552A36" w:rsidRDefault="00201753" w:rsidP="0086242F">
            <w:pPr>
              <w:pStyle w:val="NoSpacing"/>
              <w:rPr>
                <w:rFonts w:cs="Arial"/>
                <w:szCs w:val="20"/>
              </w:rPr>
            </w:pPr>
            <w:r w:rsidRPr="00552A36">
              <w:rPr>
                <w:rFonts w:cs="Arial"/>
                <w:szCs w:val="20"/>
              </w:rPr>
              <w:t>no, p&gt;0.01</w:t>
            </w:r>
          </w:p>
          <w:p w:rsidR="00201753" w:rsidRPr="00552A36" w:rsidRDefault="00201753" w:rsidP="0086242F">
            <w:pPr>
              <w:pStyle w:val="NoSpacing"/>
              <w:rPr>
                <w:rFonts w:cs="Arial"/>
                <w:szCs w:val="20"/>
              </w:rPr>
            </w:pPr>
            <w:r w:rsidRPr="00552A36">
              <w:rPr>
                <w:rFonts w:cs="Arial"/>
                <w:szCs w:val="20"/>
              </w:rPr>
              <w:t xml:space="preserve">Recovery: </w:t>
            </w:r>
          </w:p>
          <w:p w:rsidR="00201753" w:rsidRPr="00552A36" w:rsidRDefault="00201753" w:rsidP="0086242F">
            <w:pPr>
              <w:pStyle w:val="NoSpacing"/>
              <w:rPr>
                <w:rFonts w:cs="Arial"/>
                <w:szCs w:val="20"/>
              </w:rPr>
            </w:pPr>
            <w:r w:rsidRPr="00552A36">
              <w:rPr>
                <w:rFonts w:cs="Arial"/>
                <w:szCs w:val="20"/>
              </w:rPr>
              <w:t>no, p&gt;0.01</w:t>
            </w:r>
          </w:p>
          <w:p w:rsidR="00201753" w:rsidRPr="00552A36" w:rsidRDefault="00201753" w:rsidP="0086242F">
            <w:pPr>
              <w:pStyle w:val="NoSpacing"/>
              <w:rPr>
                <w:rFonts w:cs="Arial"/>
                <w:szCs w:val="20"/>
              </w:rPr>
            </w:pPr>
            <w:r w:rsidRPr="00552A36">
              <w:rPr>
                <w:rFonts w:cs="Arial"/>
                <w:szCs w:val="20"/>
              </w:rPr>
              <w:t>Life-course Persistent path:</w:t>
            </w:r>
          </w:p>
          <w:p w:rsidR="00201753" w:rsidRPr="00552A36" w:rsidRDefault="00201753" w:rsidP="0086242F">
            <w:pPr>
              <w:pStyle w:val="NoSpacing"/>
              <w:rPr>
                <w:rFonts w:cs="Arial"/>
                <w:szCs w:val="20"/>
              </w:rPr>
            </w:pPr>
            <w:r w:rsidRPr="00552A36">
              <w:rPr>
                <w:rFonts w:cs="Arial"/>
                <w:szCs w:val="20"/>
              </w:rPr>
              <w:t>positive, p&lt;0.01</w:t>
            </w:r>
          </w:p>
          <w:p w:rsidR="00201753" w:rsidRPr="00552A36" w:rsidRDefault="00201753" w:rsidP="0086242F">
            <w:pPr>
              <w:pStyle w:val="NoSpacing"/>
              <w:rPr>
                <w:rFonts w:cs="Arial"/>
                <w:szCs w:val="20"/>
              </w:rPr>
            </w:pPr>
            <w:r w:rsidRPr="00552A36">
              <w:rPr>
                <w:rFonts w:cs="Arial"/>
                <w:szCs w:val="20"/>
              </w:rPr>
              <w:t>Adolescence-limited path:</w:t>
            </w:r>
          </w:p>
          <w:p w:rsidR="00201753" w:rsidRPr="00552A36" w:rsidRDefault="00201753" w:rsidP="0086242F">
            <w:pPr>
              <w:pStyle w:val="NoSpacing"/>
              <w:rPr>
                <w:rFonts w:cs="Arial"/>
                <w:szCs w:val="20"/>
              </w:rPr>
            </w:pPr>
            <w:r w:rsidRPr="00552A36">
              <w:rPr>
                <w:rFonts w:cs="Arial"/>
                <w:szCs w:val="20"/>
              </w:rPr>
              <w:t>positive, p&lt;0.01</w:t>
            </w:r>
          </w:p>
          <w:p w:rsidR="00201753" w:rsidRPr="00552A36" w:rsidRDefault="00201753" w:rsidP="0086242F">
            <w:pPr>
              <w:pStyle w:val="NoSpacing"/>
              <w:rPr>
                <w:rFonts w:cs="Arial"/>
                <w:szCs w:val="20"/>
              </w:rPr>
            </w:pPr>
            <w:r w:rsidRPr="00552A36">
              <w:rPr>
                <w:rFonts w:cs="Arial"/>
                <w:szCs w:val="20"/>
              </w:rPr>
              <w:t>LCP vs AL: positive, p=0.002</w:t>
            </w:r>
          </w:p>
        </w:tc>
        <w:tc>
          <w:tcPr>
            <w:tcW w:w="737" w:type="dxa"/>
            <w:vAlign w:val="center"/>
          </w:tcPr>
          <w:p w:rsidR="00201753" w:rsidRPr="00552A36" w:rsidRDefault="00201753" w:rsidP="0086242F">
            <w:pPr>
              <w:pStyle w:val="NoSpacing"/>
              <w:rPr>
                <w:rFonts w:cs="Arial"/>
                <w:szCs w:val="20"/>
              </w:rPr>
            </w:pPr>
            <w:r w:rsidRPr="00552A36">
              <w:rPr>
                <w:rFonts w:cs="Arial"/>
                <w:szCs w:val="20"/>
              </w:rPr>
              <w:t>NA</w:t>
            </w:r>
          </w:p>
        </w:tc>
        <w:tc>
          <w:tcPr>
            <w:tcW w:w="1020" w:type="dxa"/>
            <w:vAlign w:val="center"/>
          </w:tcPr>
          <w:p w:rsidR="00201753" w:rsidRPr="00552A36" w:rsidRDefault="00201753" w:rsidP="0086242F">
            <w:pPr>
              <w:pStyle w:val="NoSpacing"/>
              <w:rPr>
                <w:rFonts w:cs="Arial"/>
                <w:szCs w:val="20"/>
              </w:rPr>
            </w:pPr>
            <w:r w:rsidRPr="00552A36">
              <w:rPr>
                <w:rFonts w:cs="Arial"/>
                <w:szCs w:val="20"/>
              </w:rPr>
              <w:t>ANOVA</w:t>
            </w:r>
          </w:p>
        </w:tc>
        <w:tc>
          <w:tcPr>
            <w:tcW w:w="3969" w:type="dxa"/>
            <w:vAlign w:val="center"/>
          </w:tcPr>
          <w:p w:rsidR="00201753" w:rsidRPr="00552A36" w:rsidRDefault="00201753" w:rsidP="0086242F">
            <w:pPr>
              <w:pStyle w:val="NoSpacing"/>
              <w:rPr>
                <w:rFonts w:cs="Arial"/>
                <w:szCs w:val="20"/>
              </w:rPr>
            </w:pPr>
            <w:r w:rsidRPr="00552A36">
              <w:rPr>
                <w:rFonts w:cs="Arial"/>
                <w:szCs w:val="20"/>
              </w:rPr>
              <w:t>None</w:t>
            </w:r>
          </w:p>
        </w:tc>
        <w:tc>
          <w:tcPr>
            <w:tcW w:w="454" w:type="dxa"/>
            <w:vAlign w:val="center"/>
          </w:tcPr>
          <w:p w:rsidR="00201753" w:rsidRPr="00552A36" w:rsidRDefault="00201753" w:rsidP="0086242F">
            <w:pPr>
              <w:pStyle w:val="NoSpacing"/>
              <w:rPr>
                <w:rFonts w:cs="Arial"/>
                <w:szCs w:val="20"/>
              </w:rPr>
            </w:pPr>
            <w:r w:rsidRPr="00552A36">
              <w:rPr>
                <w:rFonts w:cs="Arial"/>
                <w:szCs w:val="20"/>
              </w:rPr>
              <w:t>3</w:t>
            </w:r>
          </w:p>
        </w:tc>
      </w:tr>
      <w:tr w:rsidR="00201753" w:rsidRPr="00552A36" w:rsidTr="0086242F">
        <w:trPr>
          <w:trHeight w:val="360"/>
          <w:jc w:val="center"/>
        </w:trPr>
        <w:tc>
          <w:tcPr>
            <w:tcW w:w="1417" w:type="dxa"/>
            <w:vAlign w:val="center"/>
          </w:tcPr>
          <w:p w:rsidR="00201753" w:rsidRPr="00552A36" w:rsidRDefault="00201753" w:rsidP="0086242F">
            <w:pPr>
              <w:pStyle w:val="NoSpacing"/>
              <w:rPr>
                <w:rFonts w:cs="Arial"/>
                <w:szCs w:val="20"/>
              </w:rPr>
            </w:pPr>
            <w:r w:rsidRPr="00552A36">
              <w:rPr>
                <w:rFonts w:cs="Arial"/>
                <w:szCs w:val="20"/>
              </w:rPr>
              <w:t>Moffitt et al. (1996)</w:t>
            </w:r>
            <w:r w:rsidRPr="00552A36">
              <w:rPr>
                <w:rFonts w:cs="Arial"/>
                <w:szCs w:val="20"/>
              </w:rPr>
              <w:fldChar w:fldCharType="begin"/>
            </w:r>
            <w:r>
              <w:rPr>
                <w:rFonts w:cs="Arial"/>
                <w:szCs w:val="20"/>
              </w:rPr>
              <w:instrText xml:space="preserve"> ADDIN ZOTERO_ITEM CSL_CITATION {"citationID":"a1tkanu17va","properties":{"formattedCitation":"[36]","plainCitation":"[36]","noteIndex":0},"citationItems":[{"id":2948,"uris":["http://zotero.org/users/3535616/items/VRITGDUV"],"uri":["http://zotero.org/users/3535616/items/VRITGDUV"],"itemData":{"id":2948,"type":"article-journal","title":"Childhood-onset versus adolescent-onset antisocial conduct problems in males: Natural history from ages 3 to 18 years","container-title":"Development and Psychopathology","page":"399-424","volume":"8","issue":"2","source":"Cambridge Core","abstract":"We report data that support the distinction between childhood-onset and adolescent-onset type conduct problems. Natural histories are described from a representative birth cohort of 457 males studied longitudinally from age 3 to 18 years. Childhood- and adolescent-onset cases differed on temperament as early as age 3 years, but almost half of childhood-onset cases did not become seriously delinquent. Type comparisons were consistent with our contention that males whose antisocial behavior follows a life-course-persistent path differ from males who follow an adolescence-limited path. As adolescents, the two types differed on convictions for violent crime, personality profiles, school leaving, and bonds to family. These differences can be attributed to developmental history because the two groups were well matched on measures of antisocial conduct at age 18 years: parent-reports, self-reports, and adjudication records. By age 18 years, many conduct-problem boys had encountered factors that could ensnare them in an antisocial future: substance dependence, unsafe sex, dangerous driving habits, delinquent friends, delinquent perceptions, and unemployment. Implications for theory, research design, prevention, and therapeutic treatment of conduct problems are highlighted.","DOI":"10.1017/S0954579400007161","ISSN":"1469-2198, 0954-5794","title-short":"Childhood-onset versus adolescent-onset antisocial conduct problems in males","language":"en","author":[{"family":"Moffitt","given":"Terrie E."},{"family":"Caspi","given":"Avshalom"},{"family":"Dickson","given":"Nigel"},{"family":"Silva","given":"Phil"},{"family":"Stanton","given":"Warren"}],"issued":{"date-parts":[["1996"]],"season":"ed"}}}],"schema":"https://github.com/citation-style-language/schema/raw/master/csl-citation.json"} </w:instrText>
            </w:r>
            <w:r w:rsidRPr="00552A36">
              <w:rPr>
                <w:rFonts w:cs="Arial"/>
                <w:szCs w:val="20"/>
              </w:rPr>
              <w:fldChar w:fldCharType="separate"/>
            </w:r>
            <w:r w:rsidRPr="005D70E3">
              <w:rPr>
                <w:rFonts w:cs="Arial"/>
              </w:rPr>
              <w:t>[36]</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EXT(5-18)-AUD(18)</w:t>
            </w:r>
          </w:p>
        </w:tc>
        <w:tc>
          <w:tcPr>
            <w:tcW w:w="3912" w:type="dxa"/>
            <w:vAlign w:val="center"/>
          </w:tcPr>
          <w:p w:rsidR="00201753" w:rsidRPr="00552A36" w:rsidRDefault="00201753" w:rsidP="0086242F">
            <w:pPr>
              <w:pStyle w:val="NoSpacing"/>
              <w:rPr>
                <w:rFonts w:cs="Arial"/>
                <w:szCs w:val="20"/>
              </w:rPr>
            </w:pPr>
            <w:r w:rsidRPr="00552A36">
              <w:rPr>
                <w:rFonts w:cs="Arial"/>
                <w:szCs w:val="20"/>
              </w:rPr>
              <w:t>Reference: Unclassified group</w:t>
            </w:r>
          </w:p>
          <w:p w:rsidR="00201753" w:rsidRPr="00552A36" w:rsidRDefault="00201753" w:rsidP="0086242F">
            <w:pPr>
              <w:pStyle w:val="NoSpacing"/>
              <w:rPr>
                <w:rFonts w:cs="Arial"/>
                <w:szCs w:val="20"/>
              </w:rPr>
            </w:pPr>
            <w:r w:rsidRPr="00552A36">
              <w:rPr>
                <w:rFonts w:cs="Arial"/>
                <w:szCs w:val="20"/>
              </w:rPr>
              <w:t xml:space="preserve">Abstainer: </w:t>
            </w:r>
          </w:p>
          <w:p w:rsidR="00201753" w:rsidRPr="00552A36" w:rsidRDefault="00201753" w:rsidP="0086242F">
            <w:pPr>
              <w:pStyle w:val="NoSpacing"/>
              <w:rPr>
                <w:rFonts w:cs="Arial"/>
                <w:szCs w:val="20"/>
              </w:rPr>
            </w:pPr>
            <w:r w:rsidRPr="00552A36">
              <w:rPr>
                <w:rFonts w:cs="Arial"/>
                <w:szCs w:val="20"/>
              </w:rPr>
              <w:lastRenderedPageBreak/>
              <w:t>no, p&gt;0.01</w:t>
            </w:r>
          </w:p>
          <w:p w:rsidR="00201753" w:rsidRPr="00552A36" w:rsidRDefault="00201753" w:rsidP="0086242F">
            <w:pPr>
              <w:pStyle w:val="NoSpacing"/>
              <w:rPr>
                <w:rFonts w:cs="Arial"/>
                <w:szCs w:val="20"/>
              </w:rPr>
            </w:pPr>
            <w:r w:rsidRPr="00552A36">
              <w:rPr>
                <w:rFonts w:cs="Arial"/>
                <w:szCs w:val="20"/>
              </w:rPr>
              <w:t xml:space="preserve">Recovery: </w:t>
            </w:r>
          </w:p>
          <w:p w:rsidR="00201753" w:rsidRPr="00552A36" w:rsidRDefault="00201753" w:rsidP="0086242F">
            <w:pPr>
              <w:pStyle w:val="NoSpacing"/>
              <w:rPr>
                <w:rFonts w:cs="Arial"/>
                <w:szCs w:val="20"/>
              </w:rPr>
            </w:pPr>
            <w:r w:rsidRPr="00552A36">
              <w:rPr>
                <w:rFonts w:cs="Arial"/>
                <w:szCs w:val="20"/>
              </w:rPr>
              <w:t>no, p&gt;0.01</w:t>
            </w:r>
          </w:p>
          <w:p w:rsidR="00201753" w:rsidRPr="00552A36" w:rsidRDefault="00201753" w:rsidP="0086242F">
            <w:pPr>
              <w:pStyle w:val="NoSpacing"/>
              <w:rPr>
                <w:rFonts w:cs="Arial"/>
                <w:szCs w:val="20"/>
              </w:rPr>
            </w:pPr>
            <w:r w:rsidRPr="00552A36">
              <w:rPr>
                <w:rFonts w:cs="Arial"/>
                <w:szCs w:val="20"/>
              </w:rPr>
              <w:t>Life-course Persistent path:</w:t>
            </w:r>
          </w:p>
          <w:p w:rsidR="00201753" w:rsidRPr="00552A36" w:rsidRDefault="00201753" w:rsidP="0086242F">
            <w:pPr>
              <w:pStyle w:val="NoSpacing"/>
              <w:rPr>
                <w:rFonts w:cs="Arial"/>
                <w:szCs w:val="20"/>
              </w:rPr>
            </w:pPr>
            <w:r w:rsidRPr="00552A36">
              <w:rPr>
                <w:rFonts w:cs="Arial"/>
                <w:szCs w:val="20"/>
              </w:rPr>
              <w:t>positive, p&lt;0.01</w:t>
            </w:r>
          </w:p>
          <w:p w:rsidR="00201753" w:rsidRPr="00552A36" w:rsidRDefault="00201753" w:rsidP="0086242F">
            <w:pPr>
              <w:pStyle w:val="NoSpacing"/>
              <w:rPr>
                <w:rFonts w:cs="Arial"/>
                <w:szCs w:val="20"/>
              </w:rPr>
            </w:pPr>
            <w:r w:rsidRPr="00552A36">
              <w:rPr>
                <w:rFonts w:cs="Arial"/>
                <w:szCs w:val="20"/>
              </w:rPr>
              <w:t>Adolescence-limited path:</w:t>
            </w:r>
          </w:p>
          <w:p w:rsidR="00201753" w:rsidRPr="00552A36" w:rsidRDefault="00201753" w:rsidP="0086242F">
            <w:pPr>
              <w:pStyle w:val="NoSpacing"/>
              <w:rPr>
                <w:rFonts w:cs="Arial"/>
                <w:szCs w:val="20"/>
              </w:rPr>
            </w:pPr>
            <w:r w:rsidRPr="00552A36">
              <w:rPr>
                <w:rFonts w:cs="Arial"/>
                <w:szCs w:val="20"/>
              </w:rPr>
              <w:t>positive, p&lt;0.01</w:t>
            </w:r>
          </w:p>
          <w:p w:rsidR="00201753" w:rsidRPr="00552A36" w:rsidRDefault="00201753" w:rsidP="0086242F">
            <w:pPr>
              <w:pStyle w:val="NoSpacing"/>
              <w:rPr>
                <w:rFonts w:cs="Arial"/>
                <w:szCs w:val="20"/>
              </w:rPr>
            </w:pPr>
            <w:r w:rsidRPr="00552A36">
              <w:rPr>
                <w:rFonts w:cs="Arial"/>
                <w:szCs w:val="20"/>
              </w:rPr>
              <w:t>LCP vs AL: no, p&gt;0.05</w:t>
            </w:r>
          </w:p>
        </w:tc>
        <w:tc>
          <w:tcPr>
            <w:tcW w:w="737" w:type="dxa"/>
            <w:vAlign w:val="center"/>
          </w:tcPr>
          <w:p w:rsidR="00201753" w:rsidRPr="00552A36" w:rsidRDefault="00201753" w:rsidP="0086242F">
            <w:pPr>
              <w:pStyle w:val="NoSpacing"/>
              <w:rPr>
                <w:rFonts w:cs="Arial"/>
                <w:szCs w:val="20"/>
              </w:rPr>
            </w:pPr>
            <w:r w:rsidRPr="00552A36">
              <w:rPr>
                <w:rFonts w:cs="Arial"/>
                <w:szCs w:val="20"/>
              </w:rPr>
              <w:lastRenderedPageBreak/>
              <w:t>NA</w:t>
            </w:r>
          </w:p>
        </w:tc>
        <w:tc>
          <w:tcPr>
            <w:tcW w:w="1020" w:type="dxa"/>
            <w:vAlign w:val="center"/>
          </w:tcPr>
          <w:p w:rsidR="00201753" w:rsidRPr="00552A36" w:rsidRDefault="00201753" w:rsidP="0086242F">
            <w:pPr>
              <w:pStyle w:val="NoSpacing"/>
              <w:rPr>
                <w:rFonts w:cs="Arial"/>
                <w:szCs w:val="20"/>
              </w:rPr>
            </w:pPr>
            <w:r w:rsidRPr="00552A36">
              <w:rPr>
                <w:rFonts w:cs="Arial"/>
                <w:szCs w:val="20"/>
              </w:rPr>
              <w:t>ANOVA</w:t>
            </w:r>
          </w:p>
        </w:tc>
        <w:tc>
          <w:tcPr>
            <w:tcW w:w="3969" w:type="dxa"/>
            <w:vAlign w:val="center"/>
          </w:tcPr>
          <w:p w:rsidR="00201753" w:rsidRPr="00552A36" w:rsidRDefault="00201753" w:rsidP="0086242F">
            <w:pPr>
              <w:pStyle w:val="NoSpacing"/>
              <w:rPr>
                <w:rFonts w:cs="Arial"/>
                <w:szCs w:val="20"/>
              </w:rPr>
            </w:pPr>
            <w:r w:rsidRPr="00552A36">
              <w:rPr>
                <w:rFonts w:cs="Arial"/>
                <w:szCs w:val="20"/>
              </w:rPr>
              <w:t>None</w:t>
            </w:r>
          </w:p>
        </w:tc>
        <w:tc>
          <w:tcPr>
            <w:tcW w:w="454" w:type="dxa"/>
            <w:vAlign w:val="center"/>
          </w:tcPr>
          <w:p w:rsidR="00201753" w:rsidRPr="00552A36" w:rsidRDefault="00201753" w:rsidP="0086242F">
            <w:pPr>
              <w:pStyle w:val="NoSpacing"/>
              <w:rPr>
                <w:rFonts w:cs="Arial"/>
                <w:szCs w:val="20"/>
              </w:rPr>
            </w:pPr>
            <w:r w:rsidRPr="00552A36">
              <w:rPr>
                <w:rFonts w:cs="Arial"/>
                <w:szCs w:val="20"/>
              </w:rPr>
              <w:t>3</w:t>
            </w:r>
          </w:p>
        </w:tc>
      </w:tr>
      <w:tr w:rsidR="00201753" w:rsidRPr="00552A36" w:rsidTr="0086242F">
        <w:trPr>
          <w:trHeight w:val="360"/>
          <w:jc w:val="center"/>
        </w:trPr>
        <w:tc>
          <w:tcPr>
            <w:tcW w:w="1417" w:type="dxa"/>
            <w:vMerge w:val="restart"/>
            <w:vAlign w:val="center"/>
            <w:hideMark/>
          </w:tcPr>
          <w:p w:rsidR="00201753" w:rsidRPr="00552A36" w:rsidRDefault="00201753" w:rsidP="0086242F">
            <w:pPr>
              <w:pStyle w:val="NoSpacing"/>
            </w:pPr>
            <w:r w:rsidRPr="00552A36">
              <w:t>Steele et al.</w:t>
            </w:r>
          </w:p>
          <w:p w:rsidR="00201753" w:rsidRPr="00552A36" w:rsidRDefault="00201753" w:rsidP="0086242F">
            <w:pPr>
              <w:pStyle w:val="NoSpacing"/>
              <w:rPr>
                <w:rFonts w:cs="Arial"/>
                <w:szCs w:val="20"/>
              </w:rPr>
            </w:pPr>
            <w:r w:rsidRPr="00552A36">
              <w:rPr>
                <w:rFonts w:cs="Arial"/>
                <w:szCs w:val="20"/>
              </w:rPr>
              <w:t>(1995)</w:t>
            </w:r>
            <w:r w:rsidRPr="00552A36">
              <w:rPr>
                <w:rFonts w:cs="Arial"/>
                <w:szCs w:val="20"/>
              </w:rPr>
              <w:fldChar w:fldCharType="begin"/>
            </w:r>
            <w:r>
              <w:rPr>
                <w:rFonts w:cs="Arial"/>
                <w:szCs w:val="20"/>
              </w:rPr>
              <w:instrText xml:space="preserve"> ADDIN ZOTERO_ITEM CSL_CITATION {"citationID":"ZRXwrAxZ","properties":{"formattedCitation":"[37]","plainCitation":"[37]","noteIndex":0},"citationItems":[{"id":780,"uris":["http://zotero.org/users/3535616/items/WQWR35I9"],"uri":["http://zotero.org/users/3535616/items/WQWR35I9"],"itemData":{"id":780,"type":"article-journal","title":"Predicting alcohol and drug use in early adulthood: the role of internalizing and externalizing behavior problems in early adolescence","container-title":"The American journal of orthopsychiatry","page":"380-8","volume":"65","issue":"3","source":"ucl-primo.com","abstract":"Unique and interactive internalizing and externalizing behavior problems in adolescence were examined in relationship to drug and alcohol use in young adulthood. Results indicated that higher externalizing scores in adolescence predicted more alcohol use in young adulthood for both males and females and also predicted more marijuana and hard drug use for males. Lower internalizing scores were found to predict more marijuana and hard drug use in young adulthood for boys, but not for girls.","DOI":"10.1037/h0079694","ISSN":"0002-9432","title-short":"Predicting alcohol and drug use in early adulthood","language":"eng","author":[{"family":"Steele","given":"R. G."},{"family":"Forehand","given":"R."},{"family":"Armistead","given":"L."},{"family":"Brody","given":"G."}],"issued":{"date-parts":[["1995"]]}}}],"schema":"https://github.com/citation-style-language/schema/raw/master/csl-citation.json"} </w:instrText>
            </w:r>
            <w:r w:rsidRPr="00552A36">
              <w:rPr>
                <w:rFonts w:cs="Arial"/>
                <w:szCs w:val="20"/>
              </w:rPr>
              <w:fldChar w:fldCharType="separate"/>
            </w:r>
            <w:r w:rsidRPr="005D70E3">
              <w:rPr>
                <w:rFonts w:cs="Arial"/>
              </w:rPr>
              <w:t>[37]</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EXT(13.5)-AUD(19.75)</w:t>
            </w:r>
          </w:p>
        </w:tc>
        <w:tc>
          <w:tcPr>
            <w:tcW w:w="3912" w:type="dxa"/>
            <w:vAlign w:val="center"/>
          </w:tcPr>
          <w:p w:rsidR="00201753" w:rsidRPr="00552A36" w:rsidRDefault="00201753" w:rsidP="0086242F">
            <w:pPr>
              <w:pStyle w:val="NoSpacing"/>
              <w:rPr>
                <w:rFonts w:cs="Arial"/>
                <w:szCs w:val="20"/>
              </w:rPr>
            </w:pPr>
            <w:r w:rsidRPr="00552A36">
              <w:rPr>
                <w:rFonts w:cs="Arial"/>
                <w:szCs w:val="20"/>
              </w:rPr>
              <w:t>0.087,p=0.05</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No</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OLS</w:t>
            </w:r>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 xml:space="preserve">Sex, anxiety/conduct problem accordingly, anxiety*sex, conduct problem*sex, anxiety*conduct problem, anxiety*conduct problem*sex </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2</w:t>
            </w: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ANX(13.5)-AUD(19.75)</w:t>
            </w:r>
          </w:p>
        </w:tc>
        <w:tc>
          <w:tcPr>
            <w:tcW w:w="3912" w:type="dxa"/>
            <w:vAlign w:val="center"/>
          </w:tcPr>
          <w:p w:rsidR="00201753" w:rsidRPr="00552A36" w:rsidRDefault="00201753" w:rsidP="0086242F">
            <w:pPr>
              <w:pStyle w:val="NoSpacing"/>
              <w:rPr>
                <w:rFonts w:cs="Arial"/>
                <w:szCs w:val="20"/>
              </w:rPr>
            </w:pPr>
            <w:r w:rsidRPr="00552A36">
              <w:rPr>
                <w:rFonts w:cs="Arial"/>
                <w:szCs w:val="20"/>
              </w:rPr>
              <w:t>-0.042,p&gt;0.05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17" w:type="dxa"/>
            <w:vMerge w:val="restart"/>
            <w:vAlign w:val="center"/>
          </w:tcPr>
          <w:p w:rsidR="00201753" w:rsidRPr="00552A36" w:rsidRDefault="00201753" w:rsidP="0086242F">
            <w:pPr>
              <w:pStyle w:val="NoSpacing"/>
              <w:rPr>
                <w:rFonts w:cs="Arial"/>
                <w:szCs w:val="20"/>
              </w:rPr>
            </w:pPr>
            <w:proofErr w:type="spellStart"/>
            <w:r w:rsidRPr="00552A36">
              <w:rPr>
                <w:rFonts w:cs="Arial"/>
                <w:szCs w:val="20"/>
              </w:rPr>
              <w:t>Pulkkinen</w:t>
            </w:r>
            <w:proofErr w:type="spellEnd"/>
            <w:r w:rsidRPr="00552A36">
              <w:rPr>
                <w:rFonts w:cs="Arial"/>
                <w:szCs w:val="20"/>
              </w:rPr>
              <w:t xml:space="preserve"> et al.(1994) </w:t>
            </w:r>
            <w:r w:rsidRPr="00552A36">
              <w:rPr>
                <w:rFonts w:cs="Arial"/>
                <w:szCs w:val="20"/>
              </w:rPr>
              <w:fldChar w:fldCharType="begin"/>
            </w:r>
            <w:r>
              <w:rPr>
                <w:rFonts w:cs="Arial"/>
                <w:szCs w:val="20"/>
              </w:rPr>
              <w:instrText xml:space="preserve"> ADDIN ZOTERO_ITEM CSL_CITATION {"citationID":"a1egvtklv0o","properties":{"formattedCitation":"[38]","plainCitation":"[38]","noteIndex":0},"citationItems":[{"id":2964,"uris":["http://zotero.org/users/3535616/items/UD3UC7GG"],"uri":["http://zotero.org/users/3535616/items/UD3UC7GG"],"itemData":{"id":2964,"type":"article-journal","title":"A prospective study of the precursors to problem drinking in young adulthood.","container-title":"Journal of Studies on Alcohol","page":"578-587","volume":"55","issue":"5","source":"jsad.com (Atypon)","abstract":"This study was part of the Jyväskylä Longitudinal Study on Social Development. The subjects (196 males, 173 females) were studied at age 8, 14 and 26. Three components in drinking habits were obtained at age 26: social, problem and controlled drinking. Moderate to severe problem drinking was obtained for 26% of the men and 1% of the women, and mild problem drinking for 23% of the men and 15% of the women. Problem drinking (defined by the CAGE Questionnaire, arrest for alcohol abuse and other indicators of heavy drinking) was directly accounted for by poor school success at age 14 and, for men, by conduct problems and low anxiety. Variables at age 8 that contributed indirectly to adult problem drinking were aggression, low anxiety, low prosociality and poor school success for men, and high anxiety and poor school success for women. Women and men differed in the effect of social anxiety; in men, anxiety was a protective factor against problem drinking; in women, it was a risk factor. Although conduct problems often precede severe problem drinking, other risk factors may exist among sons of alcoholic parents. Parental drinking had a significant threshold effect on male off-springs' drinking: if parental drinking was low, there was less problem drinking among the male offspring than if a mild dependence on alcohol was observed in the parents.","DOI":"10.15288/jsa.1994.55.578","ISSN":"0096-882X","journalAbbreviation":"J. Stud. Alcohol","author":[{"family":"Pulkkinen","given":"L"},{"family":"Pitkänen","given":"T"}],"issued":{"date-parts":[["1994",9,1]]}}}],"schema":"https://github.com/citation-style-language/schema/raw/master/csl-citation.json"} </w:instrText>
            </w:r>
            <w:r w:rsidRPr="00552A36">
              <w:rPr>
                <w:rFonts w:cs="Arial"/>
                <w:szCs w:val="20"/>
              </w:rPr>
              <w:fldChar w:fldCharType="separate"/>
            </w:r>
            <w:r w:rsidRPr="005D70E3">
              <w:rPr>
                <w:rFonts w:cs="Arial"/>
              </w:rPr>
              <w:t>[38]</w:t>
            </w:r>
            <w:r w:rsidRPr="00552A36">
              <w:rPr>
                <w:rFonts w:cs="Arial"/>
                <w:szCs w:val="20"/>
              </w:rPr>
              <w:fldChar w:fldCharType="end"/>
            </w:r>
          </w:p>
        </w:tc>
        <w:tc>
          <w:tcPr>
            <w:tcW w:w="2835" w:type="dxa"/>
            <w:vAlign w:val="center"/>
          </w:tcPr>
          <w:p w:rsidR="00201753" w:rsidRPr="00552A36" w:rsidRDefault="00201753" w:rsidP="0086242F">
            <w:pPr>
              <w:pStyle w:val="NoSpacing"/>
              <w:rPr>
                <w:rFonts w:cs="Arial"/>
                <w:szCs w:val="20"/>
              </w:rPr>
            </w:pPr>
            <w:r w:rsidRPr="00552A36">
              <w:rPr>
                <w:rFonts w:cs="Arial"/>
                <w:szCs w:val="20"/>
              </w:rPr>
              <w:t>EXT(14)-H/P Drinking(26-27)</w:t>
            </w:r>
          </w:p>
        </w:tc>
        <w:tc>
          <w:tcPr>
            <w:tcW w:w="3912" w:type="dxa"/>
            <w:vAlign w:val="center"/>
          </w:tcPr>
          <w:p w:rsidR="00201753" w:rsidRPr="00552A36" w:rsidRDefault="00201753" w:rsidP="0086242F">
            <w:pPr>
              <w:pStyle w:val="NoSpacing"/>
              <w:rPr>
                <w:rFonts w:cs="Arial"/>
                <w:szCs w:val="20"/>
              </w:rPr>
            </w:pPr>
            <w:r w:rsidRPr="00552A36">
              <w:rPr>
                <w:rFonts w:cs="Arial"/>
                <w:szCs w:val="20"/>
              </w:rPr>
              <w:t>0.20 for male, p&lt;0.05</w:t>
            </w:r>
          </w:p>
          <w:p w:rsidR="00201753" w:rsidRPr="00552A36" w:rsidRDefault="00201753" w:rsidP="0086242F">
            <w:pPr>
              <w:pStyle w:val="NoSpacing"/>
              <w:rPr>
                <w:rFonts w:cs="Arial"/>
                <w:szCs w:val="20"/>
              </w:rPr>
            </w:pPr>
            <w:r w:rsidRPr="00552A36">
              <w:rPr>
                <w:rFonts w:cs="Arial"/>
                <w:szCs w:val="20"/>
              </w:rPr>
              <w:t xml:space="preserve">No for </w:t>
            </w:r>
            <w:proofErr w:type="spellStart"/>
            <w:r w:rsidRPr="00552A36">
              <w:rPr>
                <w:rFonts w:cs="Arial"/>
                <w:szCs w:val="20"/>
              </w:rPr>
              <w:t>female,p</w:t>
            </w:r>
            <w:proofErr w:type="spellEnd"/>
            <w:r w:rsidRPr="00552A36">
              <w:rPr>
                <w:rFonts w:cs="Arial"/>
                <w:szCs w:val="20"/>
              </w:rPr>
              <w:t>&gt;0.05</w:t>
            </w:r>
          </w:p>
        </w:tc>
        <w:tc>
          <w:tcPr>
            <w:tcW w:w="737" w:type="dxa"/>
            <w:vMerge w:val="restart"/>
            <w:vAlign w:val="center"/>
          </w:tcPr>
          <w:p w:rsidR="00201753" w:rsidRPr="00552A36" w:rsidRDefault="00201753" w:rsidP="0086242F">
            <w:pPr>
              <w:pStyle w:val="NoSpacing"/>
              <w:rPr>
                <w:rFonts w:cs="Arial"/>
                <w:szCs w:val="20"/>
              </w:rPr>
            </w:pPr>
            <w:r w:rsidRPr="00552A36">
              <w:rPr>
                <w:rFonts w:cs="Arial"/>
                <w:szCs w:val="20"/>
              </w:rPr>
              <w:t>Yes</w:t>
            </w:r>
          </w:p>
        </w:tc>
        <w:tc>
          <w:tcPr>
            <w:tcW w:w="1020" w:type="dxa"/>
            <w:vMerge w:val="restart"/>
            <w:vAlign w:val="center"/>
          </w:tcPr>
          <w:p w:rsidR="00201753" w:rsidRPr="00552A36" w:rsidRDefault="00201753" w:rsidP="0086242F">
            <w:pPr>
              <w:pStyle w:val="NoSpacing"/>
              <w:rPr>
                <w:rFonts w:cs="Arial"/>
                <w:szCs w:val="20"/>
              </w:rPr>
            </w:pPr>
            <w:r w:rsidRPr="00552A36">
              <w:rPr>
                <w:rFonts w:cs="Arial"/>
                <w:szCs w:val="20"/>
              </w:rPr>
              <w:t>Path analysis</w:t>
            </w:r>
          </w:p>
        </w:tc>
        <w:tc>
          <w:tcPr>
            <w:tcW w:w="3969" w:type="dxa"/>
            <w:vMerge w:val="restart"/>
            <w:vAlign w:val="center"/>
          </w:tcPr>
          <w:p w:rsidR="00201753" w:rsidRPr="00552A36" w:rsidRDefault="00201753" w:rsidP="0086242F">
            <w:pPr>
              <w:pStyle w:val="NoSpacing"/>
              <w:rPr>
                <w:rFonts w:cs="Arial"/>
                <w:szCs w:val="20"/>
              </w:rPr>
            </w:pPr>
            <w:r w:rsidRPr="00552A36">
              <w:rPr>
                <w:rFonts w:cs="Arial"/>
                <w:szCs w:val="20"/>
              </w:rPr>
              <w:t xml:space="preserve">Anxiety at age 8, aggression at age 8, </w:t>
            </w:r>
            <w:proofErr w:type="spellStart"/>
            <w:r w:rsidRPr="00552A36">
              <w:rPr>
                <w:rFonts w:cs="Arial"/>
                <w:szCs w:val="20"/>
              </w:rPr>
              <w:t>prosociality</w:t>
            </w:r>
            <w:proofErr w:type="spellEnd"/>
            <w:r w:rsidRPr="00552A36">
              <w:rPr>
                <w:rFonts w:cs="Arial"/>
                <w:szCs w:val="20"/>
              </w:rPr>
              <w:t xml:space="preserve"> at age 8, school success at age 8, school success at age 14</w:t>
            </w:r>
          </w:p>
        </w:tc>
        <w:tc>
          <w:tcPr>
            <w:tcW w:w="454" w:type="dxa"/>
            <w:vMerge w:val="restart"/>
            <w:vAlign w:val="center"/>
          </w:tcPr>
          <w:p w:rsidR="00201753" w:rsidRPr="00552A36" w:rsidRDefault="00201753" w:rsidP="0086242F">
            <w:pPr>
              <w:pStyle w:val="NoSpacing"/>
              <w:rPr>
                <w:rFonts w:cs="Arial"/>
                <w:szCs w:val="20"/>
              </w:rPr>
            </w:pPr>
            <w:r w:rsidRPr="00552A36">
              <w:rPr>
                <w:rFonts w:cs="Arial"/>
                <w:szCs w:val="20"/>
              </w:rPr>
              <w:t>3</w:t>
            </w:r>
          </w:p>
        </w:tc>
      </w:tr>
      <w:tr w:rsidR="00201753" w:rsidRPr="00552A36" w:rsidTr="0086242F">
        <w:trPr>
          <w:trHeight w:val="360"/>
          <w:jc w:val="center"/>
        </w:trPr>
        <w:tc>
          <w:tcPr>
            <w:tcW w:w="1417" w:type="dxa"/>
            <w:vMerge/>
            <w:vAlign w:val="center"/>
          </w:tcPr>
          <w:p w:rsidR="00201753" w:rsidRPr="00552A36" w:rsidRDefault="00201753" w:rsidP="0086242F">
            <w:pPr>
              <w:pStyle w:val="NoSpacing"/>
              <w:rPr>
                <w:rFonts w:cs="Arial"/>
                <w:szCs w:val="20"/>
              </w:rPr>
            </w:pPr>
          </w:p>
        </w:tc>
        <w:tc>
          <w:tcPr>
            <w:tcW w:w="2835" w:type="dxa"/>
            <w:vAlign w:val="center"/>
          </w:tcPr>
          <w:p w:rsidR="00201753" w:rsidRPr="00552A36" w:rsidRDefault="00201753" w:rsidP="0086242F">
            <w:pPr>
              <w:pStyle w:val="NoSpacing"/>
              <w:rPr>
                <w:rFonts w:cs="Arial"/>
                <w:szCs w:val="20"/>
              </w:rPr>
            </w:pPr>
            <w:r w:rsidRPr="00552A36">
              <w:rPr>
                <w:rFonts w:cs="Arial"/>
                <w:szCs w:val="20"/>
              </w:rPr>
              <w:t>ANX(14)-H/P Drinking(26-27)</w:t>
            </w:r>
          </w:p>
        </w:tc>
        <w:tc>
          <w:tcPr>
            <w:tcW w:w="3912" w:type="dxa"/>
            <w:vAlign w:val="center"/>
          </w:tcPr>
          <w:p w:rsidR="00201753" w:rsidRPr="00552A36" w:rsidRDefault="00201753" w:rsidP="0086242F">
            <w:pPr>
              <w:pStyle w:val="NoSpacing"/>
              <w:rPr>
                <w:rFonts w:cs="Arial"/>
                <w:szCs w:val="20"/>
              </w:rPr>
            </w:pPr>
            <w:r w:rsidRPr="00552A36">
              <w:rPr>
                <w:rFonts w:cs="Arial"/>
                <w:szCs w:val="20"/>
              </w:rPr>
              <w:t>-0,21 for male, p&lt;0.01</w:t>
            </w:r>
          </w:p>
          <w:p w:rsidR="00201753" w:rsidRPr="00552A36" w:rsidRDefault="00201753" w:rsidP="0086242F">
            <w:pPr>
              <w:pStyle w:val="NoSpacing"/>
              <w:rPr>
                <w:rFonts w:cs="Arial"/>
                <w:szCs w:val="20"/>
              </w:rPr>
            </w:pPr>
            <w:r w:rsidRPr="00552A36">
              <w:rPr>
                <w:rFonts w:cs="Arial"/>
                <w:szCs w:val="20"/>
              </w:rPr>
              <w:t xml:space="preserve">No for </w:t>
            </w:r>
            <w:proofErr w:type="spellStart"/>
            <w:r w:rsidRPr="00552A36">
              <w:rPr>
                <w:rFonts w:cs="Arial"/>
                <w:szCs w:val="20"/>
              </w:rPr>
              <w:t>female,p</w:t>
            </w:r>
            <w:proofErr w:type="spellEnd"/>
            <w:r w:rsidRPr="00552A36">
              <w:rPr>
                <w:rFonts w:cs="Arial"/>
                <w:szCs w:val="20"/>
              </w:rPr>
              <w:t>&gt;0.05</w:t>
            </w:r>
          </w:p>
        </w:tc>
        <w:tc>
          <w:tcPr>
            <w:tcW w:w="737" w:type="dxa"/>
            <w:vMerge/>
            <w:vAlign w:val="center"/>
          </w:tcPr>
          <w:p w:rsidR="00201753" w:rsidRPr="00552A36" w:rsidRDefault="00201753" w:rsidP="0086242F">
            <w:pPr>
              <w:pStyle w:val="NoSpacing"/>
              <w:rPr>
                <w:rFonts w:cs="Arial"/>
                <w:szCs w:val="20"/>
              </w:rPr>
            </w:pPr>
          </w:p>
        </w:tc>
        <w:tc>
          <w:tcPr>
            <w:tcW w:w="1020" w:type="dxa"/>
            <w:vMerge/>
            <w:vAlign w:val="center"/>
          </w:tcPr>
          <w:p w:rsidR="00201753" w:rsidRPr="00552A36" w:rsidRDefault="00201753" w:rsidP="0086242F">
            <w:pPr>
              <w:pStyle w:val="NoSpacing"/>
              <w:rPr>
                <w:rFonts w:cs="Arial"/>
                <w:szCs w:val="20"/>
              </w:rPr>
            </w:pPr>
          </w:p>
        </w:tc>
        <w:tc>
          <w:tcPr>
            <w:tcW w:w="3969" w:type="dxa"/>
            <w:vMerge/>
            <w:vAlign w:val="center"/>
          </w:tcPr>
          <w:p w:rsidR="00201753" w:rsidRPr="00552A36" w:rsidRDefault="00201753" w:rsidP="0086242F">
            <w:pPr>
              <w:pStyle w:val="NoSpacing"/>
              <w:rPr>
                <w:rFonts w:cs="Arial"/>
                <w:szCs w:val="20"/>
              </w:rPr>
            </w:pPr>
          </w:p>
        </w:tc>
        <w:tc>
          <w:tcPr>
            <w:tcW w:w="454" w:type="dxa"/>
            <w:vMerge/>
            <w:vAlign w:val="center"/>
          </w:tcPr>
          <w:p w:rsidR="00201753" w:rsidRPr="00552A36" w:rsidRDefault="00201753" w:rsidP="0086242F">
            <w:pPr>
              <w:pStyle w:val="NoSpacing"/>
              <w:rPr>
                <w:rFonts w:cs="Arial"/>
                <w:szCs w:val="20"/>
              </w:rPr>
            </w:pPr>
          </w:p>
        </w:tc>
      </w:tr>
      <w:tr w:rsidR="00201753" w:rsidRPr="00552A36" w:rsidTr="0086242F">
        <w:trPr>
          <w:trHeight w:val="360"/>
          <w:jc w:val="center"/>
        </w:trPr>
        <w:tc>
          <w:tcPr>
            <w:tcW w:w="14344" w:type="dxa"/>
            <w:gridSpan w:val="7"/>
            <w:vAlign w:val="center"/>
          </w:tcPr>
          <w:p w:rsidR="00201753" w:rsidRDefault="00201753" w:rsidP="0086242F">
            <w:pPr>
              <w:pStyle w:val="NoSpacing"/>
              <w:rPr>
                <w:rFonts w:cs="Arial"/>
                <w:szCs w:val="20"/>
              </w:rPr>
            </w:pPr>
            <w:r w:rsidRPr="00E21D50">
              <w:rPr>
                <w:rFonts w:cs="Arial"/>
                <w:szCs w:val="20"/>
                <w:vertAlign w:val="superscript"/>
              </w:rPr>
              <w:t>#</w:t>
            </w:r>
            <w:r>
              <w:rPr>
                <w:rFonts w:cs="Arial"/>
                <w:szCs w:val="20"/>
              </w:rPr>
              <w:t>Report in order whatever is available in the study</w:t>
            </w:r>
          </w:p>
          <w:p w:rsidR="00201753" w:rsidRDefault="00201753" w:rsidP="0086242F">
            <w:pPr>
              <w:pStyle w:val="NoSpacing"/>
              <w:rPr>
                <w:rFonts w:cs="Arial"/>
                <w:szCs w:val="20"/>
              </w:rPr>
            </w:pPr>
            <w:r>
              <w:rPr>
                <w:rFonts w:cs="Arial"/>
                <w:szCs w:val="20"/>
                <w:vertAlign w:val="superscript"/>
              </w:rPr>
              <w:t>§</w:t>
            </w:r>
            <w:r>
              <w:rPr>
                <w:rFonts w:cs="Arial"/>
                <w:szCs w:val="20"/>
              </w:rPr>
              <w:t xml:space="preserve">Sex differences of the association; NE: not explored; NA: not </w:t>
            </w:r>
            <w:proofErr w:type="spellStart"/>
            <w:r>
              <w:rPr>
                <w:rFonts w:cs="Arial"/>
                <w:szCs w:val="20"/>
              </w:rPr>
              <w:t>appliable</w:t>
            </w:r>
            <w:proofErr w:type="spellEnd"/>
          </w:p>
          <w:p w:rsidR="00201753" w:rsidRDefault="00201753" w:rsidP="0086242F">
            <w:pPr>
              <w:pStyle w:val="NoSpacing"/>
              <w:rPr>
                <w:rFonts w:cs="Arial"/>
                <w:szCs w:val="20"/>
              </w:rPr>
            </w:pPr>
            <w:r w:rsidRPr="0087571B">
              <w:rPr>
                <w:rFonts w:cs="Arial"/>
                <w:szCs w:val="20"/>
                <w:vertAlign w:val="superscript"/>
              </w:rPr>
              <w:sym w:font="Symbol" w:char="F026"/>
            </w:r>
            <w:r>
              <w:rPr>
                <w:rFonts w:cs="Arial"/>
                <w:szCs w:val="20"/>
              </w:rPr>
              <w:t xml:space="preserve">EXT: externalising problems; INT: internalising problems; DEP: depression/depressive symptoms; ANX; anxiety; AC: alcohol consumption; H/P drinking: heavy/problematic drinking; HD: heavy episode drinking/binge drinking; PD: problematic drinking; AUD: alcohol use disorder; OLS: ordinary least-square regression; </w:t>
            </w:r>
            <w:proofErr w:type="spellStart"/>
            <w:r>
              <w:rPr>
                <w:rFonts w:cs="Arial"/>
                <w:szCs w:val="20"/>
              </w:rPr>
              <w:t>reg</w:t>
            </w:r>
            <w:proofErr w:type="spellEnd"/>
            <w:r>
              <w:rPr>
                <w:rFonts w:cs="Arial"/>
                <w:szCs w:val="20"/>
              </w:rPr>
              <w:t>: regression; ANOVA: analysis of variance; SEM: structural equation model; MSM: marginal structural model</w:t>
            </w:r>
          </w:p>
          <w:p w:rsidR="00201753" w:rsidRDefault="00201753" w:rsidP="0086242F">
            <w:pPr>
              <w:pStyle w:val="NoSpacing"/>
              <w:rPr>
                <w:rFonts w:cs="Arial"/>
                <w:szCs w:val="20"/>
              </w:rPr>
            </w:pPr>
            <w:r>
              <w:rPr>
                <w:rFonts w:cs="Arial"/>
                <w:szCs w:val="20"/>
              </w:rPr>
              <w:t>*Quality assessment</w:t>
            </w:r>
          </w:p>
          <w:p w:rsidR="00201753" w:rsidRPr="00552A36" w:rsidRDefault="00201753" w:rsidP="0086242F">
            <w:pPr>
              <w:pStyle w:val="NoSpacing"/>
              <w:rPr>
                <w:rFonts w:cs="Arial"/>
                <w:szCs w:val="20"/>
              </w:rPr>
            </w:pPr>
            <w:proofErr w:type="gramStart"/>
            <w:r>
              <w:rPr>
                <w:rFonts w:cs="Arial"/>
                <w:szCs w:val="20"/>
              </w:rPr>
              <w:t>!The</w:t>
            </w:r>
            <w:proofErr w:type="gramEnd"/>
            <w:r>
              <w:rPr>
                <w:rFonts w:cs="Arial"/>
                <w:szCs w:val="20"/>
              </w:rPr>
              <w:t xml:space="preserve"> acronym applied throughout the supplements.</w:t>
            </w:r>
          </w:p>
        </w:tc>
      </w:tr>
    </w:tbl>
    <w:p w:rsidR="00D255FC" w:rsidRDefault="00D255FC"/>
    <w:sectPr w:rsidR="00D255FC" w:rsidSect="002017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53"/>
    <w:rsid w:val="00201753"/>
    <w:rsid w:val="00D2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9D527-EF5C-44FA-A252-6B8B5CDF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75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201753"/>
  </w:style>
  <w:style w:type="character" w:customStyle="1" w:styleId="BalloonTextChar">
    <w:name w:val="Balloon Text Char"/>
    <w:basedOn w:val="DefaultParagraphFont"/>
    <w:link w:val="BalloonText"/>
    <w:uiPriority w:val="99"/>
    <w:semiHidden/>
    <w:rsid w:val="00201753"/>
    <w:rPr>
      <w:rFonts w:ascii="Segoe UI" w:eastAsiaTheme="minorEastAsia" w:hAnsi="Segoe UI" w:cs="Segoe UI"/>
      <w:sz w:val="18"/>
      <w:szCs w:val="18"/>
      <w:lang w:eastAsia="en-GB"/>
    </w:rPr>
  </w:style>
  <w:style w:type="paragraph" w:styleId="BalloonText">
    <w:name w:val="Balloon Text"/>
    <w:basedOn w:val="Normal"/>
    <w:link w:val="BalloonTextChar"/>
    <w:uiPriority w:val="99"/>
    <w:semiHidden/>
    <w:unhideWhenUsed/>
    <w:rsid w:val="00201753"/>
    <w:pPr>
      <w:spacing w:after="0" w:line="240" w:lineRule="auto"/>
    </w:pPr>
    <w:rPr>
      <w:rFonts w:ascii="Segoe UI" w:hAnsi="Segoe UI" w:cs="Segoe UI"/>
      <w:sz w:val="18"/>
      <w:szCs w:val="18"/>
      <w:lang w:eastAsia="en-GB"/>
    </w:rPr>
  </w:style>
  <w:style w:type="character" w:customStyle="1" w:styleId="BalloonTextChar1">
    <w:name w:val="Balloon Text Char1"/>
    <w:basedOn w:val="DefaultParagraphFont"/>
    <w:uiPriority w:val="99"/>
    <w:semiHidden/>
    <w:rsid w:val="00201753"/>
    <w:rPr>
      <w:rFonts w:ascii="Segoe UI" w:eastAsiaTheme="minorEastAsia" w:hAnsi="Segoe UI" w:cs="Segoe UI"/>
      <w:sz w:val="18"/>
      <w:szCs w:val="18"/>
    </w:rPr>
  </w:style>
  <w:style w:type="paragraph" w:styleId="NoSpacing">
    <w:name w:val="No Spacing"/>
    <w:uiPriority w:val="1"/>
    <w:qFormat/>
    <w:rsid w:val="00201753"/>
    <w:pPr>
      <w:spacing w:after="0" w:line="240" w:lineRule="auto"/>
    </w:pPr>
    <w:rPr>
      <w:rFonts w:ascii="Arial" w:eastAsiaTheme="minorEastAsia"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16498</Words>
  <Characters>94043</Characters>
  <Application>Microsoft Office Word</Application>
  <DocSecurity>0</DocSecurity>
  <Lines>783</Lines>
  <Paragraphs>220</Paragraphs>
  <ScaleCrop>false</ScaleCrop>
  <Company>University College London</Company>
  <LinksUpToDate>false</LinksUpToDate>
  <CharactersWithSpaces>110321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Ning</dc:creator>
  <cp:keywords/>
  <dc:description/>
  <cp:lastModifiedBy>Ke Ning</cp:lastModifiedBy>
  <cp:revision>1</cp:revision>
  <dcterms:created xsi:type="dcterms:W3CDTF">2019-11-15T12:48:00Z</dcterms:created>
  <dcterms:modified xsi:type="dcterms:W3CDTF">2019-11-15T12:49:00Z</dcterms:modified>
</cp:coreProperties>
</file>