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BA21" w14:textId="454F64E8" w:rsidR="00EE3358" w:rsidRPr="00600A9D" w:rsidRDefault="005F6BD4" w:rsidP="00EE3358">
      <w:pPr>
        <w:pStyle w:val="NoSpacing"/>
        <w:rPr>
          <w:rFonts w:ascii="Calibri" w:hAnsi="Calibri" w:cs="Calibri"/>
          <w:b/>
          <w:bCs/>
          <w:color w:val="000000"/>
          <w:sz w:val="36"/>
          <w:szCs w:val="36"/>
        </w:rPr>
      </w:pPr>
      <w:bookmarkStart w:id="0" w:name="_GoBack"/>
      <w:bookmarkEnd w:id="0"/>
      <w:r w:rsidRPr="007C246C">
        <w:rPr>
          <w:rFonts w:ascii="Calibri" w:hAnsi="Calibri" w:cs="Calibri"/>
          <w:b/>
          <w:bCs/>
          <w:color w:val="000000"/>
          <w:sz w:val="36"/>
          <w:szCs w:val="36"/>
        </w:rPr>
        <w:t>S1 Text</w:t>
      </w:r>
      <w:r w:rsidR="00366B8D">
        <w:rPr>
          <w:rFonts w:ascii="Calibri" w:hAnsi="Calibri" w:cs="Calibri"/>
          <w:b/>
          <w:bCs/>
          <w:color w:val="000000"/>
          <w:sz w:val="36"/>
          <w:szCs w:val="36"/>
        </w:rPr>
        <w:t>.</w:t>
      </w:r>
      <w:r w:rsidRPr="007C246C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 w:rsidR="00D3527A" w:rsidRPr="00600A9D">
        <w:rPr>
          <w:rFonts w:ascii="Calibri" w:hAnsi="Calibri" w:cs="Calibri"/>
          <w:b/>
          <w:bCs/>
          <w:color w:val="000000"/>
          <w:sz w:val="36"/>
          <w:szCs w:val="36"/>
        </w:rPr>
        <w:t>Supplemental</w:t>
      </w:r>
      <w:r w:rsidR="005A07BD" w:rsidRPr="00600A9D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 w:rsidR="00D3527A" w:rsidRPr="00600A9D">
        <w:rPr>
          <w:rFonts w:ascii="Calibri" w:hAnsi="Calibri" w:cs="Calibri"/>
          <w:b/>
          <w:bCs/>
          <w:color w:val="000000"/>
          <w:sz w:val="36"/>
          <w:szCs w:val="36"/>
        </w:rPr>
        <w:t>Tables</w:t>
      </w:r>
      <w:r w:rsidR="00366B8D">
        <w:rPr>
          <w:rFonts w:ascii="Calibri" w:hAnsi="Calibri" w:cs="Calibri"/>
          <w:b/>
          <w:bCs/>
          <w:color w:val="000000"/>
          <w:sz w:val="36"/>
          <w:szCs w:val="36"/>
        </w:rPr>
        <w:t>.</w:t>
      </w:r>
    </w:p>
    <w:p w14:paraId="76DAF89E" w14:textId="77777777" w:rsidR="003E1D3F" w:rsidRDefault="003E1D3F" w:rsidP="00EE3358">
      <w:pPr>
        <w:pStyle w:val="NoSpacing"/>
        <w:rPr>
          <w:rFonts w:ascii="Calibri" w:hAnsi="Calibri" w:cs="Calibri"/>
          <w:b/>
          <w:bCs/>
          <w:color w:val="000000"/>
        </w:rPr>
      </w:pPr>
      <w:bookmarkStart w:id="1" w:name="_Hlk15128906"/>
    </w:p>
    <w:p w14:paraId="68D5BE0F" w14:textId="4A92A544" w:rsidR="00BA2537" w:rsidRPr="00600A9D" w:rsidRDefault="004A1E95" w:rsidP="00EE3358">
      <w:pPr>
        <w:pStyle w:val="NoSpacing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Table A</w:t>
      </w:r>
      <w:r w:rsidR="001478F7" w:rsidRPr="00600A9D">
        <w:rPr>
          <w:rFonts w:ascii="Calibri" w:hAnsi="Calibri" w:cs="Calibri"/>
          <w:b/>
          <w:bCs/>
          <w:color w:val="000000"/>
        </w:rPr>
        <w:t xml:space="preserve">. Optimal </w:t>
      </w:r>
      <w:r w:rsidRPr="00600A9D">
        <w:rPr>
          <w:rFonts w:ascii="Calibri" w:hAnsi="Calibri" w:cs="Calibri"/>
          <w:b/>
          <w:bCs/>
          <w:color w:val="000000"/>
        </w:rPr>
        <w:t xml:space="preserve">Hyperparameters </w:t>
      </w:r>
      <w:r>
        <w:rPr>
          <w:rFonts w:ascii="Calibri" w:hAnsi="Calibri" w:cs="Calibri"/>
          <w:b/>
          <w:bCs/>
          <w:color w:val="000000"/>
        </w:rPr>
        <w:t>f</w:t>
      </w:r>
      <w:r w:rsidRPr="00600A9D">
        <w:rPr>
          <w:rFonts w:ascii="Calibri" w:hAnsi="Calibri" w:cs="Calibri"/>
          <w:b/>
          <w:bCs/>
          <w:color w:val="000000"/>
        </w:rPr>
        <w:t xml:space="preserve">or </w:t>
      </w:r>
      <w:r w:rsidRPr="00600A9D">
        <w:rPr>
          <w:b/>
          <w:bCs/>
        </w:rPr>
        <w:t xml:space="preserve">Algorithms Using </w:t>
      </w:r>
      <w:r w:rsidR="001478F7" w:rsidRPr="00600A9D">
        <w:rPr>
          <w:b/>
          <w:bCs/>
        </w:rPr>
        <w:t>TF</w:t>
      </w:r>
      <w:r w:rsidRPr="00600A9D">
        <w:rPr>
          <w:b/>
          <w:bCs/>
        </w:rPr>
        <w:t>-</w:t>
      </w:r>
      <w:r w:rsidR="001478F7" w:rsidRPr="00600A9D">
        <w:rPr>
          <w:b/>
          <w:bCs/>
        </w:rPr>
        <w:t xml:space="preserve">IDF </w:t>
      </w:r>
      <w:r w:rsidRPr="00600A9D">
        <w:rPr>
          <w:b/>
          <w:bCs/>
        </w:rPr>
        <w:t>Features</w:t>
      </w:r>
      <w:r w:rsidRPr="00600A9D">
        <w:rPr>
          <w:rFonts w:ascii="Calibri" w:hAnsi="Calibri" w:cs="Calibri"/>
          <w:b/>
          <w:bCs/>
          <w:color w:val="000000"/>
        </w:rPr>
        <w:t>.</w:t>
      </w:r>
      <w:r w:rsidRPr="00600A9D">
        <w:rPr>
          <w:rFonts w:ascii="Calibri" w:hAnsi="Calibri" w:cs="Calibri"/>
          <w:color w:val="000000"/>
        </w:rPr>
        <w:t xml:space="preserve">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124"/>
        <w:gridCol w:w="1728"/>
        <w:gridCol w:w="4743"/>
        <w:gridCol w:w="785"/>
        <w:gridCol w:w="785"/>
      </w:tblGrid>
      <w:tr w:rsidR="006A38E3" w:rsidRPr="00600A9D" w14:paraId="2580F299" w14:textId="77777777" w:rsidTr="003E1D3F">
        <w:tc>
          <w:tcPr>
            <w:tcW w:w="2124" w:type="dxa"/>
            <w:vAlign w:val="center"/>
          </w:tcPr>
          <w:bookmarkEnd w:id="1"/>
          <w:p w14:paraId="56CBF9A1" w14:textId="0A768D4D" w:rsidR="006A38E3" w:rsidRPr="00600A9D" w:rsidRDefault="006A38E3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0" w:type="auto"/>
            <w:vAlign w:val="center"/>
          </w:tcPr>
          <w:p w14:paraId="6A3477F1" w14:textId="01176C1D" w:rsidR="006A38E3" w:rsidRPr="00600A9D" w:rsidRDefault="006A38E3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b/>
                <w:bCs/>
                <w:color w:val="000000"/>
              </w:rPr>
              <w:t>Parameter</w:t>
            </w:r>
          </w:p>
        </w:tc>
        <w:tc>
          <w:tcPr>
            <w:tcW w:w="0" w:type="auto"/>
            <w:vAlign w:val="center"/>
          </w:tcPr>
          <w:p w14:paraId="79EA4C50" w14:textId="7A9B3D4B" w:rsidR="006A38E3" w:rsidRPr="00600A9D" w:rsidRDefault="006A38E3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b/>
                <w:bCs/>
                <w:color w:val="000000"/>
              </w:rPr>
              <w:t>Best Values</w:t>
            </w:r>
          </w:p>
        </w:tc>
        <w:tc>
          <w:tcPr>
            <w:tcW w:w="0" w:type="auto"/>
            <w:vAlign w:val="center"/>
          </w:tcPr>
          <w:p w14:paraId="2C7E8B41" w14:textId="308B5F42" w:rsidR="006A38E3" w:rsidRPr="00600A9D" w:rsidRDefault="006A38E3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b/>
                <w:bCs/>
                <w:color w:val="000000"/>
              </w:rPr>
              <w:t>Mean</w:t>
            </w:r>
          </w:p>
        </w:tc>
        <w:tc>
          <w:tcPr>
            <w:tcW w:w="0" w:type="auto"/>
            <w:vAlign w:val="center"/>
          </w:tcPr>
          <w:p w14:paraId="0DB10F90" w14:textId="6DD2337A" w:rsidR="006A38E3" w:rsidRPr="00600A9D" w:rsidRDefault="006A38E3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b/>
                <w:bCs/>
                <w:color w:val="000000"/>
              </w:rPr>
              <w:t>SD</w:t>
            </w:r>
          </w:p>
        </w:tc>
      </w:tr>
      <w:tr w:rsidR="006A38E3" w:rsidRPr="00600A9D" w14:paraId="7B764D1E" w14:textId="77777777" w:rsidTr="003E1D3F">
        <w:tc>
          <w:tcPr>
            <w:tcW w:w="2124" w:type="dxa"/>
            <w:vAlign w:val="center"/>
          </w:tcPr>
          <w:p w14:paraId="36B0C403" w14:textId="340DBA9E" w:rsidR="006A38E3" w:rsidRPr="003E1D3F" w:rsidRDefault="006A38E3" w:rsidP="003E1D3F">
            <w:pPr>
              <w:pStyle w:val="NoSpacing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3E1D3F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Logistic Regression</w:t>
            </w:r>
          </w:p>
        </w:tc>
        <w:tc>
          <w:tcPr>
            <w:tcW w:w="0" w:type="auto"/>
            <w:vAlign w:val="center"/>
          </w:tcPr>
          <w:p w14:paraId="365C7936" w14:textId="0DBD1D70" w:rsidR="006A38E3" w:rsidRPr="00600A9D" w:rsidRDefault="006A38E3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Cost</w:t>
            </w:r>
          </w:p>
        </w:tc>
        <w:tc>
          <w:tcPr>
            <w:tcW w:w="0" w:type="auto"/>
            <w:vAlign w:val="center"/>
          </w:tcPr>
          <w:p w14:paraId="14A2E975" w14:textId="2B1F0397" w:rsidR="006A38E3" w:rsidRPr="00600A9D" w:rsidRDefault="006A38E3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100, 1000, 1000, 100, 10, 10, 100, 100, 10, 10</w:t>
            </w:r>
          </w:p>
        </w:tc>
        <w:tc>
          <w:tcPr>
            <w:tcW w:w="0" w:type="auto"/>
            <w:vAlign w:val="center"/>
          </w:tcPr>
          <w:p w14:paraId="48E2E301" w14:textId="5FD990A5" w:rsidR="006A38E3" w:rsidRPr="00600A9D" w:rsidRDefault="006A38E3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0" w:type="auto"/>
            <w:vAlign w:val="center"/>
          </w:tcPr>
          <w:p w14:paraId="432B6B5D" w14:textId="388EED26" w:rsidR="006A38E3" w:rsidRPr="00600A9D" w:rsidRDefault="006A38E3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380</w:t>
            </w:r>
          </w:p>
        </w:tc>
      </w:tr>
      <w:tr w:rsidR="004A1E95" w:rsidRPr="00600A9D" w14:paraId="284A86BB" w14:textId="77777777" w:rsidTr="0018631B">
        <w:tc>
          <w:tcPr>
            <w:tcW w:w="2124" w:type="dxa"/>
            <w:vMerge w:val="restart"/>
            <w:vAlign w:val="center"/>
          </w:tcPr>
          <w:p w14:paraId="0E4D2DFB" w14:textId="5E2C9129" w:rsidR="004A1E95" w:rsidRPr="003E1D3F" w:rsidRDefault="004A1E95" w:rsidP="003E1D3F">
            <w:pPr>
              <w:pStyle w:val="NoSpacing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3E1D3F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Support Vector Machine</w:t>
            </w:r>
          </w:p>
        </w:tc>
        <w:tc>
          <w:tcPr>
            <w:tcW w:w="0" w:type="auto"/>
            <w:vAlign w:val="center"/>
          </w:tcPr>
          <w:p w14:paraId="41E9AFA7" w14:textId="6EC9C13C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Cost</w:t>
            </w:r>
          </w:p>
        </w:tc>
        <w:tc>
          <w:tcPr>
            <w:tcW w:w="0" w:type="auto"/>
            <w:vAlign w:val="center"/>
          </w:tcPr>
          <w:p w14:paraId="3D047FB9" w14:textId="4D0717DA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2048, 8, 8, 512, 32, 8, 32, 8, 512, 128</w:t>
            </w:r>
          </w:p>
        </w:tc>
        <w:tc>
          <w:tcPr>
            <w:tcW w:w="0" w:type="auto"/>
            <w:vAlign w:val="center"/>
          </w:tcPr>
          <w:p w14:paraId="70A49ED1" w14:textId="242AE62E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0" w:type="auto"/>
            <w:vAlign w:val="center"/>
          </w:tcPr>
          <w:p w14:paraId="766DA41F" w14:textId="1CCD4057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604</w:t>
            </w:r>
          </w:p>
        </w:tc>
      </w:tr>
      <w:tr w:rsidR="004A1E95" w:rsidRPr="00600A9D" w14:paraId="7D453D7A" w14:textId="77777777" w:rsidTr="0018631B">
        <w:tc>
          <w:tcPr>
            <w:tcW w:w="2124" w:type="dxa"/>
            <w:vMerge/>
            <w:vAlign w:val="center"/>
          </w:tcPr>
          <w:p w14:paraId="55190B0D" w14:textId="77777777" w:rsidR="004A1E95" w:rsidRPr="003E1D3F" w:rsidRDefault="004A1E95" w:rsidP="003E1D3F">
            <w:pPr>
              <w:pStyle w:val="NoSpacing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CC9D5FA" w14:textId="092A03FA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Gamma</w:t>
            </w:r>
          </w:p>
        </w:tc>
        <w:tc>
          <w:tcPr>
            <w:tcW w:w="0" w:type="auto"/>
            <w:vAlign w:val="center"/>
          </w:tcPr>
          <w:p w14:paraId="2622B303" w14:textId="2BE75468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0.0078125, 0.125, 0.125, 0.03125, 0.125, 0.125, 0.03125, 0.125, 0.03125, 0.125</w:t>
            </w:r>
          </w:p>
        </w:tc>
        <w:tc>
          <w:tcPr>
            <w:tcW w:w="0" w:type="auto"/>
            <w:vAlign w:val="center"/>
          </w:tcPr>
          <w:p w14:paraId="1C3A2FBE" w14:textId="649DD14D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0.085</w:t>
            </w:r>
          </w:p>
        </w:tc>
        <w:tc>
          <w:tcPr>
            <w:tcW w:w="0" w:type="auto"/>
            <w:vAlign w:val="center"/>
          </w:tcPr>
          <w:p w14:paraId="7F464198" w14:textId="157367AB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0.049</w:t>
            </w:r>
          </w:p>
        </w:tc>
      </w:tr>
      <w:tr w:rsidR="004A1E95" w:rsidRPr="00600A9D" w14:paraId="2F3D7F12" w14:textId="77777777" w:rsidTr="0018631B">
        <w:tc>
          <w:tcPr>
            <w:tcW w:w="2124" w:type="dxa"/>
            <w:vMerge/>
            <w:vAlign w:val="center"/>
          </w:tcPr>
          <w:p w14:paraId="11117D77" w14:textId="77777777" w:rsidR="004A1E95" w:rsidRPr="003E1D3F" w:rsidRDefault="004A1E95" w:rsidP="003E1D3F">
            <w:pPr>
              <w:pStyle w:val="NoSpacing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706FE84" w14:textId="075CC5CB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Kernel type</w:t>
            </w:r>
          </w:p>
        </w:tc>
        <w:tc>
          <w:tcPr>
            <w:tcW w:w="0" w:type="auto"/>
            <w:vAlign w:val="center"/>
          </w:tcPr>
          <w:p w14:paraId="125F0850" w14:textId="0D1CB8D8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Radial basis function for all folds</w:t>
            </w:r>
          </w:p>
        </w:tc>
        <w:tc>
          <w:tcPr>
            <w:tcW w:w="0" w:type="auto"/>
            <w:vAlign w:val="center"/>
          </w:tcPr>
          <w:p w14:paraId="62CEB04A" w14:textId="21EBDD82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vAlign w:val="center"/>
          </w:tcPr>
          <w:p w14:paraId="2E4DEECF" w14:textId="709D900D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N/A</w:t>
            </w:r>
          </w:p>
        </w:tc>
      </w:tr>
      <w:tr w:rsidR="006A38E3" w:rsidRPr="00600A9D" w14:paraId="087EA014" w14:textId="77777777" w:rsidTr="003E1D3F">
        <w:tc>
          <w:tcPr>
            <w:tcW w:w="2124" w:type="dxa"/>
            <w:vAlign w:val="center"/>
          </w:tcPr>
          <w:p w14:paraId="729F5692" w14:textId="67AC3C08" w:rsidR="006A38E3" w:rsidRPr="003E1D3F" w:rsidRDefault="006A38E3" w:rsidP="003E1D3F">
            <w:pPr>
              <w:pStyle w:val="NoSpacing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3E1D3F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Classification Tree</w:t>
            </w:r>
          </w:p>
        </w:tc>
        <w:tc>
          <w:tcPr>
            <w:tcW w:w="0" w:type="auto"/>
            <w:vAlign w:val="center"/>
          </w:tcPr>
          <w:p w14:paraId="65C90D68" w14:textId="5587DBBE" w:rsidR="006A38E3" w:rsidRPr="00600A9D" w:rsidRDefault="006A38E3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00A9D">
              <w:rPr>
                <w:rFonts w:ascii="Calibri" w:hAnsi="Calibri" w:cs="Calibri"/>
                <w:i/>
                <w:iCs/>
                <w:color w:val="000000"/>
              </w:rPr>
              <w:t>min</w:t>
            </w:r>
            <w:r w:rsidRPr="00600A9D">
              <w:rPr>
                <w:rFonts w:ascii="Calibri" w:hAnsi="Calibri" w:cs="Calibri"/>
                <w:i/>
                <w:iCs/>
                <w:color w:val="000000"/>
                <w:vertAlign w:val="subscript"/>
              </w:rPr>
              <w:t>samples</w:t>
            </w:r>
            <w:proofErr w:type="spellEnd"/>
          </w:p>
        </w:tc>
        <w:tc>
          <w:tcPr>
            <w:tcW w:w="0" w:type="auto"/>
            <w:vAlign w:val="center"/>
          </w:tcPr>
          <w:p w14:paraId="6D143E0C" w14:textId="5805E3E2" w:rsidR="006A38E3" w:rsidRPr="00600A9D" w:rsidRDefault="006A38E3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5, 10, 10, 2, 10, 50, 10, 2, 2, 5</w:t>
            </w:r>
          </w:p>
        </w:tc>
        <w:tc>
          <w:tcPr>
            <w:tcW w:w="0" w:type="auto"/>
            <w:vAlign w:val="center"/>
          </w:tcPr>
          <w:p w14:paraId="3C9D4872" w14:textId="75044976" w:rsidR="006A38E3" w:rsidRPr="00600A9D" w:rsidRDefault="006A38E3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0" w:type="auto"/>
            <w:vAlign w:val="center"/>
          </w:tcPr>
          <w:p w14:paraId="78F12171" w14:textId="40833771" w:rsidR="006A38E3" w:rsidRPr="00600A9D" w:rsidRDefault="006A38E3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13.6</w:t>
            </w:r>
          </w:p>
        </w:tc>
      </w:tr>
      <w:tr w:rsidR="006A38E3" w:rsidRPr="00600A9D" w14:paraId="7F9410C4" w14:textId="77777777" w:rsidTr="003E1D3F">
        <w:tc>
          <w:tcPr>
            <w:tcW w:w="2124" w:type="dxa"/>
            <w:vAlign w:val="center"/>
          </w:tcPr>
          <w:p w14:paraId="7D320D30" w14:textId="04F2C265" w:rsidR="006A38E3" w:rsidRPr="003E1D3F" w:rsidRDefault="006A38E3" w:rsidP="003E1D3F">
            <w:pPr>
              <w:pStyle w:val="NoSpacing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3E1D3F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Bagging Trees</w:t>
            </w:r>
          </w:p>
        </w:tc>
        <w:tc>
          <w:tcPr>
            <w:tcW w:w="0" w:type="auto"/>
            <w:vAlign w:val="center"/>
          </w:tcPr>
          <w:p w14:paraId="0430D331" w14:textId="70185615" w:rsidR="006A38E3" w:rsidRPr="00600A9D" w:rsidRDefault="006A38E3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0" w:type="auto"/>
            <w:vAlign w:val="center"/>
          </w:tcPr>
          <w:p w14:paraId="6022AFE1" w14:textId="70AB6913" w:rsidR="006A38E3" w:rsidRPr="00600A9D" w:rsidRDefault="006A38E3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vAlign w:val="center"/>
          </w:tcPr>
          <w:p w14:paraId="2DC2239B" w14:textId="7AEAEB12" w:rsidR="006A38E3" w:rsidRPr="00600A9D" w:rsidRDefault="006A38E3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vAlign w:val="center"/>
          </w:tcPr>
          <w:p w14:paraId="0BDCB51F" w14:textId="21490468" w:rsidR="006A38E3" w:rsidRPr="00600A9D" w:rsidRDefault="006A38E3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N/A</w:t>
            </w:r>
          </w:p>
        </w:tc>
      </w:tr>
      <w:tr w:rsidR="004A1E95" w:rsidRPr="00600A9D" w14:paraId="76A76E99" w14:textId="77777777" w:rsidTr="00844A96">
        <w:tc>
          <w:tcPr>
            <w:tcW w:w="2124" w:type="dxa"/>
            <w:vMerge w:val="restart"/>
            <w:vAlign w:val="center"/>
          </w:tcPr>
          <w:p w14:paraId="52A77FDB" w14:textId="093ACECB" w:rsidR="004A1E95" w:rsidRPr="003E1D3F" w:rsidRDefault="004A1E95" w:rsidP="003E1D3F">
            <w:pPr>
              <w:pStyle w:val="NoSpacing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3E1D3F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Random Forest</w:t>
            </w:r>
          </w:p>
        </w:tc>
        <w:tc>
          <w:tcPr>
            <w:tcW w:w="0" w:type="auto"/>
            <w:vAlign w:val="center"/>
          </w:tcPr>
          <w:p w14:paraId="7EE0C7BA" w14:textId="301C0063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i/>
                <w:iCs/>
                <w:color w:val="000000"/>
              </w:rPr>
              <w:t>m</w:t>
            </w:r>
          </w:p>
        </w:tc>
        <w:tc>
          <w:tcPr>
            <w:tcW w:w="0" w:type="auto"/>
            <w:vAlign w:val="center"/>
          </w:tcPr>
          <w:p w14:paraId="3D47AA1C" w14:textId="77777777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0.75</w:t>
            </w:r>
            <w:r w:rsidRPr="00600A9D">
              <w:rPr>
                <w:rFonts w:ascii="Calibri" w:hAnsi="Calibri" w:cs="Calibri"/>
                <w:i/>
                <w:iCs/>
                <w:color w:val="000000"/>
              </w:rPr>
              <w:t>p</w:t>
            </w:r>
            <w:r w:rsidRPr="00600A9D">
              <w:rPr>
                <w:rFonts w:ascii="Calibri" w:hAnsi="Calibri" w:cs="Calibri"/>
                <w:color w:val="000000"/>
              </w:rPr>
              <w:t>, 0.5</w:t>
            </w:r>
            <w:r w:rsidRPr="00600A9D">
              <w:rPr>
                <w:rFonts w:ascii="Calibri" w:hAnsi="Calibri" w:cs="Calibri"/>
                <w:i/>
                <w:iCs/>
                <w:color w:val="000000"/>
              </w:rPr>
              <w:t>p</w:t>
            </w:r>
            <w:r w:rsidRPr="00600A9D">
              <w:rPr>
                <w:rFonts w:ascii="Calibri" w:hAnsi="Calibri" w:cs="Calibri"/>
                <w:color w:val="000000"/>
              </w:rPr>
              <w:t>, 0.2</w:t>
            </w:r>
            <w:r w:rsidRPr="00600A9D">
              <w:rPr>
                <w:rFonts w:ascii="Calibri" w:hAnsi="Calibri" w:cs="Calibri"/>
                <w:i/>
                <w:iCs/>
                <w:color w:val="000000"/>
              </w:rPr>
              <w:t>p</w:t>
            </w:r>
            <w:r w:rsidRPr="00600A9D">
              <w:rPr>
                <w:rFonts w:ascii="Calibri" w:hAnsi="Calibri" w:cs="Calibri"/>
                <w:color w:val="000000"/>
              </w:rPr>
              <w:t>, 0.5</w:t>
            </w:r>
            <w:r w:rsidRPr="00600A9D">
              <w:rPr>
                <w:rFonts w:ascii="Calibri" w:hAnsi="Calibri" w:cs="Calibri"/>
                <w:i/>
                <w:iCs/>
                <w:color w:val="000000"/>
              </w:rPr>
              <w:t>p</w:t>
            </w:r>
            <w:r w:rsidRPr="00600A9D">
              <w:rPr>
                <w:rFonts w:ascii="Calibri" w:hAnsi="Calibri" w:cs="Calibri"/>
                <w:color w:val="000000"/>
              </w:rPr>
              <w:t>, 0.2</w:t>
            </w:r>
            <w:r w:rsidRPr="00600A9D">
              <w:rPr>
                <w:rFonts w:ascii="Calibri" w:hAnsi="Calibri" w:cs="Calibri"/>
                <w:i/>
                <w:iCs/>
                <w:color w:val="000000"/>
              </w:rPr>
              <w:t>p</w:t>
            </w:r>
            <w:r w:rsidRPr="00600A9D">
              <w:rPr>
                <w:rFonts w:ascii="Calibri" w:hAnsi="Calibri" w:cs="Calibri"/>
                <w:color w:val="000000"/>
              </w:rPr>
              <w:t>, 0.1</w:t>
            </w:r>
            <w:r w:rsidRPr="00600A9D">
              <w:rPr>
                <w:rFonts w:ascii="Calibri" w:hAnsi="Calibri" w:cs="Calibri"/>
                <w:i/>
                <w:iCs/>
                <w:color w:val="000000"/>
              </w:rPr>
              <w:t>p</w:t>
            </w:r>
            <w:r w:rsidRPr="00600A9D">
              <w:rPr>
                <w:rFonts w:ascii="Calibri" w:hAnsi="Calibri" w:cs="Calibri"/>
                <w:color w:val="000000"/>
              </w:rPr>
              <w:t>, 0.2</w:t>
            </w:r>
            <w:r w:rsidRPr="00600A9D">
              <w:rPr>
                <w:rFonts w:ascii="Calibri" w:hAnsi="Calibri" w:cs="Calibri"/>
                <w:i/>
                <w:iCs/>
                <w:color w:val="000000"/>
              </w:rPr>
              <w:t>p</w:t>
            </w:r>
            <w:r w:rsidRPr="00600A9D">
              <w:rPr>
                <w:rFonts w:ascii="Calibri" w:hAnsi="Calibri" w:cs="Calibri"/>
                <w:color w:val="000000"/>
              </w:rPr>
              <w:t>, 1.0</w:t>
            </w:r>
            <w:r w:rsidRPr="00600A9D">
              <w:rPr>
                <w:rFonts w:ascii="Calibri" w:hAnsi="Calibri" w:cs="Calibri"/>
                <w:i/>
                <w:iCs/>
                <w:color w:val="000000"/>
              </w:rPr>
              <w:t>p</w:t>
            </w:r>
            <w:r w:rsidRPr="00600A9D">
              <w:rPr>
                <w:rFonts w:ascii="Calibri" w:hAnsi="Calibri" w:cs="Calibri"/>
                <w:color w:val="000000"/>
              </w:rPr>
              <w:t>, 0.1</w:t>
            </w:r>
            <w:r w:rsidRPr="00600A9D">
              <w:rPr>
                <w:rFonts w:ascii="Calibri" w:hAnsi="Calibri" w:cs="Calibri"/>
                <w:i/>
                <w:iCs/>
                <w:color w:val="000000"/>
              </w:rPr>
              <w:t>p</w:t>
            </w:r>
            <w:r w:rsidRPr="00600A9D">
              <w:rPr>
                <w:rFonts w:ascii="Calibri" w:hAnsi="Calibri" w:cs="Calibri"/>
                <w:color w:val="000000"/>
              </w:rPr>
              <w:t>, 1.0</w:t>
            </w:r>
            <w:r w:rsidRPr="00600A9D">
              <w:rPr>
                <w:rFonts w:ascii="Calibri" w:hAnsi="Calibri" w:cs="Calibri"/>
                <w:i/>
                <w:iCs/>
                <w:color w:val="000000"/>
              </w:rPr>
              <w:t>p</w:t>
            </w:r>
          </w:p>
          <w:p w14:paraId="105B1C3D" w14:textId="0155CD57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 xml:space="preserve">(for feature space of size </w:t>
            </w:r>
            <w:r w:rsidRPr="00600A9D">
              <w:rPr>
                <w:rFonts w:ascii="Calibri" w:hAnsi="Calibri" w:cs="Calibri"/>
                <w:i/>
                <w:iCs/>
                <w:color w:val="000000"/>
              </w:rPr>
              <w:t>p</w:t>
            </w:r>
            <w:r w:rsidRPr="00600A9D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14:paraId="125718C5" w14:textId="2191511E" w:rsidR="004A1E95" w:rsidRPr="000E3DC8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 w:rsidRPr="00600A9D">
              <w:rPr>
                <w:rFonts w:ascii="Calibri" w:hAnsi="Calibri" w:cs="Calibri"/>
                <w:color w:val="000000"/>
              </w:rPr>
              <w:t>0.455</w:t>
            </w:r>
            <w:r w:rsidR="000E3DC8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325DF16B" w14:textId="5EE1BE8B" w:rsidR="004A1E95" w:rsidRPr="000E3DC8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 w:rsidRPr="00600A9D">
              <w:rPr>
                <w:rFonts w:ascii="Calibri" w:hAnsi="Calibri" w:cs="Calibri"/>
                <w:color w:val="000000"/>
              </w:rPr>
              <w:t>0.336</w:t>
            </w:r>
            <w:r w:rsidR="000E3DC8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</w:tr>
      <w:tr w:rsidR="004A1E95" w:rsidRPr="00600A9D" w14:paraId="2F7ACE30" w14:textId="77777777" w:rsidTr="00844A96">
        <w:tc>
          <w:tcPr>
            <w:tcW w:w="2124" w:type="dxa"/>
            <w:vMerge/>
            <w:vAlign w:val="center"/>
          </w:tcPr>
          <w:p w14:paraId="7220FEF6" w14:textId="77777777" w:rsidR="004A1E95" w:rsidRPr="003E1D3F" w:rsidRDefault="004A1E95" w:rsidP="003E1D3F">
            <w:pPr>
              <w:pStyle w:val="NoSpacing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76E219D3" w14:textId="3896D34C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00A9D">
              <w:rPr>
                <w:rFonts w:ascii="Calibri" w:hAnsi="Calibri" w:cs="Calibri"/>
                <w:i/>
                <w:iCs/>
                <w:color w:val="000000"/>
              </w:rPr>
              <w:t>min</w:t>
            </w:r>
            <w:r w:rsidRPr="00600A9D">
              <w:rPr>
                <w:rFonts w:ascii="Calibri" w:hAnsi="Calibri" w:cs="Calibri"/>
                <w:i/>
                <w:iCs/>
                <w:color w:val="000000"/>
                <w:vertAlign w:val="subscript"/>
              </w:rPr>
              <w:t>samples</w:t>
            </w:r>
            <w:proofErr w:type="spellEnd"/>
          </w:p>
        </w:tc>
        <w:tc>
          <w:tcPr>
            <w:tcW w:w="0" w:type="auto"/>
            <w:vAlign w:val="center"/>
          </w:tcPr>
          <w:p w14:paraId="5B05BA99" w14:textId="0D34EE0B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5, 2, 2, 2, 2, 2, 2, 2, 5, 5</w:t>
            </w:r>
          </w:p>
        </w:tc>
        <w:tc>
          <w:tcPr>
            <w:tcW w:w="0" w:type="auto"/>
            <w:vAlign w:val="center"/>
          </w:tcPr>
          <w:p w14:paraId="05D45EAB" w14:textId="429CD0E5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2.90</w:t>
            </w:r>
          </w:p>
        </w:tc>
        <w:tc>
          <w:tcPr>
            <w:tcW w:w="0" w:type="auto"/>
            <w:vAlign w:val="center"/>
          </w:tcPr>
          <w:p w14:paraId="3F408CDB" w14:textId="1506C42D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1.37</w:t>
            </w:r>
          </w:p>
        </w:tc>
      </w:tr>
      <w:tr w:rsidR="004A1E95" w:rsidRPr="00600A9D" w14:paraId="7EA1835F" w14:textId="77777777" w:rsidTr="00B369E3">
        <w:tc>
          <w:tcPr>
            <w:tcW w:w="2124" w:type="dxa"/>
            <w:vMerge w:val="restart"/>
            <w:vAlign w:val="center"/>
          </w:tcPr>
          <w:p w14:paraId="041148E8" w14:textId="3FA0A3CD" w:rsidR="004A1E95" w:rsidRPr="003E1D3F" w:rsidRDefault="004A1E95" w:rsidP="003E1D3F">
            <w:pPr>
              <w:pStyle w:val="NoSpacing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3E1D3F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Gradient Tree Boosting</w:t>
            </w:r>
          </w:p>
        </w:tc>
        <w:tc>
          <w:tcPr>
            <w:tcW w:w="0" w:type="auto"/>
            <w:vAlign w:val="center"/>
          </w:tcPr>
          <w:p w14:paraId="2626A7B4" w14:textId="5C331857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Learning rate</w:t>
            </w:r>
          </w:p>
        </w:tc>
        <w:tc>
          <w:tcPr>
            <w:tcW w:w="0" w:type="auto"/>
            <w:vAlign w:val="center"/>
          </w:tcPr>
          <w:p w14:paraId="33FC5971" w14:textId="1B635B7F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0.1, 0.01, 1.0, 0.01, 0.01, 1.0, 0.001, 0.01, 0.01, 0.01</w:t>
            </w:r>
          </w:p>
        </w:tc>
        <w:tc>
          <w:tcPr>
            <w:tcW w:w="0" w:type="auto"/>
            <w:vAlign w:val="center"/>
          </w:tcPr>
          <w:p w14:paraId="73000E9A" w14:textId="4DB9DB3F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0.216</w:t>
            </w:r>
          </w:p>
        </w:tc>
        <w:tc>
          <w:tcPr>
            <w:tcW w:w="0" w:type="auto"/>
            <w:vAlign w:val="center"/>
          </w:tcPr>
          <w:p w14:paraId="643D1FE1" w14:textId="6E1CDDFF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0.392</w:t>
            </w:r>
          </w:p>
        </w:tc>
      </w:tr>
      <w:tr w:rsidR="004A1E95" w:rsidRPr="00600A9D" w14:paraId="5E8BA484" w14:textId="77777777" w:rsidTr="00B369E3">
        <w:tc>
          <w:tcPr>
            <w:tcW w:w="2124" w:type="dxa"/>
            <w:vMerge/>
            <w:vAlign w:val="center"/>
          </w:tcPr>
          <w:p w14:paraId="5EA9C76E" w14:textId="77777777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254A659" w14:textId="647D5EDE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Maximum tree depth</w:t>
            </w:r>
          </w:p>
        </w:tc>
        <w:tc>
          <w:tcPr>
            <w:tcW w:w="0" w:type="auto"/>
            <w:vAlign w:val="center"/>
          </w:tcPr>
          <w:p w14:paraId="747E6092" w14:textId="38AD65C2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7, 7, 8, 10, 7, 8, 10, 5, 10, 9</w:t>
            </w:r>
          </w:p>
        </w:tc>
        <w:tc>
          <w:tcPr>
            <w:tcW w:w="0" w:type="auto"/>
            <w:vAlign w:val="center"/>
          </w:tcPr>
          <w:p w14:paraId="2F4BC2BE" w14:textId="6F2587A9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8.10</w:t>
            </w:r>
          </w:p>
        </w:tc>
        <w:tc>
          <w:tcPr>
            <w:tcW w:w="0" w:type="auto"/>
            <w:vAlign w:val="center"/>
          </w:tcPr>
          <w:p w14:paraId="087AB6B0" w14:textId="0DD2437A" w:rsidR="004A1E95" w:rsidRPr="00600A9D" w:rsidRDefault="004A1E95" w:rsidP="003E1D3F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600A9D">
              <w:rPr>
                <w:rFonts w:ascii="Calibri" w:hAnsi="Calibri" w:cs="Calibri"/>
                <w:color w:val="000000"/>
              </w:rPr>
              <w:t>1.58</w:t>
            </w:r>
          </w:p>
        </w:tc>
      </w:tr>
    </w:tbl>
    <w:p w14:paraId="13A9E465" w14:textId="1557C1C0" w:rsidR="005A07BD" w:rsidRDefault="00BA2537" w:rsidP="00EE3358">
      <w:pPr>
        <w:pStyle w:val="NoSpacing"/>
        <w:rPr>
          <w:rFonts w:ascii="Calibri" w:hAnsi="Calibri" w:cs="Calibri"/>
          <w:color w:val="000000"/>
        </w:rPr>
      </w:pPr>
      <w:r w:rsidRPr="00600A9D">
        <w:rPr>
          <w:rFonts w:ascii="Calibri" w:hAnsi="Calibri" w:cs="Calibri"/>
          <w:color w:val="000000"/>
        </w:rPr>
        <w:t xml:space="preserve">For each model hyperparameter included in the grid search, the best values </w:t>
      </w:r>
      <w:r w:rsidR="00F9063C" w:rsidRPr="00600A9D">
        <w:rPr>
          <w:rFonts w:ascii="Calibri" w:hAnsi="Calibri" w:cs="Calibri"/>
          <w:color w:val="000000"/>
        </w:rPr>
        <w:t>are given for each</w:t>
      </w:r>
      <w:r w:rsidRPr="00600A9D">
        <w:rPr>
          <w:rFonts w:ascii="Calibri" w:hAnsi="Calibri" w:cs="Calibri"/>
          <w:color w:val="000000"/>
        </w:rPr>
        <w:t xml:space="preserve"> fold of 10-fold external cross-validation. For each hyperparameter combination, performance was measured by</w:t>
      </w:r>
      <w:r w:rsidR="004A1E95">
        <w:rPr>
          <w:rFonts w:ascii="Calibri" w:hAnsi="Calibri" w:cs="Calibri"/>
          <w:color w:val="000000"/>
        </w:rPr>
        <w:t xml:space="preserve"> an</w:t>
      </w:r>
      <w:r w:rsidRPr="00600A9D">
        <w:rPr>
          <w:rFonts w:ascii="Calibri" w:hAnsi="Calibri" w:cs="Calibri"/>
          <w:color w:val="000000"/>
        </w:rPr>
        <w:t xml:space="preserve"> F1 score computed across 10 internal cross-validation folds.</w:t>
      </w:r>
    </w:p>
    <w:p w14:paraId="62B0A1C3" w14:textId="1608A609" w:rsidR="000E3DC8" w:rsidRPr="000E3DC8" w:rsidRDefault="000E3DC8" w:rsidP="00EE3358">
      <w:pPr>
        <w:pStyle w:val="NoSpacing"/>
      </w:pPr>
      <w:r>
        <w:rPr>
          <w:rFonts w:ascii="Calibri" w:hAnsi="Calibri" w:cs="Calibri"/>
          <w:color w:val="000000"/>
          <w:vertAlign w:val="superscript"/>
        </w:rPr>
        <w:t>a</w:t>
      </w:r>
      <w:r>
        <w:rPr>
          <w:rFonts w:ascii="Calibri" w:hAnsi="Calibri" w:cs="Calibri"/>
          <w:color w:val="000000"/>
        </w:rPr>
        <w:t xml:space="preserve"> </w:t>
      </w:r>
      <w:r w:rsidR="009E3727"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</w:rPr>
        <w:t xml:space="preserve">ean and standard deviation describe the distribution of coefficients of </w:t>
      </w:r>
      <w:r>
        <w:rPr>
          <w:rFonts w:ascii="Calibri" w:hAnsi="Calibri" w:cs="Calibri"/>
          <w:i/>
          <w:iCs/>
          <w:color w:val="000000"/>
        </w:rPr>
        <w:t>p</w:t>
      </w:r>
      <w:r>
        <w:rPr>
          <w:rFonts w:ascii="Calibri" w:hAnsi="Calibri" w:cs="Calibri"/>
          <w:color w:val="000000"/>
        </w:rPr>
        <w:t>.</w:t>
      </w:r>
    </w:p>
    <w:p w14:paraId="6917C84B" w14:textId="2A377C88" w:rsidR="00EE3358" w:rsidRDefault="00EE3358" w:rsidP="00EE3358">
      <w:pPr>
        <w:pStyle w:val="NoSpacing"/>
        <w:rPr>
          <w:b/>
        </w:rPr>
      </w:pPr>
    </w:p>
    <w:p w14:paraId="2DB13E41" w14:textId="78C59ECE" w:rsidR="00511398" w:rsidRPr="00511398" w:rsidRDefault="00511398" w:rsidP="00EE3358">
      <w:pPr>
        <w:pStyle w:val="NoSpacing"/>
        <w:rPr>
          <w:b/>
        </w:rPr>
      </w:pPr>
      <w:r w:rsidRPr="003F0CC9">
        <w:rPr>
          <w:b/>
        </w:rPr>
        <w:t>Table B. Performance Metrics for Algorithms Using Unigram and Bigram TF-IDF Features</w:t>
      </w:r>
      <w:r>
        <w:rPr>
          <w:b/>
        </w:rPr>
        <w:t>.</w:t>
      </w:r>
    </w:p>
    <w:tbl>
      <w:tblPr>
        <w:tblStyle w:val="PlainTable1"/>
        <w:tblW w:w="0" w:type="auto"/>
        <w:tblInd w:w="-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 w:firstRow="0" w:lastRow="0" w:firstColumn="0" w:lastColumn="0" w:noHBand="1" w:noVBand="1"/>
      </w:tblPr>
      <w:tblGrid>
        <w:gridCol w:w="2078"/>
        <w:gridCol w:w="1395"/>
        <w:gridCol w:w="1283"/>
        <w:gridCol w:w="1371"/>
        <w:gridCol w:w="1331"/>
        <w:gridCol w:w="1371"/>
        <w:gridCol w:w="1326"/>
      </w:tblGrid>
      <w:tr w:rsidR="00511398" w:rsidRPr="00511398" w14:paraId="688D140F" w14:textId="77777777" w:rsidTr="00511398">
        <w:trPr>
          <w:trHeight w:val="152"/>
        </w:trPr>
        <w:tc>
          <w:tcPr>
            <w:tcW w:w="2078" w:type="dxa"/>
            <w:hideMark/>
          </w:tcPr>
          <w:p w14:paraId="033120F8" w14:textId="77777777" w:rsidR="00511398" w:rsidRPr="003F0CC9" w:rsidRDefault="00511398" w:rsidP="0068703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hideMark/>
          </w:tcPr>
          <w:p w14:paraId="0ECA7063" w14:textId="77777777" w:rsidR="00511398" w:rsidRPr="003F0CC9" w:rsidRDefault="00511398" w:rsidP="0068703A">
            <w:pPr>
              <w:pStyle w:val="NoSpacing"/>
              <w:jc w:val="center"/>
              <w:rPr>
                <w:b/>
              </w:rPr>
            </w:pPr>
            <w:r w:rsidRPr="003F0CC9">
              <w:rPr>
                <w:b/>
              </w:rPr>
              <w:t>GI Disease</w:t>
            </w:r>
          </w:p>
        </w:tc>
        <w:tc>
          <w:tcPr>
            <w:tcW w:w="0" w:type="auto"/>
            <w:gridSpan w:val="2"/>
            <w:hideMark/>
          </w:tcPr>
          <w:p w14:paraId="0746327A" w14:textId="77777777" w:rsidR="00511398" w:rsidRPr="003F0CC9" w:rsidRDefault="00511398" w:rsidP="0068703A">
            <w:pPr>
              <w:pStyle w:val="NoSpacing"/>
              <w:jc w:val="center"/>
              <w:rPr>
                <w:b/>
              </w:rPr>
            </w:pPr>
            <w:r w:rsidRPr="003F0CC9">
              <w:rPr>
                <w:b/>
              </w:rPr>
              <w:t>Respiratory Disease</w:t>
            </w:r>
          </w:p>
        </w:tc>
        <w:tc>
          <w:tcPr>
            <w:tcW w:w="2697" w:type="dxa"/>
            <w:gridSpan w:val="2"/>
            <w:hideMark/>
          </w:tcPr>
          <w:p w14:paraId="2B0B38C1" w14:textId="77777777" w:rsidR="00511398" w:rsidRPr="003F0CC9" w:rsidRDefault="00511398" w:rsidP="0068703A">
            <w:pPr>
              <w:pStyle w:val="NoSpacing"/>
              <w:jc w:val="center"/>
              <w:rPr>
                <w:b/>
              </w:rPr>
            </w:pPr>
            <w:r w:rsidRPr="003F0CC9">
              <w:rPr>
                <w:b/>
              </w:rPr>
              <w:t>Urinary Disease</w:t>
            </w:r>
          </w:p>
        </w:tc>
      </w:tr>
      <w:tr w:rsidR="00511398" w:rsidRPr="00511398" w14:paraId="028AD159" w14:textId="77777777" w:rsidTr="0068703A">
        <w:trPr>
          <w:trHeight w:val="125"/>
        </w:trPr>
        <w:tc>
          <w:tcPr>
            <w:tcW w:w="2078" w:type="dxa"/>
            <w:hideMark/>
          </w:tcPr>
          <w:p w14:paraId="07477C63" w14:textId="77777777" w:rsidR="00511398" w:rsidRPr="003F0CC9" w:rsidRDefault="00511398" w:rsidP="0068703A">
            <w:pPr>
              <w:pStyle w:val="NoSpacing"/>
              <w:jc w:val="center"/>
              <w:rPr>
                <w:b/>
              </w:rPr>
            </w:pPr>
            <w:r w:rsidRPr="003F0CC9">
              <w:rPr>
                <w:b/>
              </w:rPr>
              <w:t>Model</w:t>
            </w:r>
          </w:p>
        </w:tc>
        <w:tc>
          <w:tcPr>
            <w:tcW w:w="1395" w:type="dxa"/>
            <w:hideMark/>
          </w:tcPr>
          <w:p w14:paraId="5C7B9BE2" w14:textId="77777777" w:rsidR="00511398" w:rsidRPr="003F0CC9" w:rsidRDefault="00511398" w:rsidP="0068703A">
            <w:pPr>
              <w:pStyle w:val="NoSpacing"/>
              <w:jc w:val="center"/>
              <w:rPr>
                <w:b/>
              </w:rPr>
            </w:pPr>
            <w:r w:rsidRPr="003F0CC9">
              <w:rPr>
                <w:b/>
              </w:rPr>
              <w:t>Accuracy</w:t>
            </w:r>
          </w:p>
        </w:tc>
        <w:tc>
          <w:tcPr>
            <w:tcW w:w="1283" w:type="dxa"/>
            <w:hideMark/>
          </w:tcPr>
          <w:p w14:paraId="0D18169B" w14:textId="77777777" w:rsidR="00511398" w:rsidRPr="003F0CC9" w:rsidRDefault="00511398" w:rsidP="0068703A">
            <w:pPr>
              <w:pStyle w:val="NoSpacing"/>
              <w:jc w:val="center"/>
              <w:rPr>
                <w:b/>
              </w:rPr>
            </w:pPr>
            <w:r w:rsidRPr="003F0CC9">
              <w:rPr>
                <w:b/>
              </w:rPr>
              <w:t>F1</w:t>
            </w:r>
          </w:p>
        </w:tc>
        <w:tc>
          <w:tcPr>
            <w:tcW w:w="0" w:type="auto"/>
            <w:hideMark/>
          </w:tcPr>
          <w:p w14:paraId="7027E231" w14:textId="77777777" w:rsidR="00511398" w:rsidRPr="003F0CC9" w:rsidRDefault="00511398" w:rsidP="0068703A">
            <w:pPr>
              <w:pStyle w:val="NoSpacing"/>
              <w:jc w:val="center"/>
              <w:rPr>
                <w:b/>
              </w:rPr>
            </w:pPr>
            <w:r w:rsidRPr="003F0CC9">
              <w:rPr>
                <w:b/>
              </w:rPr>
              <w:t>Accuracy</w:t>
            </w:r>
          </w:p>
        </w:tc>
        <w:tc>
          <w:tcPr>
            <w:tcW w:w="0" w:type="auto"/>
            <w:hideMark/>
          </w:tcPr>
          <w:p w14:paraId="451D603F" w14:textId="77777777" w:rsidR="00511398" w:rsidRPr="003F0CC9" w:rsidRDefault="00511398" w:rsidP="0068703A">
            <w:pPr>
              <w:pStyle w:val="NoSpacing"/>
              <w:jc w:val="center"/>
              <w:rPr>
                <w:b/>
              </w:rPr>
            </w:pPr>
            <w:r w:rsidRPr="003F0CC9">
              <w:rPr>
                <w:b/>
              </w:rPr>
              <w:t>F1</w:t>
            </w:r>
          </w:p>
        </w:tc>
        <w:tc>
          <w:tcPr>
            <w:tcW w:w="0" w:type="auto"/>
            <w:hideMark/>
          </w:tcPr>
          <w:p w14:paraId="130220D7" w14:textId="77777777" w:rsidR="00511398" w:rsidRPr="003F0CC9" w:rsidRDefault="00511398" w:rsidP="0068703A">
            <w:pPr>
              <w:pStyle w:val="NoSpacing"/>
              <w:jc w:val="center"/>
              <w:rPr>
                <w:b/>
              </w:rPr>
            </w:pPr>
            <w:r w:rsidRPr="003F0CC9">
              <w:rPr>
                <w:b/>
              </w:rPr>
              <w:t>Accuracy</w:t>
            </w:r>
          </w:p>
        </w:tc>
        <w:tc>
          <w:tcPr>
            <w:tcW w:w="1326" w:type="dxa"/>
            <w:hideMark/>
          </w:tcPr>
          <w:p w14:paraId="53B28450" w14:textId="77777777" w:rsidR="00511398" w:rsidRPr="003F0CC9" w:rsidRDefault="00511398" w:rsidP="0068703A">
            <w:pPr>
              <w:pStyle w:val="NoSpacing"/>
              <w:jc w:val="center"/>
              <w:rPr>
                <w:b/>
              </w:rPr>
            </w:pPr>
            <w:r w:rsidRPr="003F0CC9">
              <w:rPr>
                <w:b/>
              </w:rPr>
              <w:t>F1</w:t>
            </w:r>
          </w:p>
        </w:tc>
      </w:tr>
      <w:tr w:rsidR="00511398" w:rsidRPr="00511398" w14:paraId="05569461" w14:textId="77777777" w:rsidTr="0068703A">
        <w:trPr>
          <w:trHeight w:val="494"/>
        </w:trPr>
        <w:tc>
          <w:tcPr>
            <w:tcW w:w="2078" w:type="dxa"/>
            <w:hideMark/>
          </w:tcPr>
          <w:p w14:paraId="228E0678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Logistic Regression</w:t>
            </w:r>
          </w:p>
        </w:tc>
        <w:tc>
          <w:tcPr>
            <w:tcW w:w="1395" w:type="dxa"/>
            <w:hideMark/>
          </w:tcPr>
          <w:p w14:paraId="3D9AF9D8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0.870 </w:t>
            </w:r>
          </w:p>
          <w:p w14:paraId="7D6FB28D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(0.850, 0.889)</w:t>
            </w:r>
          </w:p>
        </w:tc>
        <w:tc>
          <w:tcPr>
            <w:tcW w:w="1283" w:type="dxa"/>
            <w:hideMark/>
          </w:tcPr>
          <w:p w14:paraId="4121B852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0.876 </w:t>
            </w:r>
          </w:p>
          <w:p w14:paraId="45A8E73F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(0.855, 0.897)</w:t>
            </w:r>
          </w:p>
        </w:tc>
        <w:tc>
          <w:tcPr>
            <w:tcW w:w="0" w:type="auto"/>
            <w:hideMark/>
          </w:tcPr>
          <w:p w14:paraId="7BBC4455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0.881 </w:t>
            </w:r>
          </w:p>
          <w:p w14:paraId="00967907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(0.862, 0.901)</w:t>
            </w:r>
          </w:p>
        </w:tc>
        <w:tc>
          <w:tcPr>
            <w:tcW w:w="0" w:type="auto"/>
            <w:hideMark/>
          </w:tcPr>
          <w:p w14:paraId="27ADB6AB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0.871 </w:t>
            </w:r>
          </w:p>
          <w:p w14:paraId="4E458FA5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(0.847, 0.893)</w:t>
            </w:r>
          </w:p>
        </w:tc>
        <w:tc>
          <w:tcPr>
            <w:tcW w:w="0" w:type="auto"/>
            <w:hideMark/>
          </w:tcPr>
          <w:p w14:paraId="5DA483E5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0.919 </w:t>
            </w:r>
          </w:p>
          <w:p w14:paraId="0B64CD59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(0.902, 0.935)</w:t>
            </w:r>
          </w:p>
        </w:tc>
        <w:tc>
          <w:tcPr>
            <w:tcW w:w="1326" w:type="dxa"/>
            <w:hideMark/>
          </w:tcPr>
          <w:p w14:paraId="35268B0D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0.580 </w:t>
            </w:r>
          </w:p>
          <w:p w14:paraId="22B142A6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(0.494, 0.663)</w:t>
            </w:r>
          </w:p>
        </w:tc>
      </w:tr>
      <w:tr w:rsidR="00511398" w:rsidRPr="00511398" w14:paraId="3D61890E" w14:textId="77777777" w:rsidTr="0068703A">
        <w:trPr>
          <w:trHeight w:val="485"/>
        </w:trPr>
        <w:tc>
          <w:tcPr>
            <w:tcW w:w="2078" w:type="dxa"/>
            <w:hideMark/>
          </w:tcPr>
          <w:p w14:paraId="6586F7F2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Support Vector Machine</w:t>
            </w:r>
          </w:p>
        </w:tc>
        <w:tc>
          <w:tcPr>
            <w:tcW w:w="1395" w:type="dxa"/>
            <w:hideMark/>
          </w:tcPr>
          <w:p w14:paraId="05E2ED4A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0.876 </w:t>
            </w:r>
          </w:p>
          <w:p w14:paraId="6DB5D259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(0.855, 0.896)</w:t>
            </w:r>
          </w:p>
        </w:tc>
        <w:tc>
          <w:tcPr>
            <w:tcW w:w="1283" w:type="dxa"/>
            <w:hideMark/>
          </w:tcPr>
          <w:p w14:paraId="73538F73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0.882 </w:t>
            </w:r>
          </w:p>
          <w:p w14:paraId="67B31700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(0.859, 0.901)</w:t>
            </w:r>
          </w:p>
        </w:tc>
        <w:tc>
          <w:tcPr>
            <w:tcW w:w="0" w:type="auto"/>
            <w:hideMark/>
          </w:tcPr>
          <w:p w14:paraId="5C864E50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0.890 </w:t>
            </w:r>
          </w:p>
          <w:p w14:paraId="277741CF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(0.871, 0.909)</w:t>
            </w:r>
          </w:p>
        </w:tc>
        <w:tc>
          <w:tcPr>
            <w:tcW w:w="0" w:type="auto"/>
            <w:hideMark/>
          </w:tcPr>
          <w:p w14:paraId="25246783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0.877 </w:t>
            </w:r>
          </w:p>
          <w:p w14:paraId="00A3C0BE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(0.853, 0.899)</w:t>
            </w:r>
          </w:p>
        </w:tc>
        <w:tc>
          <w:tcPr>
            <w:tcW w:w="0" w:type="auto"/>
            <w:hideMark/>
          </w:tcPr>
          <w:p w14:paraId="2525FCB0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0.944 </w:t>
            </w:r>
          </w:p>
          <w:p w14:paraId="3D5BA03D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(0.929, 0.958)</w:t>
            </w:r>
          </w:p>
        </w:tc>
        <w:tc>
          <w:tcPr>
            <w:tcW w:w="1326" w:type="dxa"/>
            <w:hideMark/>
          </w:tcPr>
          <w:p w14:paraId="7F1F2141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0.691 </w:t>
            </w:r>
          </w:p>
          <w:p w14:paraId="684BC215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(0.613, 0.764)</w:t>
            </w:r>
          </w:p>
        </w:tc>
      </w:tr>
      <w:tr w:rsidR="00511398" w:rsidRPr="00511398" w14:paraId="2CCDA572" w14:textId="77777777" w:rsidTr="0068703A">
        <w:trPr>
          <w:trHeight w:val="215"/>
        </w:trPr>
        <w:tc>
          <w:tcPr>
            <w:tcW w:w="2078" w:type="dxa"/>
            <w:hideMark/>
          </w:tcPr>
          <w:p w14:paraId="61D3A75D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Classification Tree</w:t>
            </w:r>
          </w:p>
        </w:tc>
        <w:tc>
          <w:tcPr>
            <w:tcW w:w="1395" w:type="dxa"/>
            <w:hideMark/>
          </w:tcPr>
          <w:p w14:paraId="0FC88D5B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0.906 </w:t>
            </w:r>
          </w:p>
          <w:p w14:paraId="1BE3851F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(0.887, 0.923)</w:t>
            </w:r>
          </w:p>
        </w:tc>
        <w:tc>
          <w:tcPr>
            <w:tcW w:w="1283" w:type="dxa"/>
            <w:hideMark/>
          </w:tcPr>
          <w:p w14:paraId="0276BE6C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0.906 </w:t>
            </w:r>
          </w:p>
          <w:p w14:paraId="2073E5A4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(0.886, 0.924)</w:t>
            </w:r>
          </w:p>
        </w:tc>
        <w:tc>
          <w:tcPr>
            <w:tcW w:w="0" w:type="auto"/>
            <w:hideMark/>
          </w:tcPr>
          <w:p w14:paraId="193D8519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0.963 </w:t>
            </w:r>
          </w:p>
          <w:p w14:paraId="6827C342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(0.950, 0.975)</w:t>
            </w:r>
          </w:p>
        </w:tc>
        <w:tc>
          <w:tcPr>
            <w:tcW w:w="0" w:type="auto"/>
            <w:hideMark/>
          </w:tcPr>
          <w:p w14:paraId="587A9723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0.959 </w:t>
            </w:r>
          </w:p>
          <w:p w14:paraId="72050396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(0.945, 0.972)</w:t>
            </w:r>
          </w:p>
        </w:tc>
        <w:tc>
          <w:tcPr>
            <w:tcW w:w="0" w:type="auto"/>
            <w:hideMark/>
          </w:tcPr>
          <w:p w14:paraId="45678495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0.967 </w:t>
            </w:r>
          </w:p>
          <w:p w14:paraId="2F5621F8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(0.956, 0.978)</w:t>
            </w:r>
          </w:p>
        </w:tc>
        <w:tc>
          <w:tcPr>
            <w:tcW w:w="1326" w:type="dxa"/>
            <w:hideMark/>
          </w:tcPr>
          <w:p w14:paraId="1661F8C5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0.841 </w:t>
            </w:r>
          </w:p>
          <w:p w14:paraId="47915098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(0.788, 0.892)</w:t>
            </w:r>
          </w:p>
        </w:tc>
      </w:tr>
      <w:tr w:rsidR="00511398" w:rsidRPr="00511398" w14:paraId="3E243870" w14:textId="77777777" w:rsidTr="0068703A">
        <w:trPr>
          <w:trHeight w:val="70"/>
        </w:trPr>
        <w:tc>
          <w:tcPr>
            <w:tcW w:w="2078" w:type="dxa"/>
            <w:hideMark/>
          </w:tcPr>
          <w:p w14:paraId="6850D22A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Bagging Trees</w:t>
            </w:r>
          </w:p>
        </w:tc>
        <w:tc>
          <w:tcPr>
            <w:tcW w:w="1395" w:type="dxa"/>
            <w:hideMark/>
          </w:tcPr>
          <w:p w14:paraId="7F9B8798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0.926 </w:t>
            </w:r>
          </w:p>
          <w:p w14:paraId="0CADD978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(0.909, 0.941)</w:t>
            </w:r>
          </w:p>
        </w:tc>
        <w:tc>
          <w:tcPr>
            <w:tcW w:w="1283" w:type="dxa"/>
            <w:hideMark/>
          </w:tcPr>
          <w:p w14:paraId="047C7ED4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0.926 </w:t>
            </w:r>
          </w:p>
          <w:p w14:paraId="371A4144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(0.908, 0.941)</w:t>
            </w:r>
          </w:p>
        </w:tc>
        <w:tc>
          <w:tcPr>
            <w:tcW w:w="0" w:type="auto"/>
            <w:hideMark/>
          </w:tcPr>
          <w:p w14:paraId="054694AA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0.964 </w:t>
            </w:r>
          </w:p>
          <w:p w14:paraId="7FC1F1C1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(0.952, 0.975)</w:t>
            </w:r>
          </w:p>
        </w:tc>
        <w:tc>
          <w:tcPr>
            <w:tcW w:w="0" w:type="auto"/>
            <w:hideMark/>
          </w:tcPr>
          <w:p w14:paraId="4E647B90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0.961 </w:t>
            </w:r>
          </w:p>
          <w:p w14:paraId="7FE5264A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(0.947, 0.972)</w:t>
            </w:r>
          </w:p>
        </w:tc>
        <w:tc>
          <w:tcPr>
            <w:tcW w:w="0" w:type="auto"/>
            <w:hideMark/>
          </w:tcPr>
          <w:p w14:paraId="14FAE311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0.971 </w:t>
            </w:r>
          </w:p>
          <w:p w14:paraId="77E5B227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(0.960, 0.981)</w:t>
            </w:r>
          </w:p>
        </w:tc>
        <w:tc>
          <w:tcPr>
            <w:tcW w:w="1326" w:type="dxa"/>
            <w:hideMark/>
          </w:tcPr>
          <w:p w14:paraId="41F07E19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0.856 </w:t>
            </w:r>
          </w:p>
          <w:p w14:paraId="42226FB5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(0.796, 0.906)</w:t>
            </w:r>
          </w:p>
        </w:tc>
      </w:tr>
      <w:tr w:rsidR="00511398" w:rsidRPr="00511398" w14:paraId="364091A2" w14:textId="77777777" w:rsidTr="0068703A">
        <w:trPr>
          <w:trHeight w:val="377"/>
        </w:trPr>
        <w:tc>
          <w:tcPr>
            <w:tcW w:w="2078" w:type="dxa"/>
            <w:hideMark/>
          </w:tcPr>
          <w:p w14:paraId="0E95F7AF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Random Forest</w:t>
            </w:r>
          </w:p>
        </w:tc>
        <w:tc>
          <w:tcPr>
            <w:tcW w:w="1395" w:type="dxa"/>
            <w:hideMark/>
          </w:tcPr>
          <w:p w14:paraId="2A4BA3A1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0.918 </w:t>
            </w:r>
          </w:p>
          <w:p w14:paraId="32D13407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(0.901, 0.934)</w:t>
            </w:r>
          </w:p>
        </w:tc>
        <w:tc>
          <w:tcPr>
            <w:tcW w:w="1283" w:type="dxa"/>
            <w:hideMark/>
          </w:tcPr>
          <w:p w14:paraId="1EC5B089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0.918 </w:t>
            </w:r>
          </w:p>
          <w:p w14:paraId="21122FE5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(0.901, 0.934)</w:t>
            </w:r>
          </w:p>
        </w:tc>
        <w:tc>
          <w:tcPr>
            <w:tcW w:w="0" w:type="auto"/>
            <w:hideMark/>
          </w:tcPr>
          <w:p w14:paraId="51C4198A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0.962 </w:t>
            </w:r>
          </w:p>
          <w:p w14:paraId="6B14A98F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(0.949, 0.973)</w:t>
            </w:r>
          </w:p>
        </w:tc>
        <w:tc>
          <w:tcPr>
            <w:tcW w:w="0" w:type="auto"/>
            <w:hideMark/>
          </w:tcPr>
          <w:p w14:paraId="12B9B868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0.958 </w:t>
            </w:r>
          </w:p>
          <w:p w14:paraId="79E41F28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(0.944, 0.972)</w:t>
            </w:r>
          </w:p>
        </w:tc>
        <w:tc>
          <w:tcPr>
            <w:tcW w:w="0" w:type="auto"/>
            <w:hideMark/>
          </w:tcPr>
          <w:p w14:paraId="3F8C3645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0.976 </w:t>
            </w:r>
          </w:p>
          <w:p w14:paraId="010ACEE9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(0.966, 0.985)</w:t>
            </w:r>
          </w:p>
        </w:tc>
        <w:tc>
          <w:tcPr>
            <w:tcW w:w="1326" w:type="dxa"/>
            <w:hideMark/>
          </w:tcPr>
          <w:p w14:paraId="16B06BF5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0.881 </w:t>
            </w:r>
          </w:p>
          <w:p w14:paraId="092A4909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(0.832, 0.925)</w:t>
            </w:r>
          </w:p>
        </w:tc>
      </w:tr>
      <w:tr w:rsidR="00511398" w:rsidRPr="00511398" w14:paraId="1FFF0D01" w14:textId="77777777" w:rsidTr="0068703A">
        <w:trPr>
          <w:trHeight w:val="107"/>
        </w:trPr>
        <w:tc>
          <w:tcPr>
            <w:tcW w:w="2078" w:type="dxa"/>
            <w:hideMark/>
          </w:tcPr>
          <w:p w14:paraId="661FCE40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Gradient Tree Boosting</w:t>
            </w:r>
          </w:p>
        </w:tc>
        <w:tc>
          <w:tcPr>
            <w:tcW w:w="1395" w:type="dxa"/>
            <w:hideMark/>
          </w:tcPr>
          <w:p w14:paraId="6D38600A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0.910 </w:t>
            </w:r>
          </w:p>
          <w:p w14:paraId="26C943F7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(0.892, 0.927)</w:t>
            </w:r>
          </w:p>
        </w:tc>
        <w:tc>
          <w:tcPr>
            <w:tcW w:w="1283" w:type="dxa"/>
            <w:hideMark/>
          </w:tcPr>
          <w:p w14:paraId="1241169A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0.909 </w:t>
            </w:r>
          </w:p>
          <w:p w14:paraId="660CCA70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(0.890, 0.927)</w:t>
            </w:r>
          </w:p>
        </w:tc>
        <w:tc>
          <w:tcPr>
            <w:tcW w:w="0" w:type="auto"/>
            <w:hideMark/>
          </w:tcPr>
          <w:p w14:paraId="13BF293F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0.967 </w:t>
            </w:r>
          </w:p>
          <w:p w14:paraId="279E0159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(0.956, 0.978)</w:t>
            </w:r>
          </w:p>
        </w:tc>
        <w:tc>
          <w:tcPr>
            <w:tcW w:w="0" w:type="auto"/>
            <w:hideMark/>
          </w:tcPr>
          <w:p w14:paraId="73A6744B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0.964 </w:t>
            </w:r>
          </w:p>
          <w:p w14:paraId="53C84D97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(0.951, 0.975)</w:t>
            </w:r>
          </w:p>
        </w:tc>
        <w:tc>
          <w:tcPr>
            <w:tcW w:w="0" w:type="auto"/>
            <w:hideMark/>
          </w:tcPr>
          <w:p w14:paraId="46558CDF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0.971 </w:t>
            </w:r>
          </w:p>
          <w:p w14:paraId="5B0A19E2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(0.961, 0.981)</w:t>
            </w:r>
          </w:p>
        </w:tc>
        <w:tc>
          <w:tcPr>
            <w:tcW w:w="1326" w:type="dxa"/>
            <w:hideMark/>
          </w:tcPr>
          <w:p w14:paraId="2D8FC8E5" w14:textId="77777777" w:rsidR="00511398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 xml:space="preserve">0.857 </w:t>
            </w:r>
          </w:p>
          <w:p w14:paraId="001AD236" w14:textId="77777777" w:rsidR="00511398" w:rsidRPr="0068703A" w:rsidRDefault="00511398" w:rsidP="0068703A">
            <w:pPr>
              <w:pStyle w:val="NoSpacing"/>
              <w:jc w:val="center"/>
              <w:rPr>
                <w:bCs/>
              </w:rPr>
            </w:pPr>
            <w:r w:rsidRPr="0068703A">
              <w:rPr>
                <w:bCs/>
              </w:rPr>
              <w:t>(0.804, 0.904)</w:t>
            </w:r>
          </w:p>
        </w:tc>
      </w:tr>
    </w:tbl>
    <w:p w14:paraId="499E5D75" w14:textId="1E326539" w:rsidR="00511398" w:rsidRPr="003F0CC9" w:rsidRDefault="00511398" w:rsidP="00EE3358">
      <w:pPr>
        <w:pStyle w:val="NoSpacing"/>
        <w:rPr>
          <w:bCs/>
        </w:rPr>
      </w:pPr>
      <w:r w:rsidRPr="003F0CC9">
        <w:rPr>
          <w:bCs/>
        </w:rPr>
        <w:t>Three syndrome classification tasks (gastrointestinal, respiratory, and urinary) were tested</w:t>
      </w:r>
      <w:r>
        <w:rPr>
          <w:bCs/>
        </w:rPr>
        <w:t>, using both unigram and bigram features</w:t>
      </w:r>
      <w:r w:rsidR="00C57E36">
        <w:rPr>
          <w:bCs/>
        </w:rPr>
        <w:t xml:space="preserve"> that appear in the corpus more than once</w:t>
      </w:r>
      <w:r w:rsidRPr="003F0CC9">
        <w:rPr>
          <w:bCs/>
        </w:rPr>
        <w:t>. Accuracy and F1 scores were assessed by 10-fold cross-validation, with 95% confidence intervals in parentheses calculated by bootstrapping.</w:t>
      </w:r>
    </w:p>
    <w:p w14:paraId="108F7B73" w14:textId="6790C796" w:rsidR="00BA2537" w:rsidRPr="00600A9D" w:rsidRDefault="00600A9D" w:rsidP="00EE3358">
      <w:pPr>
        <w:pStyle w:val="NoSpacing"/>
      </w:pPr>
      <w:bookmarkStart w:id="2" w:name="_Hlk15128926"/>
      <w:r>
        <w:rPr>
          <w:b/>
        </w:rPr>
        <w:lastRenderedPageBreak/>
        <w:t>Tabl</w:t>
      </w:r>
      <w:r w:rsidR="005A07BD" w:rsidRPr="00600A9D">
        <w:rPr>
          <w:b/>
        </w:rPr>
        <w:t>e</w:t>
      </w:r>
      <w:r w:rsidR="004A1E95">
        <w:rPr>
          <w:b/>
        </w:rPr>
        <w:t xml:space="preserve"> </w:t>
      </w:r>
      <w:r w:rsidR="00511398">
        <w:rPr>
          <w:b/>
        </w:rPr>
        <w:t>C</w:t>
      </w:r>
      <w:r w:rsidR="005A07BD" w:rsidRPr="00600A9D">
        <w:rPr>
          <w:b/>
        </w:rPr>
        <w:t xml:space="preserve">. False </w:t>
      </w:r>
      <w:r w:rsidR="004A1E95" w:rsidRPr="00600A9D">
        <w:rPr>
          <w:b/>
        </w:rPr>
        <w:t xml:space="preserve">Negatives </w:t>
      </w:r>
      <w:r w:rsidR="004A1E95">
        <w:rPr>
          <w:b/>
        </w:rPr>
        <w:t>i</w:t>
      </w:r>
      <w:r w:rsidR="004A1E95" w:rsidRPr="00600A9D">
        <w:rPr>
          <w:b/>
        </w:rPr>
        <w:t xml:space="preserve">n </w:t>
      </w:r>
      <w:r w:rsidR="004A1E95">
        <w:rPr>
          <w:b/>
        </w:rPr>
        <w:t>t</w:t>
      </w:r>
      <w:r w:rsidR="004A1E95" w:rsidRPr="00600A9D">
        <w:rPr>
          <w:b/>
        </w:rPr>
        <w:t xml:space="preserve">he Random Forest Model.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932"/>
        <w:gridCol w:w="881"/>
        <w:gridCol w:w="1275"/>
        <w:gridCol w:w="901"/>
        <w:gridCol w:w="881"/>
      </w:tblGrid>
      <w:tr w:rsidR="00421B66" w:rsidRPr="00600A9D" w14:paraId="341817E0" w14:textId="77777777" w:rsidTr="003E1D3F">
        <w:tc>
          <w:tcPr>
            <w:tcW w:w="3932" w:type="dxa"/>
            <w:vAlign w:val="center"/>
          </w:tcPr>
          <w:bookmarkEnd w:id="2"/>
          <w:p w14:paraId="44DC599D" w14:textId="0C21D0C5" w:rsidR="00421B66" w:rsidRPr="00600A9D" w:rsidRDefault="00421B66" w:rsidP="003E1D3F">
            <w:pPr>
              <w:pStyle w:val="NoSpacing"/>
              <w:jc w:val="center"/>
            </w:pPr>
            <w:r w:rsidRPr="00600A9D">
              <w:rPr>
                <w:b/>
                <w:bCs/>
              </w:rPr>
              <w:t>Error Type</w:t>
            </w:r>
          </w:p>
        </w:tc>
        <w:tc>
          <w:tcPr>
            <w:tcW w:w="0" w:type="auto"/>
            <w:vAlign w:val="center"/>
          </w:tcPr>
          <w:p w14:paraId="5466BEF1" w14:textId="0852DEB3" w:rsidR="00421B66" w:rsidRPr="00600A9D" w:rsidRDefault="00421B66" w:rsidP="003E1D3F">
            <w:pPr>
              <w:pStyle w:val="NoSpacing"/>
              <w:jc w:val="center"/>
            </w:pPr>
            <w:r w:rsidRPr="00600A9D">
              <w:rPr>
                <w:b/>
                <w:bCs/>
              </w:rPr>
              <w:t>GI</w:t>
            </w:r>
          </w:p>
        </w:tc>
        <w:tc>
          <w:tcPr>
            <w:tcW w:w="0" w:type="auto"/>
            <w:vAlign w:val="center"/>
          </w:tcPr>
          <w:p w14:paraId="04B7F467" w14:textId="6E36374A" w:rsidR="00421B66" w:rsidRPr="00600A9D" w:rsidRDefault="00421B66" w:rsidP="003E1D3F">
            <w:pPr>
              <w:pStyle w:val="NoSpacing"/>
              <w:jc w:val="center"/>
            </w:pPr>
            <w:r w:rsidRPr="00600A9D">
              <w:rPr>
                <w:b/>
                <w:bCs/>
              </w:rPr>
              <w:t>Respiratory</w:t>
            </w:r>
          </w:p>
        </w:tc>
        <w:tc>
          <w:tcPr>
            <w:tcW w:w="0" w:type="auto"/>
            <w:vAlign w:val="center"/>
          </w:tcPr>
          <w:p w14:paraId="2027C685" w14:textId="30F40FEA" w:rsidR="00421B66" w:rsidRPr="00600A9D" w:rsidRDefault="00421B66" w:rsidP="003E1D3F">
            <w:pPr>
              <w:pStyle w:val="NoSpacing"/>
              <w:jc w:val="center"/>
            </w:pPr>
            <w:r w:rsidRPr="00600A9D">
              <w:rPr>
                <w:b/>
                <w:bCs/>
              </w:rPr>
              <w:t>Urinary</w:t>
            </w:r>
          </w:p>
        </w:tc>
        <w:tc>
          <w:tcPr>
            <w:tcW w:w="0" w:type="auto"/>
            <w:vAlign w:val="center"/>
          </w:tcPr>
          <w:p w14:paraId="30F7B183" w14:textId="1E134B91" w:rsidR="00421B66" w:rsidRPr="00600A9D" w:rsidRDefault="00421B66" w:rsidP="003E1D3F">
            <w:pPr>
              <w:pStyle w:val="NoSpacing"/>
              <w:jc w:val="center"/>
            </w:pPr>
            <w:r w:rsidRPr="00600A9D">
              <w:rPr>
                <w:b/>
                <w:bCs/>
              </w:rPr>
              <w:t>Total</w:t>
            </w:r>
          </w:p>
        </w:tc>
      </w:tr>
      <w:tr w:rsidR="00421B66" w:rsidRPr="00600A9D" w14:paraId="75755ABC" w14:textId="77777777" w:rsidTr="003E1D3F">
        <w:tc>
          <w:tcPr>
            <w:tcW w:w="3932" w:type="dxa"/>
            <w:vAlign w:val="center"/>
          </w:tcPr>
          <w:p w14:paraId="24987510" w14:textId="6546BF0F" w:rsidR="00421B66" w:rsidRPr="003E1D3F" w:rsidRDefault="00421B66" w:rsidP="003E1D3F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3E1D3F">
              <w:rPr>
                <w:b/>
                <w:bCs/>
                <w:i/>
                <w:iCs/>
              </w:rPr>
              <w:t>Unusual terms</w:t>
            </w:r>
          </w:p>
        </w:tc>
        <w:tc>
          <w:tcPr>
            <w:tcW w:w="0" w:type="auto"/>
            <w:vAlign w:val="center"/>
          </w:tcPr>
          <w:p w14:paraId="7FADC73D" w14:textId="77777777" w:rsidR="00421B66" w:rsidRPr="00600A9D" w:rsidRDefault="00421B66" w:rsidP="003E1D3F">
            <w:pPr>
              <w:pStyle w:val="NoSpacing"/>
              <w:jc w:val="center"/>
            </w:pPr>
            <w:r w:rsidRPr="00600A9D">
              <w:t>23 %</w:t>
            </w:r>
          </w:p>
          <w:p w14:paraId="07CF9DD0" w14:textId="00F9869C" w:rsidR="00421B66" w:rsidRPr="00600A9D" w:rsidRDefault="00421B66" w:rsidP="003E1D3F">
            <w:pPr>
              <w:pStyle w:val="NoSpacing"/>
              <w:jc w:val="center"/>
            </w:pPr>
            <w:r w:rsidRPr="00600A9D">
              <w:t>(11/47)</w:t>
            </w:r>
          </w:p>
        </w:tc>
        <w:tc>
          <w:tcPr>
            <w:tcW w:w="0" w:type="auto"/>
            <w:vAlign w:val="center"/>
          </w:tcPr>
          <w:p w14:paraId="516B880F" w14:textId="77777777" w:rsidR="00421B66" w:rsidRPr="00600A9D" w:rsidRDefault="00421B66" w:rsidP="003E1D3F">
            <w:pPr>
              <w:pStyle w:val="NoSpacing"/>
              <w:jc w:val="center"/>
            </w:pPr>
            <w:r w:rsidRPr="00600A9D">
              <w:t>38 %</w:t>
            </w:r>
          </w:p>
          <w:p w14:paraId="42E5F47A" w14:textId="6301A6DE" w:rsidR="00421B66" w:rsidRPr="00600A9D" w:rsidRDefault="00421B66" w:rsidP="003E1D3F">
            <w:pPr>
              <w:pStyle w:val="NoSpacing"/>
              <w:jc w:val="center"/>
            </w:pPr>
            <w:r w:rsidRPr="00600A9D">
              <w:t>(6/16)</w:t>
            </w:r>
          </w:p>
        </w:tc>
        <w:tc>
          <w:tcPr>
            <w:tcW w:w="0" w:type="auto"/>
            <w:vAlign w:val="center"/>
          </w:tcPr>
          <w:p w14:paraId="0AE0C3D7" w14:textId="519D8AC6" w:rsidR="00421B66" w:rsidRPr="00600A9D" w:rsidRDefault="00421B66" w:rsidP="003E1D3F">
            <w:pPr>
              <w:pStyle w:val="NoSpacing"/>
              <w:jc w:val="center"/>
              <w:rPr>
                <w:vertAlign w:val="superscript"/>
              </w:rPr>
            </w:pPr>
            <w:r w:rsidRPr="00600A9D">
              <w:t>N/A</w:t>
            </w:r>
            <w:r w:rsidR="00F9063C" w:rsidRPr="00600A9D">
              <w:rPr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533DEA05" w14:textId="77777777" w:rsidR="00421B66" w:rsidRPr="00600A9D" w:rsidRDefault="00421B66" w:rsidP="003E1D3F">
            <w:pPr>
              <w:pStyle w:val="NoSpacing"/>
              <w:jc w:val="center"/>
            </w:pPr>
            <w:r w:rsidRPr="00600A9D">
              <w:t>27 %</w:t>
            </w:r>
          </w:p>
          <w:p w14:paraId="6BC5C893" w14:textId="3E4AB63C" w:rsidR="00421B66" w:rsidRPr="00600A9D" w:rsidRDefault="00421B66" w:rsidP="003E1D3F">
            <w:pPr>
              <w:pStyle w:val="NoSpacing"/>
              <w:jc w:val="center"/>
            </w:pPr>
            <w:r w:rsidRPr="00600A9D">
              <w:t>(17/63)</w:t>
            </w:r>
          </w:p>
        </w:tc>
      </w:tr>
      <w:tr w:rsidR="00421B66" w:rsidRPr="00600A9D" w14:paraId="05EE201B" w14:textId="77777777" w:rsidTr="003E1D3F">
        <w:tc>
          <w:tcPr>
            <w:tcW w:w="3932" w:type="dxa"/>
            <w:vAlign w:val="center"/>
          </w:tcPr>
          <w:p w14:paraId="00EE6C45" w14:textId="35F03C9F" w:rsidR="00421B66" w:rsidRPr="003E1D3F" w:rsidRDefault="00421B66" w:rsidP="003E1D3F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3E1D3F">
              <w:rPr>
                <w:b/>
                <w:bCs/>
                <w:i/>
                <w:iCs/>
              </w:rPr>
              <w:t>Species-specific anatomical descriptors</w:t>
            </w:r>
          </w:p>
        </w:tc>
        <w:tc>
          <w:tcPr>
            <w:tcW w:w="0" w:type="auto"/>
            <w:vAlign w:val="center"/>
          </w:tcPr>
          <w:p w14:paraId="472201FA" w14:textId="77777777" w:rsidR="00421B66" w:rsidRPr="00600A9D" w:rsidRDefault="00421B66" w:rsidP="003E1D3F">
            <w:pPr>
              <w:pStyle w:val="NoSpacing"/>
              <w:jc w:val="center"/>
            </w:pPr>
            <w:r w:rsidRPr="00600A9D">
              <w:t>28 %</w:t>
            </w:r>
          </w:p>
          <w:p w14:paraId="55BC4079" w14:textId="4391B037" w:rsidR="00421B66" w:rsidRPr="00600A9D" w:rsidRDefault="00421B66" w:rsidP="003E1D3F">
            <w:pPr>
              <w:pStyle w:val="NoSpacing"/>
              <w:jc w:val="center"/>
            </w:pPr>
            <w:r w:rsidRPr="00600A9D">
              <w:t>(13/47)</w:t>
            </w:r>
          </w:p>
        </w:tc>
        <w:tc>
          <w:tcPr>
            <w:tcW w:w="0" w:type="auto"/>
            <w:vAlign w:val="center"/>
          </w:tcPr>
          <w:p w14:paraId="5F03C38A" w14:textId="77777777" w:rsidR="00421B66" w:rsidRPr="00600A9D" w:rsidRDefault="00421B66" w:rsidP="003E1D3F">
            <w:pPr>
              <w:pStyle w:val="NoSpacing"/>
              <w:jc w:val="center"/>
            </w:pPr>
            <w:r w:rsidRPr="00600A9D">
              <w:t>13 %</w:t>
            </w:r>
          </w:p>
          <w:p w14:paraId="32023EA5" w14:textId="5EC24CA8" w:rsidR="00421B66" w:rsidRPr="00600A9D" w:rsidRDefault="00421B66" w:rsidP="003E1D3F">
            <w:pPr>
              <w:pStyle w:val="NoSpacing"/>
              <w:jc w:val="center"/>
            </w:pPr>
            <w:r w:rsidRPr="00600A9D">
              <w:t>(2/16)</w:t>
            </w:r>
          </w:p>
        </w:tc>
        <w:tc>
          <w:tcPr>
            <w:tcW w:w="0" w:type="auto"/>
            <w:vAlign w:val="center"/>
          </w:tcPr>
          <w:p w14:paraId="41B1DD2C" w14:textId="77777777" w:rsidR="00421B66" w:rsidRPr="00600A9D" w:rsidRDefault="00421B66" w:rsidP="003E1D3F">
            <w:pPr>
              <w:pStyle w:val="NoSpacing"/>
              <w:jc w:val="center"/>
            </w:pPr>
            <w:r w:rsidRPr="00600A9D">
              <w:t>0 %</w:t>
            </w:r>
          </w:p>
          <w:p w14:paraId="1B2A1955" w14:textId="58B5635D" w:rsidR="00421B66" w:rsidRPr="00600A9D" w:rsidRDefault="00421B66" w:rsidP="003E1D3F">
            <w:pPr>
              <w:pStyle w:val="NoSpacing"/>
              <w:jc w:val="center"/>
            </w:pPr>
            <w:r w:rsidRPr="00600A9D">
              <w:t>(0/21)</w:t>
            </w:r>
          </w:p>
        </w:tc>
        <w:tc>
          <w:tcPr>
            <w:tcW w:w="0" w:type="auto"/>
            <w:vAlign w:val="center"/>
          </w:tcPr>
          <w:p w14:paraId="4E3C0794" w14:textId="77777777" w:rsidR="00421B66" w:rsidRPr="00600A9D" w:rsidRDefault="00421B66" w:rsidP="003E1D3F">
            <w:pPr>
              <w:pStyle w:val="NoSpacing"/>
              <w:jc w:val="center"/>
            </w:pPr>
            <w:r w:rsidRPr="00600A9D">
              <w:t>18 %</w:t>
            </w:r>
          </w:p>
          <w:p w14:paraId="391AA01B" w14:textId="786ED05A" w:rsidR="00421B66" w:rsidRPr="00600A9D" w:rsidRDefault="00421B66" w:rsidP="003E1D3F">
            <w:pPr>
              <w:pStyle w:val="NoSpacing"/>
              <w:jc w:val="center"/>
            </w:pPr>
            <w:r w:rsidRPr="00600A9D">
              <w:t>(15/84)</w:t>
            </w:r>
          </w:p>
        </w:tc>
      </w:tr>
      <w:tr w:rsidR="00421B66" w:rsidRPr="00600A9D" w14:paraId="5E203683" w14:textId="77777777" w:rsidTr="003E1D3F">
        <w:tc>
          <w:tcPr>
            <w:tcW w:w="3932" w:type="dxa"/>
            <w:vAlign w:val="center"/>
          </w:tcPr>
          <w:p w14:paraId="4E321B4A" w14:textId="41292D9B" w:rsidR="00421B66" w:rsidRPr="003E1D3F" w:rsidRDefault="00421B66" w:rsidP="003E1D3F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3E1D3F">
              <w:rPr>
                <w:b/>
                <w:bCs/>
                <w:i/>
                <w:iCs/>
              </w:rPr>
              <w:t>Terms derived from causative organisms</w:t>
            </w:r>
          </w:p>
        </w:tc>
        <w:tc>
          <w:tcPr>
            <w:tcW w:w="0" w:type="auto"/>
            <w:vAlign w:val="center"/>
          </w:tcPr>
          <w:p w14:paraId="7283703B" w14:textId="77777777" w:rsidR="00421B66" w:rsidRPr="00600A9D" w:rsidRDefault="00421B66" w:rsidP="003E1D3F">
            <w:pPr>
              <w:pStyle w:val="NoSpacing"/>
              <w:jc w:val="center"/>
            </w:pPr>
            <w:r w:rsidRPr="00600A9D">
              <w:t>23 %</w:t>
            </w:r>
          </w:p>
          <w:p w14:paraId="734DC6C3" w14:textId="18C902F7" w:rsidR="00421B66" w:rsidRPr="00600A9D" w:rsidRDefault="00421B66" w:rsidP="003E1D3F">
            <w:pPr>
              <w:pStyle w:val="NoSpacing"/>
              <w:jc w:val="center"/>
            </w:pPr>
            <w:r w:rsidRPr="00600A9D">
              <w:t>(11/47)</w:t>
            </w:r>
          </w:p>
        </w:tc>
        <w:tc>
          <w:tcPr>
            <w:tcW w:w="0" w:type="auto"/>
            <w:vAlign w:val="center"/>
          </w:tcPr>
          <w:p w14:paraId="58433A5C" w14:textId="77777777" w:rsidR="00421B66" w:rsidRPr="00600A9D" w:rsidRDefault="00421B66" w:rsidP="003E1D3F">
            <w:pPr>
              <w:pStyle w:val="NoSpacing"/>
              <w:jc w:val="center"/>
            </w:pPr>
            <w:r w:rsidRPr="00600A9D">
              <w:t>6 %</w:t>
            </w:r>
          </w:p>
          <w:p w14:paraId="09CF21BA" w14:textId="4E3B694B" w:rsidR="00421B66" w:rsidRPr="00600A9D" w:rsidRDefault="00421B66" w:rsidP="003E1D3F">
            <w:pPr>
              <w:pStyle w:val="NoSpacing"/>
              <w:jc w:val="center"/>
            </w:pPr>
            <w:r w:rsidRPr="00600A9D">
              <w:t>(1/16)</w:t>
            </w:r>
          </w:p>
        </w:tc>
        <w:tc>
          <w:tcPr>
            <w:tcW w:w="0" w:type="auto"/>
            <w:vAlign w:val="center"/>
          </w:tcPr>
          <w:p w14:paraId="085378EA" w14:textId="77777777" w:rsidR="00421B66" w:rsidRPr="00600A9D" w:rsidRDefault="00421B66" w:rsidP="003E1D3F">
            <w:pPr>
              <w:pStyle w:val="NoSpacing"/>
              <w:jc w:val="center"/>
            </w:pPr>
            <w:r w:rsidRPr="00600A9D">
              <w:t>0 %</w:t>
            </w:r>
          </w:p>
          <w:p w14:paraId="6A4D8BD9" w14:textId="29965BFB" w:rsidR="00421B66" w:rsidRPr="00600A9D" w:rsidRDefault="00421B66" w:rsidP="003E1D3F">
            <w:pPr>
              <w:pStyle w:val="NoSpacing"/>
              <w:jc w:val="center"/>
            </w:pPr>
            <w:r w:rsidRPr="00600A9D">
              <w:t>(0/21)</w:t>
            </w:r>
          </w:p>
        </w:tc>
        <w:tc>
          <w:tcPr>
            <w:tcW w:w="0" w:type="auto"/>
            <w:vAlign w:val="center"/>
          </w:tcPr>
          <w:p w14:paraId="46D4EDD8" w14:textId="77777777" w:rsidR="00421B66" w:rsidRPr="00600A9D" w:rsidRDefault="00421B66" w:rsidP="003E1D3F">
            <w:pPr>
              <w:pStyle w:val="NoSpacing"/>
              <w:jc w:val="center"/>
            </w:pPr>
            <w:r w:rsidRPr="00600A9D">
              <w:t>14 %</w:t>
            </w:r>
          </w:p>
          <w:p w14:paraId="3BFAF546" w14:textId="20931D3A" w:rsidR="00421B66" w:rsidRPr="00600A9D" w:rsidRDefault="00421B66" w:rsidP="003E1D3F">
            <w:pPr>
              <w:pStyle w:val="NoSpacing"/>
              <w:jc w:val="center"/>
            </w:pPr>
            <w:r w:rsidRPr="00600A9D">
              <w:t>(12/84)</w:t>
            </w:r>
          </w:p>
        </w:tc>
      </w:tr>
    </w:tbl>
    <w:p w14:paraId="73EC75E2" w14:textId="41DE78A6" w:rsidR="00F9063C" w:rsidRPr="00600A9D" w:rsidRDefault="00BA2537" w:rsidP="00EE3358">
      <w:pPr>
        <w:pStyle w:val="NoSpacing"/>
      </w:pPr>
      <w:r w:rsidRPr="00600A9D">
        <w:t xml:space="preserve">Several types of false negatives for the random forest model were classified and quantified by manual review. The categories were mutually exclusive except for </w:t>
      </w:r>
      <w:r w:rsidR="004A1E95">
        <w:t>four</w:t>
      </w:r>
      <w:r w:rsidRPr="00600A9D">
        <w:t xml:space="preserve"> documents shared across two categories. </w:t>
      </w:r>
    </w:p>
    <w:p w14:paraId="6A748A59" w14:textId="4CD6AAA9" w:rsidR="003E1D3F" w:rsidRDefault="000E3DC8" w:rsidP="00EE3358">
      <w:pPr>
        <w:pStyle w:val="NoSpacing"/>
        <w:rPr>
          <w:b/>
        </w:rPr>
      </w:pPr>
      <w:r>
        <w:rPr>
          <w:vertAlign w:val="superscript"/>
        </w:rPr>
        <w:t>a</w:t>
      </w:r>
      <w:r>
        <w:t xml:space="preserve"> </w:t>
      </w:r>
      <w:r w:rsidR="00BA2537" w:rsidRPr="000E3DC8">
        <w:t>Given</w:t>
      </w:r>
      <w:r w:rsidR="00BA2537" w:rsidRPr="00600A9D">
        <w:t xml:space="preserve"> the smaller prevalence of urinary pathology in the training </w:t>
      </w:r>
      <w:proofErr w:type="gramStart"/>
      <w:r w:rsidR="00BA2537" w:rsidRPr="00600A9D">
        <w:t>dataset,</w:t>
      </w:r>
      <w:proofErr w:type="gramEnd"/>
      <w:r w:rsidR="00BA2537" w:rsidRPr="00600A9D">
        <w:t xml:space="preserve"> our assessment was that it was not possible to characterize </w:t>
      </w:r>
      <w:r>
        <w:t>unusual</w:t>
      </w:r>
      <w:r w:rsidR="00BA2537" w:rsidRPr="00600A9D">
        <w:t xml:space="preserve"> terms </w:t>
      </w:r>
      <w:r w:rsidR="00F9063C" w:rsidRPr="00600A9D">
        <w:t>for</w:t>
      </w:r>
      <w:r w:rsidR="00BA2537" w:rsidRPr="00600A9D">
        <w:t xml:space="preserve"> the urinary disease syndrome.</w:t>
      </w:r>
    </w:p>
    <w:p w14:paraId="667F96E4" w14:textId="44665A4C" w:rsidR="00EE3358" w:rsidRDefault="00EE3358" w:rsidP="00EE3358">
      <w:pPr>
        <w:pStyle w:val="NoSpacing"/>
        <w:rPr>
          <w:b/>
        </w:rPr>
      </w:pPr>
    </w:p>
    <w:p w14:paraId="25A2DE97" w14:textId="77777777" w:rsidR="009E3727" w:rsidRPr="00600A9D" w:rsidRDefault="009E3727" w:rsidP="00EE3358">
      <w:pPr>
        <w:pStyle w:val="NoSpacing"/>
        <w:rPr>
          <w:b/>
        </w:rPr>
      </w:pPr>
    </w:p>
    <w:p w14:paraId="07C37F63" w14:textId="4A4B893D" w:rsidR="005A07BD" w:rsidRPr="00600A9D" w:rsidRDefault="005A07BD" w:rsidP="00EE3358">
      <w:pPr>
        <w:pStyle w:val="NoSpacing"/>
        <w:rPr>
          <w:b/>
        </w:rPr>
      </w:pPr>
      <w:bookmarkStart w:id="3" w:name="_Hlk15128950"/>
      <w:r w:rsidRPr="00600A9D">
        <w:rPr>
          <w:b/>
        </w:rPr>
        <w:t>Table</w:t>
      </w:r>
      <w:r w:rsidR="004A1E95">
        <w:rPr>
          <w:b/>
        </w:rPr>
        <w:t xml:space="preserve"> </w:t>
      </w:r>
      <w:r w:rsidR="00511398">
        <w:rPr>
          <w:b/>
        </w:rPr>
        <w:t>D</w:t>
      </w:r>
      <w:r w:rsidRPr="00600A9D">
        <w:rPr>
          <w:b/>
        </w:rPr>
        <w:t xml:space="preserve">. Examples of </w:t>
      </w:r>
      <w:r w:rsidR="004A1E95" w:rsidRPr="00600A9D">
        <w:rPr>
          <w:b/>
        </w:rPr>
        <w:t xml:space="preserve">Terms Associated </w:t>
      </w:r>
      <w:r w:rsidR="003E1D3F">
        <w:rPr>
          <w:b/>
        </w:rPr>
        <w:t>with</w:t>
      </w:r>
      <w:r w:rsidR="004A1E95" w:rsidRPr="00600A9D">
        <w:rPr>
          <w:b/>
        </w:rPr>
        <w:t xml:space="preserve"> False Negative Error Types </w:t>
      </w:r>
      <w:r w:rsidR="004A1E95">
        <w:rPr>
          <w:b/>
        </w:rPr>
        <w:t>i</w:t>
      </w:r>
      <w:r w:rsidR="004A1E95" w:rsidRPr="00600A9D">
        <w:rPr>
          <w:b/>
        </w:rPr>
        <w:t xml:space="preserve">n </w:t>
      </w:r>
      <w:r w:rsidR="004A1E95">
        <w:rPr>
          <w:b/>
        </w:rPr>
        <w:t>t</w:t>
      </w:r>
      <w:r w:rsidR="004A1E95" w:rsidRPr="00600A9D">
        <w:rPr>
          <w:b/>
        </w:rPr>
        <w:t>he Random Forest Model.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700"/>
        <w:gridCol w:w="4140"/>
        <w:gridCol w:w="3325"/>
      </w:tblGrid>
      <w:tr w:rsidR="00343101" w:rsidRPr="00600A9D" w14:paraId="3E9C3F72" w14:textId="3BD694B7" w:rsidTr="003E1D3F">
        <w:tc>
          <w:tcPr>
            <w:tcW w:w="2700" w:type="dxa"/>
            <w:vAlign w:val="center"/>
          </w:tcPr>
          <w:bookmarkEnd w:id="3"/>
          <w:p w14:paraId="35F96703" w14:textId="4E29E221" w:rsidR="00343101" w:rsidRPr="00600A9D" w:rsidRDefault="00343101" w:rsidP="003E1D3F">
            <w:pPr>
              <w:pStyle w:val="NoSpacing"/>
              <w:jc w:val="center"/>
            </w:pPr>
            <w:r w:rsidRPr="00600A9D">
              <w:rPr>
                <w:b/>
                <w:bCs/>
              </w:rPr>
              <w:t>Error Type</w:t>
            </w:r>
          </w:p>
        </w:tc>
        <w:tc>
          <w:tcPr>
            <w:tcW w:w="4140" w:type="dxa"/>
            <w:vAlign w:val="center"/>
          </w:tcPr>
          <w:p w14:paraId="321409B9" w14:textId="37D4FD95" w:rsidR="00343101" w:rsidRPr="00600A9D" w:rsidRDefault="00343101" w:rsidP="003E1D3F">
            <w:pPr>
              <w:jc w:val="center"/>
            </w:pPr>
            <w:r w:rsidRPr="00600A9D">
              <w:rPr>
                <w:b/>
                <w:bCs/>
              </w:rPr>
              <w:t>GI</w:t>
            </w:r>
          </w:p>
        </w:tc>
        <w:tc>
          <w:tcPr>
            <w:tcW w:w="3325" w:type="dxa"/>
            <w:vAlign w:val="center"/>
          </w:tcPr>
          <w:p w14:paraId="45C5BE7F" w14:textId="0110FEB2" w:rsidR="00343101" w:rsidRPr="00600A9D" w:rsidRDefault="00343101" w:rsidP="003E1D3F">
            <w:pPr>
              <w:jc w:val="center"/>
            </w:pPr>
            <w:r w:rsidRPr="00600A9D">
              <w:rPr>
                <w:b/>
                <w:bCs/>
              </w:rPr>
              <w:t>Respiratory</w:t>
            </w:r>
          </w:p>
        </w:tc>
      </w:tr>
      <w:tr w:rsidR="00343101" w:rsidRPr="00600A9D" w14:paraId="6FD3A7CF" w14:textId="0407A3AC" w:rsidTr="003E1D3F">
        <w:tc>
          <w:tcPr>
            <w:tcW w:w="2700" w:type="dxa"/>
            <w:vAlign w:val="center"/>
          </w:tcPr>
          <w:p w14:paraId="0B3ADB79" w14:textId="18AE51C2" w:rsidR="00343101" w:rsidRPr="003E1D3F" w:rsidRDefault="00343101" w:rsidP="003E1D3F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3E1D3F">
              <w:rPr>
                <w:b/>
                <w:bCs/>
                <w:i/>
                <w:iCs/>
              </w:rPr>
              <w:t>Unusual terms</w:t>
            </w:r>
          </w:p>
        </w:tc>
        <w:tc>
          <w:tcPr>
            <w:tcW w:w="4140" w:type="dxa"/>
            <w:vAlign w:val="center"/>
          </w:tcPr>
          <w:p w14:paraId="341EA905" w14:textId="5E4F8909" w:rsidR="00343101" w:rsidRPr="00600A9D" w:rsidRDefault="00343101" w:rsidP="003E1D3F">
            <w:pPr>
              <w:jc w:val="center"/>
            </w:pPr>
            <w:r w:rsidRPr="00600A9D">
              <w:t xml:space="preserve">lip, tongue, glossitis, cholangitis, sinusoidal, Peyer’s, GALT, typhlitis, </w:t>
            </w:r>
            <w:proofErr w:type="spellStart"/>
            <w:r w:rsidRPr="00600A9D">
              <w:t>cecitis</w:t>
            </w:r>
            <w:proofErr w:type="spellEnd"/>
          </w:p>
        </w:tc>
        <w:tc>
          <w:tcPr>
            <w:tcW w:w="3325" w:type="dxa"/>
            <w:vAlign w:val="center"/>
          </w:tcPr>
          <w:p w14:paraId="1746F83F" w14:textId="2F1CB2AE" w:rsidR="00343101" w:rsidRPr="00600A9D" w:rsidRDefault="00343101" w:rsidP="003E1D3F">
            <w:pPr>
              <w:jc w:val="center"/>
            </w:pPr>
            <w:r w:rsidRPr="00600A9D">
              <w:t>pleuritis, mediastinum, tracheitis, laryngotracheitis, BALT, sinusitis</w:t>
            </w:r>
          </w:p>
        </w:tc>
      </w:tr>
      <w:tr w:rsidR="00343101" w:rsidRPr="00600A9D" w14:paraId="633A650F" w14:textId="77F68976" w:rsidTr="003E1D3F">
        <w:tc>
          <w:tcPr>
            <w:tcW w:w="2700" w:type="dxa"/>
            <w:vAlign w:val="center"/>
          </w:tcPr>
          <w:p w14:paraId="25D99727" w14:textId="6CF7C191" w:rsidR="00343101" w:rsidRPr="003E1D3F" w:rsidRDefault="00343101" w:rsidP="003E1D3F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3E1D3F">
              <w:rPr>
                <w:b/>
                <w:bCs/>
                <w:i/>
                <w:iCs/>
              </w:rPr>
              <w:t>Species-specific anatomical descriptors</w:t>
            </w:r>
          </w:p>
        </w:tc>
        <w:tc>
          <w:tcPr>
            <w:tcW w:w="4140" w:type="dxa"/>
            <w:vAlign w:val="center"/>
          </w:tcPr>
          <w:p w14:paraId="48047E8F" w14:textId="77C9D660" w:rsidR="00343101" w:rsidRPr="00600A9D" w:rsidRDefault="00343101" w:rsidP="003E1D3F">
            <w:pPr>
              <w:jc w:val="center"/>
            </w:pPr>
            <w:r w:rsidRPr="00600A9D">
              <w:t xml:space="preserve">proventriculus, </w:t>
            </w:r>
            <w:proofErr w:type="spellStart"/>
            <w:r w:rsidRPr="00600A9D">
              <w:t>coelomitis</w:t>
            </w:r>
            <w:proofErr w:type="spellEnd"/>
            <w:r w:rsidRPr="00600A9D">
              <w:t xml:space="preserve">, cloacal, beak, crop, gizzard, yolk, rumenitis, </w:t>
            </w:r>
            <w:proofErr w:type="spellStart"/>
            <w:r w:rsidRPr="00600A9D">
              <w:t>abomasal</w:t>
            </w:r>
            <w:proofErr w:type="spellEnd"/>
            <w:r w:rsidRPr="00600A9D">
              <w:t>, abomasum, reticulum</w:t>
            </w:r>
          </w:p>
        </w:tc>
        <w:tc>
          <w:tcPr>
            <w:tcW w:w="3325" w:type="dxa"/>
            <w:vAlign w:val="center"/>
          </w:tcPr>
          <w:p w14:paraId="6F78162D" w14:textId="15322713" w:rsidR="00343101" w:rsidRPr="00600A9D" w:rsidRDefault="00343101" w:rsidP="003E1D3F">
            <w:pPr>
              <w:jc w:val="center"/>
            </w:pPr>
            <w:proofErr w:type="spellStart"/>
            <w:r w:rsidRPr="00600A9D">
              <w:t>sacculitis</w:t>
            </w:r>
            <w:proofErr w:type="spellEnd"/>
          </w:p>
        </w:tc>
      </w:tr>
      <w:tr w:rsidR="00343101" w:rsidRPr="00600A9D" w14:paraId="7B424C13" w14:textId="35D17171" w:rsidTr="003E1D3F">
        <w:tc>
          <w:tcPr>
            <w:tcW w:w="2700" w:type="dxa"/>
            <w:vAlign w:val="center"/>
          </w:tcPr>
          <w:p w14:paraId="5243E0D7" w14:textId="36937756" w:rsidR="00343101" w:rsidRPr="003E1D3F" w:rsidRDefault="00343101" w:rsidP="003E1D3F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3E1D3F">
              <w:rPr>
                <w:b/>
                <w:bCs/>
                <w:i/>
                <w:iCs/>
              </w:rPr>
              <w:t>Terms derived from causative organisms</w:t>
            </w:r>
          </w:p>
        </w:tc>
        <w:tc>
          <w:tcPr>
            <w:tcW w:w="4140" w:type="dxa"/>
            <w:vAlign w:val="center"/>
          </w:tcPr>
          <w:p w14:paraId="3EF9C7E1" w14:textId="5255F323" w:rsidR="00343101" w:rsidRPr="00600A9D" w:rsidRDefault="00343101" w:rsidP="003E1D3F">
            <w:pPr>
              <w:jc w:val="center"/>
            </w:pPr>
            <w:proofErr w:type="spellStart"/>
            <w:r w:rsidRPr="00600A9D">
              <w:t>toxocara</w:t>
            </w:r>
            <w:proofErr w:type="spellEnd"/>
            <w:r w:rsidRPr="00600A9D">
              <w:t xml:space="preserve">, cryptosporidium, </w:t>
            </w:r>
            <w:proofErr w:type="spellStart"/>
            <w:r w:rsidRPr="00600A9D">
              <w:t>cryptosporidial</w:t>
            </w:r>
            <w:proofErr w:type="spellEnd"/>
            <w:r w:rsidRPr="00600A9D">
              <w:t xml:space="preserve">, </w:t>
            </w:r>
            <w:proofErr w:type="spellStart"/>
            <w:r w:rsidRPr="00600A9D">
              <w:t>strongyle</w:t>
            </w:r>
            <w:proofErr w:type="spellEnd"/>
            <w:r w:rsidRPr="00600A9D">
              <w:t xml:space="preserve">, </w:t>
            </w:r>
            <w:proofErr w:type="spellStart"/>
            <w:r w:rsidRPr="00600A9D">
              <w:t>clostridiosis</w:t>
            </w:r>
            <w:proofErr w:type="spellEnd"/>
            <w:r w:rsidRPr="00600A9D">
              <w:t>, coccidiosis, coronaviral, coronavirus</w:t>
            </w:r>
          </w:p>
        </w:tc>
        <w:tc>
          <w:tcPr>
            <w:tcW w:w="3325" w:type="dxa"/>
            <w:vAlign w:val="center"/>
          </w:tcPr>
          <w:p w14:paraId="0F75D5B0" w14:textId="465D57D6" w:rsidR="00343101" w:rsidRPr="00600A9D" w:rsidRDefault="00343101" w:rsidP="003E1D3F">
            <w:pPr>
              <w:jc w:val="center"/>
            </w:pPr>
            <w:proofErr w:type="spellStart"/>
            <w:r w:rsidRPr="00600A9D">
              <w:t>gallid</w:t>
            </w:r>
            <w:proofErr w:type="spellEnd"/>
          </w:p>
        </w:tc>
      </w:tr>
    </w:tbl>
    <w:p w14:paraId="704B6DD8" w14:textId="77777777" w:rsidR="005A07BD" w:rsidRPr="00600A9D" w:rsidRDefault="005A07BD" w:rsidP="000E3DC8">
      <w:pPr>
        <w:pStyle w:val="NoSpacing"/>
      </w:pPr>
    </w:p>
    <w:sectPr w:rsidR="005A07BD" w:rsidRPr="00600A9D" w:rsidSect="001478F7">
      <w:pgSz w:w="12240" w:h="15840"/>
      <w:pgMar w:top="1152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F7"/>
    <w:rsid w:val="00095F79"/>
    <w:rsid w:val="000E3DC8"/>
    <w:rsid w:val="001478F7"/>
    <w:rsid w:val="001914EB"/>
    <w:rsid w:val="003246A8"/>
    <w:rsid w:val="00343101"/>
    <w:rsid w:val="00366B8D"/>
    <w:rsid w:val="003E1D3F"/>
    <w:rsid w:val="003F0CC9"/>
    <w:rsid w:val="00421B66"/>
    <w:rsid w:val="0043624E"/>
    <w:rsid w:val="004A1E95"/>
    <w:rsid w:val="004E1BBD"/>
    <w:rsid w:val="00511398"/>
    <w:rsid w:val="005A07BD"/>
    <w:rsid w:val="005F6BD4"/>
    <w:rsid w:val="00600A9D"/>
    <w:rsid w:val="006807CA"/>
    <w:rsid w:val="006A38E3"/>
    <w:rsid w:val="007C246C"/>
    <w:rsid w:val="009E3727"/>
    <w:rsid w:val="009F0C43"/>
    <w:rsid w:val="00A3589F"/>
    <w:rsid w:val="00BA2537"/>
    <w:rsid w:val="00C4289F"/>
    <w:rsid w:val="00C57E36"/>
    <w:rsid w:val="00D3527A"/>
    <w:rsid w:val="00DB3053"/>
    <w:rsid w:val="00E004C4"/>
    <w:rsid w:val="00E47F3F"/>
    <w:rsid w:val="00EE3358"/>
    <w:rsid w:val="00F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05E9"/>
  <w15:chartTrackingRefBased/>
  <w15:docId w15:val="{3A089928-1963-4B1F-B334-2CD14AAC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8F7"/>
    <w:pPr>
      <w:spacing w:after="0" w:line="240" w:lineRule="auto"/>
    </w:pPr>
  </w:style>
  <w:style w:type="table" w:styleId="TableGrid">
    <w:name w:val="Table Grid"/>
    <w:basedOn w:val="TableNormal"/>
    <w:uiPriority w:val="39"/>
    <w:rsid w:val="006A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C2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46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46C"/>
    <w:pPr>
      <w:spacing w:after="0" w:line="240" w:lineRule="auto"/>
    </w:pPr>
    <w:rPr>
      <w:rFonts w:ascii="Segoe UI" w:hAnsi="Segoe UI"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6C"/>
    <w:rPr>
      <w:rFonts w:ascii="Segoe UI" w:hAnsi="Segoe UI" w:cs="Segoe UI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E9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E95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5113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NBOLLIG</dc:creator>
  <cp:keywords/>
  <dc:description/>
  <cp:lastModifiedBy>NBOLLIG</cp:lastModifiedBy>
  <cp:revision>3</cp:revision>
  <dcterms:created xsi:type="dcterms:W3CDTF">2019-11-29T14:00:00Z</dcterms:created>
  <dcterms:modified xsi:type="dcterms:W3CDTF">2019-11-29T15:26:00Z</dcterms:modified>
</cp:coreProperties>
</file>