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84" w:rsidRDefault="00B42F84" w:rsidP="00B42F84">
      <w:pPr>
        <w:spacing w:after="16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S9 Table.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Specificity tests for the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Cronartium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assays. </w:t>
      </w:r>
      <w:r>
        <w:rPr>
          <w:rFonts w:ascii="Calibri" w:eastAsia="Calibri" w:hAnsi="Calibri" w:cs="Calibri"/>
          <w:sz w:val="24"/>
          <w:szCs w:val="24"/>
        </w:rPr>
        <w:t>Average C</w:t>
      </w:r>
      <w:r>
        <w:rPr>
          <w:rFonts w:ascii="Calibri" w:eastAsia="Calibri" w:hAnsi="Calibri" w:cs="Calibri"/>
          <w:sz w:val="24"/>
          <w:szCs w:val="24"/>
          <w:vertAlign w:val="subscript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values obtained using the </w:t>
      </w:r>
      <w:proofErr w:type="spellStart"/>
      <w:r w:rsidRPr="00B053A2">
        <w:rPr>
          <w:rFonts w:ascii="Calibri" w:eastAsia="Calibri" w:hAnsi="Calibri" w:cs="Calibri"/>
          <w:i/>
          <w:sz w:val="24"/>
          <w:szCs w:val="24"/>
        </w:rPr>
        <w:t>Cronartium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assays with </w:t>
      </w:r>
      <w:r>
        <w:rPr>
          <w:rFonts w:ascii="Calibri" w:eastAsia="Calibri" w:hAnsi="Calibri" w:cs="Calibri"/>
          <w:i/>
          <w:sz w:val="24"/>
          <w:szCs w:val="24"/>
        </w:rPr>
        <w:t xml:space="preserve">C.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ribicola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i/>
          <w:sz w:val="24"/>
          <w:szCs w:val="24"/>
        </w:rPr>
        <w:t xml:space="preserve">C.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comandrae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DNA. One hybrid was tested as well. A) </w:t>
      </w:r>
      <w:proofErr w:type="gramStart"/>
      <w:r>
        <w:rPr>
          <w:rFonts w:ascii="Calibri" w:eastAsia="Calibri" w:hAnsi="Calibri" w:cs="Calibri"/>
          <w:sz w:val="24"/>
          <w:szCs w:val="24"/>
        </w:rPr>
        <w:t>results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obtained with the assays used as simplex; B) results obtained with the assays used as a duplex. The </w:t>
      </w:r>
      <w:r>
        <w:rPr>
          <w:rFonts w:ascii="Calibri" w:eastAsia="Calibri" w:hAnsi="Calibri" w:cs="Calibri"/>
          <w:i/>
          <w:sz w:val="24"/>
          <w:szCs w:val="24"/>
        </w:rPr>
        <w:t xml:space="preserve">C.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ribicola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probe carries the FAM fluorophore and the </w:t>
      </w:r>
      <w:r>
        <w:rPr>
          <w:rFonts w:ascii="Calibri" w:eastAsia="Calibri" w:hAnsi="Calibri" w:cs="Calibri"/>
          <w:i/>
          <w:sz w:val="24"/>
          <w:szCs w:val="24"/>
        </w:rPr>
        <w:t xml:space="preserve">C.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comandrae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probe carries the HEX fluorophore. NA = No Amplification. </w:t>
      </w:r>
    </w:p>
    <w:p w:rsidR="00B42F84" w:rsidRDefault="00B42F84" w:rsidP="00B42F84">
      <w:pPr>
        <w:spacing w:after="160"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A)</w:t>
      </w:r>
    </w:p>
    <w:tbl>
      <w:tblPr>
        <w:tblW w:w="8369" w:type="dxa"/>
        <w:tblLayout w:type="fixed"/>
        <w:tblLook w:val="0400" w:firstRow="0" w:lastRow="0" w:firstColumn="0" w:lastColumn="0" w:noHBand="0" w:noVBand="1"/>
      </w:tblPr>
      <w:tblGrid>
        <w:gridCol w:w="1276"/>
        <w:gridCol w:w="1418"/>
        <w:gridCol w:w="992"/>
        <w:gridCol w:w="1559"/>
        <w:gridCol w:w="992"/>
        <w:gridCol w:w="1418"/>
        <w:gridCol w:w="714"/>
      </w:tblGrid>
      <w:tr w:rsidR="00B42F84" w:rsidTr="00F70BC0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ribicola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comandrae</w:t>
            </w:r>
            <w:proofErr w:type="spellEnd"/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Rep.</w:t>
            </w:r>
          </w:p>
        </w:tc>
      </w:tr>
      <w:tr w:rsidR="00B42F84" w:rsidTr="00F70BC0">
        <w:trPr>
          <w:trHeight w:val="375"/>
        </w:trPr>
        <w:tc>
          <w:tcPr>
            <w:tcW w:w="12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bscript"/>
              </w:rPr>
              <w:t>t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values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Standard dev.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bscript"/>
              </w:rPr>
              <w:t>t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values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Standard dev.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CR-BM-1.3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ribicola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CR-BM-1.8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CR-BM-2.1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CR-BM-3.4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CR-BM-3.61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CS-Sm1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PG-CC-C3.3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comandrae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SM-CC-1B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SM-CC-2A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SM-CC-2C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PS2Q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</w:tbl>
    <w:p w:rsidR="00B42F84" w:rsidRDefault="00B42F84" w:rsidP="00B42F84">
      <w:pPr>
        <w:spacing w:after="160" w:line="360" w:lineRule="auto"/>
        <w:rPr>
          <w:rFonts w:ascii="Calibri" w:eastAsia="Calibri" w:hAnsi="Calibri" w:cs="Calibri"/>
          <w:b/>
          <w:sz w:val="20"/>
          <w:szCs w:val="20"/>
        </w:rPr>
      </w:pPr>
    </w:p>
    <w:p w:rsidR="00B42F84" w:rsidRDefault="00B42F84" w:rsidP="00B42F84">
      <w:pPr>
        <w:spacing w:after="160"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B)</w:t>
      </w:r>
    </w:p>
    <w:tbl>
      <w:tblPr>
        <w:tblW w:w="8227" w:type="dxa"/>
        <w:tblLayout w:type="fixed"/>
        <w:tblLook w:val="0400" w:firstRow="0" w:lastRow="0" w:firstColumn="0" w:lastColumn="0" w:noHBand="0" w:noVBand="1"/>
      </w:tblPr>
      <w:tblGrid>
        <w:gridCol w:w="1276"/>
        <w:gridCol w:w="1418"/>
        <w:gridCol w:w="992"/>
        <w:gridCol w:w="1417"/>
        <w:gridCol w:w="993"/>
        <w:gridCol w:w="1417"/>
        <w:gridCol w:w="714"/>
      </w:tblGrid>
      <w:tr w:rsidR="00B42F84" w:rsidTr="00F70BC0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ribicola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comandrae</w:t>
            </w:r>
            <w:proofErr w:type="spellEnd"/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Rep.</w:t>
            </w:r>
          </w:p>
        </w:tc>
      </w:tr>
      <w:tr w:rsidR="00B42F84" w:rsidTr="00F70BC0">
        <w:trPr>
          <w:trHeight w:val="375"/>
        </w:trPr>
        <w:tc>
          <w:tcPr>
            <w:tcW w:w="1276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bscript"/>
              </w:rPr>
              <w:t>t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values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Standard dev.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bscript"/>
              </w:rPr>
              <w:t>t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values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Standard dev.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CR-BM-1.3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ribicola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CR-BM-1.8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CR-BM-2.1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CR-BM-3.4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CR-BM-3.61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CS-Sm1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PG-CC-C3.3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comandrae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SM-CC-1B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SM-CC-2A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SM-CC-2C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42F84" w:rsidTr="00F70BC0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PS2Q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42F84" w:rsidRDefault="00B42F84" w:rsidP="00F70BC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</w:tbl>
    <w:p w:rsidR="00B42F84" w:rsidRDefault="00B42F84" w:rsidP="00B42F84">
      <w:pPr>
        <w:spacing w:after="160" w:line="360" w:lineRule="auto"/>
        <w:rPr>
          <w:rFonts w:ascii="Calibri" w:eastAsia="Calibri" w:hAnsi="Calibri" w:cs="Calibri"/>
          <w:b/>
          <w:sz w:val="20"/>
          <w:szCs w:val="20"/>
        </w:rPr>
      </w:pPr>
    </w:p>
    <w:p w:rsidR="00B42F84" w:rsidRDefault="00B42F84">
      <w:bookmarkStart w:id="0" w:name="_GoBack"/>
      <w:bookmarkEnd w:id="0"/>
    </w:p>
    <w:sectPr w:rsidR="00B4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84"/>
    <w:rsid w:val="00B4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2F84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2F84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Guruprasath</dc:creator>
  <cp:lastModifiedBy>Guruprasath</cp:lastModifiedBy>
  <cp:revision>1</cp:revision>
  <dcterms:created xsi:type="dcterms:W3CDTF">2020-03-24T06:15:00Z</dcterms:created>
  <dcterms:modified xsi:type="dcterms:W3CDTF">2020-03-24T06:15:00Z</dcterms:modified>
</cp:coreProperties>
</file>