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19A67" w14:textId="1B9845AF" w:rsidR="00B24196" w:rsidRPr="00FC278B" w:rsidRDefault="00B24196" w:rsidP="00C20892">
      <w:pPr>
        <w:pStyle w:val="Heading1"/>
        <w:rPr>
          <w:rFonts w:ascii="Times New Roman" w:hAnsi="Times New Roman" w:cs="Times New Roman"/>
          <w:color w:val="auto"/>
          <w:sz w:val="20"/>
          <w:szCs w:val="20"/>
        </w:rPr>
      </w:pPr>
      <w:bookmarkStart w:id="0" w:name="_Toc535853106"/>
      <w:bookmarkStart w:id="1" w:name="_GoBack"/>
      <w:bookmarkEnd w:id="1"/>
      <w:r w:rsidRPr="00FC278B">
        <w:rPr>
          <w:rFonts w:ascii="Times New Roman" w:hAnsi="Times New Roman" w:cs="Times New Roman"/>
          <w:color w:val="auto"/>
          <w:sz w:val="22"/>
          <w:szCs w:val="20"/>
        </w:rPr>
        <w:t>S</w:t>
      </w:r>
      <w:r w:rsidR="00B067A4" w:rsidRPr="00FC278B">
        <w:rPr>
          <w:rFonts w:ascii="Times New Roman" w:hAnsi="Times New Roman" w:cs="Times New Roman"/>
          <w:color w:val="auto"/>
          <w:sz w:val="22"/>
          <w:szCs w:val="20"/>
        </w:rPr>
        <w:t>4</w:t>
      </w:r>
      <w:r w:rsidRPr="00FC278B">
        <w:rPr>
          <w:rFonts w:ascii="Times New Roman" w:hAnsi="Times New Roman" w:cs="Times New Roman"/>
          <w:color w:val="auto"/>
          <w:sz w:val="22"/>
          <w:szCs w:val="20"/>
        </w:rPr>
        <w:t xml:space="preserve"> Appendix</w:t>
      </w:r>
      <w:r w:rsidR="00FC278B">
        <w:rPr>
          <w:rFonts w:ascii="Times New Roman" w:hAnsi="Times New Roman" w:cs="Times New Roman"/>
          <w:color w:val="auto"/>
          <w:sz w:val="22"/>
          <w:szCs w:val="20"/>
        </w:rPr>
        <w:t xml:space="preserve">: </w:t>
      </w:r>
      <w:r w:rsidR="00B067A4" w:rsidRPr="00FC278B">
        <w:rPr>
          <w:rFonts w:ascii="Times New Roman" w:hAnsi="Times New Roman" w:cs="Times New Roman"/>
          <w:color w:val="auto"/>
          <w:sz w:val="22"/>
          <w:szCs w:val="20"/>
        </w:rPr>
        <w:t>Indicators</w:t>
      </w:r>
    </w:p>
    <w:p w14:paraId="3B7FBBDE" w14:textId="1A7A6C77" w:rsidR="00975564" w:rsidRPr="00C20892" w:rsidRDefault="009D1B8F" w:rsidP="00C20892">
      <w:pPr>
        <w:pStyle w:val="Heading1"/>
        <w:rPr>
          <w:rFonts w:ascii="Times New Roman" w:hAnsi="Times New Roman" w:cs="Times New Roman"/>
          <w:color w:val="auto"/>
          <w:sz w:val="20"/>
          <w:szCs w:val="20"/>
        </w:rPr>
      </w:pPr>
      <w:r>
        <w:rPr>
          <w:rFonts w:ascii="Times New Roman" w:hAnsi="Times New Roman" w:cs="Times New Roman"/>
          <w:color w:val="auto"/>
          <w:sz w:val="20"/>
          <w:szCs w:val="20"/>
        </w:rPr>
        <w:t>S</w:t>
      </w:r>
      <w:r w:rsidR="00B067A4">
        <w:rPr>
          <w:rFonts w:ascii="Times New Roman" w:hAnsi="Times New Roman" w:cs="Times New Roman"/>
          <w:color w:val="auto"/>
          <w:sz w:val="20"/>
          <w:szCs w:val="20"/>
        </w:rPr>
        <w:t>4</w:t>
      </w:r>
      <w:r>
        <w:rPr>
          <w:rFonts w:ascii="Times New Roman" w:hAnsi="Times New Roman" w:cs="Times New Roman"/>
          <w:color w:val="auto"/>
          <w:sz w:val="20"/>
          <w:szCs w:val="20"/>
        </w:rPr>
        <w:t xml:space="preserve"> </w:t>
      </w:r>
      <w:r w:rsidR="00B24196">
        <w:rPr>
          <w:rFonts w:ascii="Times New Roman" w:hAnsi="Times New Roman" w:cs="Times New Roman"/>
          <w:color w:val="auto"/>
          <w:sz w:val="20"/>
          <w:szCs w:val="20"/>
        </w:rPr>
        <w:t>T</w:t>
      </w:r>
      <w:r>
        <w:rPr>
          <w:rFonts w:ascii="Times New Roman" w:hAnsi="Times New Roman" w:cs="Times New Roman"/>
          <w:color w:val="auto"/>
          <w:sz w:val="20"/>
          <w:szCs w:val="20"/>
        </w:rPr>
        <w:t xml:space="preserve">able </w:t>
      </w:r>
      <w:r w:rsidR="00B24196">
        <w:rPr>
          <w:rFonts w:ascii="Times New Roman" w:hAnsi="Times New Roman" w:cs="Times New Roman"/>
          <w:color w:val="auto"/>
          <w:sz w:val="20"/>
          <w:szCs w:val="20"/>
        </w:rPr>
        <w:t>1</w:t>
      </w:r>
      <w:r w:rsidR="00975564" w:rsidRPr="00C20892">
        <w:rPr>
          <w:rFonts w:ascii="Times New Roman" w:hAnsi="Times New Roman" w:cs="Times New Roman"/>
          <w:color w:val="auto"/>
          <w:sz w:val="20"/>
          <w:szCs w:val="20"/>
        </w:rPr>
        <w:t>. Round one survey indicators that achieved ≥ 70% consensus level on both criteria</w:t>
      </w:r>
      <w:bookmarkEnd w:id="0"/>
      <w:r w:rsidR="00975564" w:rsidRPr="00C20892">
        <w:rPr>
          <w:rFonts w:ascii="Times New Roman" w:hAnsi="Times New Roman" w:cs="Times New Roman"/>
          <w:color w:val="auto"/>
          <w:sz w:val="20"/>
          <w:szCs w:val="20"/>
        </w:rPr>
        <w:t xml:space="preserve"> </w:t>
      </w:r>
    </w:p>
    <w:tbl>
      <w:tblPr>
        <w:tblStyle w:val="TableGrid1"/>
        <w:tblW w:w="14109" w:type="dxa"/>
        <w:tblLayout w:type="fixed"/>
        <w:tblLook w:val="04A0" w:firstRow="1" w:lastRow="0" w:firstColumn="1" w:lastColumn="0" w:noHBand="0" w:noVBand="1"/>
      </w:tblPr>
      <w:tblGrid>
        <w:gridCol w:w="5920"/>
        <w:gridCol w:w="1663"/>
        <w:gridCol w:w="1168"/>
        <w:gridCol w:w="1311"/>
        <w:gridCol w:w="1495"/>
        <w:gridCol w:w="1276"/>
        <w:gridCol w:w="1276"/>
      </w:tblGrid>
      <w:tr w:rsidR="00975564" w:rsidRPr="00975564" w14:paraId="7CF83D7E" w14:textId="77777777" w:rsidTr="00975564">
        <w:trPr>
          <w:tblHeader/>
        </w:trPr>
        <w:tc>
          <w:tcPr>
            <w:tcW w:w="5920" w:type="dxa"/>
            <w:tcBorders>
              <w:top w:val="nil"/>
              <w:left w:val="nil"/>
            </w:tcBorders>
          </w:tcPr>
          <w:p w14:paraId="2E571415" w14:textId="77777777" w:rsidR="00975564" w:rsidRPr="00975564" w:rsidRDefault="00975564" w:rsidP="00975564">
            <w:pPr>
              <w:tabs>
                <w:tab w:val="left" w:pos="3505"/>
              </w:tabs>
              <w:rPr>
                <w:rFonts w:ascii="Times New Roman" w:hAnsi="Times New Roman" w:cs="Times New Roman"/>
                <w:sz w:val="20"/>
                <w:szCs w:val="20"/>
              </w:rPr>
            </w:pPr>
            <w:r w:rsidRPr="00975564">
              <w:rPr>
                <w:rFonts w:ascii="Times New Roman" w:hAnsi="Times New Roman" w:cs="Times New Roman"/>
                <w:sz w:val="20"/>
                <w:szCs w:val="20"/>
              </w:rPr>
              <w:tab/>
            </w:r>
          </w:p>
        </w:tc>
        <w:tc>
          <w:tcPr>
            <w:tcW w:w="4142" w:type="dxa"/>
            <w:gridSpan w:val="3"/>
          </w:tcPr>
          <w:p w14:paraId="5DAA3AB3" w14:textId="77777777" w:rsidR="00975564" w:rsidRPr="00975564" w:rsidRDefault="00975564" w:rsidP="00975564">
            <w:pPr>
              <w:jc w:val="center"/>
              <w:rPr>
                <w:rFonts w:ascii="Times New Roman" w:hAnsi="Times New Roman" w:cs="Times New Roman"/>
                <w:b/>
                <w:sz w:val="20"/>
                <w:szCs w:val="20"/>
              </w:rPr>
            </w:pPr>
          </w:p>
          <w:p w14:paraId="669AD365" w14:textId="77777777" w:rsidR="00975564" w:rsidRPr="00975564" w:rsidRDefault="00975564" w:rsidP="00975564">
            <w:pPr>
              <w:jc w:val="center"/>
              <w:rPr>
                <w:rFonts w:ascii="Times New Roman" w:hAnsi="Times New Roman" w:cs="Times New Roman"/>
                <w:b/>
                <w:sz w:val="20"/>
                <w:szCs w:val="20"/>
              </w:rPr>
            </w:pPr>
            <w:r w:rsidRPr="00975564">
              <w:rPr>
                <w:rFonts w:ascii="Times New Roman" w:hAnsi="Times New Roman" w:cs="Times New Roman"/>
                <w:b/>
                <w:sz w:val="20"/>
                <w:szCs w:val="20"/>
              </w:rPr>
              <w:t>Important</w:t>
            </w:r>
          </w:p>
        </w:tc>
        <w:tc>
          <w:tcPr>
            <w:tcW w:w="4047" w:type="dxa"/>
            <w:gridSpan w:val="3"/>
          </w:tcPr>
          <w:p w14:paraId="5CACB8E2" w14:textId="77777777" w:rsidR="00975564" w:rsidRPr="00975564" w:rsidRDefault="00975564" w:rsidP="00975564">
            <w:pPr>
              <w:jc w:val="center"/>
              <w:rPr>
                <w:rFonts w:ascii="Times New Roman" w:hAnsi="Times New Roman" w:cs="Times New Roman"/>
                <w:b/>
                <w:sz w:val="20"/>
                <w:szCs w:val="20"/>
              </w:rPr>
            </w:pPr>
          </w:p>
          <w:p w14:paraId="693DA538" w14:textId="77777777" w:rsidR="00975564" w:rsidRPr="00975564" w:rsidRDefault="00975564" w:rsidP="00975564">
            <w:pPr>
              <w:jc w:val="center"/>
              <w:rPr>
                <w:rFonts w:ascii="Times New Roman" w:hAnsi="Times New Roman" w:cs="Times New Roman"/>
                <w:b/>
                <w:sz w:val="20"/>
                <w:szCs w:val="20"/>
              </w:rPr>
            </w:pPr>
            <w:r w:rsidRPr="00975564">
              <w:rPr>
                <w:rFonts w:ascii="Times New Roman" w:hAnsi="Times New Roman" w:cs="Times New Roman"/>
                <w:b/>
                <w:sz w:val="20"/>
                <w:szCs w:val="20"/>
              </w:rPr>
              <w:t>Actionable</w:t>
            </w:r>
          </w:p>
        </w:tc>
      </w:tr>
      <w:tr w:rsidR="00975564" w:rsidRPr="00975564" w14:paraId="27CC9016" w14:textId="77777777" w:rsidTr="00975564">
        <w:trPr>
          <w:tblHeader/>
        </w:trPr>
        <w:tc>
          <w:tcPr>
            <w:tcW w:w="5920" w:type="dxa"/>
            <w:tcBorders>
              <w:bottom w:val="single" w:sz="4" w:space="0" w:color="auto"/>
            </w:tcBorders>
            <w:vAlign w:val="center"/>
          </w:tcPr>
          <w:p w14:paraId="5A5BF70B" w14:textId="77777777" w:rsidR="00975564" w:rsidRPr="00975564" w:rsidRDefault="00975564" w:rsidP="00975564">
            <w:pPr>
              <w:jc w:val="center"/>
              <w:rPr>
                <w:rFonts w:ascii="Times New Roman" w:hAnsi="Times New Roman" w:cs="Times New Roman"/>
                <w:b/>
                <w:sz w:val="20"/>
                <w:szCs w:val="20"/>
              </w:rPr>
            </w:pPr>
            <w:r w:rsidRPr="00975564">
              <w:rPr>
                <w:rFonts w:ascii="Times New Roman" w:hAnsi="Times New Roman" w:cs="Times New Roman"/>
                <w:b/>
                <w:sz w:val="20"/>
                <w:szCs w:val="20"/>
              </w:rPr>
              <w:t>Indicators (n=41)</w:t>
            </w:r>
          </w:p>
        </w:tc>
        <w:tc>
          <w:tcPr>
            <w:tcW w:w="1663" w:type="dxa"/>
            <w:tcBorders>
              <w:right w:val="nil"/>
            </w:tcBorders>
            <w:vAlign w:val="center"/>
          </w:tcPr>
          <w:p w14:paraId="15214CF8" w14:textId="77777777" w:rsidR="00975564" w:rsidRPr="00975564" w:rsidRDefault="00975564" w:rsidP="00975564">
            <w:pPr>
              <w:jc w:val="center"/>
              <w:rPr>
                <w:rFonts w:ascii="Times New Roman" w:hAnsi="Times New Roman" w:cs="Times New Roman"/>
                <w:b/>
                <w:sz w:val="20"/>
                <w:szCs w:val="20"/>
              </w:rPr>
            </w:pPr>
            <w:r w:rsidRPr="00975564">
              <w:rPr>
                <w:rFonts w:ascii="Times New Roman" w:hAnsi="Times New Roman" w:cs="Times New Roman"/>
                <w:b/>
                <w:sz w:val="20"/>
                <w:szCs w:val="20"/>
              </w:rPr>
              <w:t>Median (IQR)</w:t>
            </w:r>
          </w:p>
        </w:tc>
        <w:tc>
          <w:tcPr>
            <w:tcW w:w="1168" w:type="dxa"/>
            <w:tcBorders>
              <w:left w:val="nil"/>
              <w:right w:val="nil"/>
            </w:tcBorders>
            <w:vAlign w:val="center"/>
          </w:tcPr>
          <w:p w14:paraId="3992961E" w14:textId="77777777" w:rsidR="00975564" w:rsidRPr="00975564" w:rsidRDefault="00975564" w:rsidP="00975564">
            <w:pPr>
              <w:jc w:val="center"/>
              <w:rPr>
                <w:rFonts w:ascii="Times New Roman" w:hAnsi="Times New Roman" w:cs="Times New Roman"/>
                <w:b/>
                <w:sz w:val="20"/>
                <w:szCs w:val="20"/>
              </w:rPr>
            </w:pPr>
            <w:r w:rsidRPr="00975564">
              <w:rPr>
                <w:rFonts w:ascii="Times New Roman" w:hAnsi="Times New Roman" w:cs="Times New Roman"/>
                <w:b/>
                <w:sz w:val="20"/>
                <w:szCs w:val="20"/>
              </w:rPr>
              <w:t>No. (n=33)</w:t>
            </w:r>
          </w:p>
        </w:tc>
        <w:tc>
          <w:tcPr>
            <w:tcW w:w="1311" w:type="dxa"/>
            <w:tcBorders>
              <w:left w:val="nil"/>
            </w:tcBorders>
            <w:vAlign w:val="center"/>
          </w:tcPr>
          <w:p w14:paraId="4795D670" w14:textId="77777777" w:rsidR="00975564" w:rsidRPr="00975564" w:rsidRDefault="00975564" w:rsidP="00975564">
            <w:pPr>
              <w:jc w:val="center"/>
              <w:rPr>
                <w:rFonts w:ascii="Times New Roman" w:hAnsi="Times New Roman" w:cs="Times New Roman"/>
                <w:b/>
                <w:sz w:val="20"/>
                <w:szCs w:val="20"/>
              </w:rPr>
            </w:pPr>
            <w:r w:rsidRPr="00975564">
              <w:rPr>
                <w:rFonts w:ascii="Times New Roman" w:hAnsi="Times New Roman" w:cs="Times New Roman"/>
                <w:b/>
                <w:sz w:val="20"/>
                <w:szCs w:val="20"/>
              </w:rPr>
              <w:t>Consensus</w:t>
            </w:r>
          </w:p>
          <w:p w14:paraId="5A5062D9" w14:textId="77777777" w:rsidR="00975564" w:rsidRPr="00975564" w:rsidRDefault="00975564" w:rsidP="00975564">
            <w:pPr>
              <w:jc w:val="center"/>
              <w:rPr>
                <w:rFonts w:ascii="Times New Roman" w:hAnsi="Times New Roman" w:cs="Times New Roman"/>
                <w:b/>
                <w:sz w:val="20"/>
                <w:szCs w:val="20"/>
              </w:rPr>
            </w:pPr>
            <w:r w:rsidRPr="00975564">
              <w:rPr>
                <w:rFonts w:ascii="Times New Roman" w:hAnsi="Times New Roman" w:cs="Times New Roman"/>
                <w:b/>
                <w:sz w:val="20"/>
                <w:szCs w:val="20"/>
              </w:rPr>
              <w:t xml:space="preserve"> Level (%)</w:t>
            </w:r>
          </w:p>
        </w:tc>
        <w:tc>
          <w:tcPr>
            <w:tcW w:w="1495" w:type="dxa"/>
            <w:tcBorders>
              <w:right w:val="nil"/>
            </w:tcBorders>
            <w:vAlign w:val="center"/>
          </w:tcPr>
          <w:p w14:paraId="58ED08B4" w14:textId="77777777" w:rsidR="00975564" w:rsidRPr="00975564" w:rsidRDefault="00975564" w:rsidP="00975564">
            <w:pPr>
              <w:jc w:val="center"/>
              <w:rPr>
                <w:rFonts w:ascii="Times New Roman" w:hAnsi="Times New Roman" w:cs="Times New Roman"/>
                <w:b/>
                <w:sz w:val="20"/>
                <w:szCs w:val="20"/>
              </w:rPr>
            </w:pPr>
            <w:r w:rsidRPr="00975564">
              <w:rPr>
                <w:rFonts w:ascii="Times New Roman" w:hAnsi="Times New Roman" w:cs="Times New Roman"/>
                <w:b/>
                <w:sz w:val="20"/>
                <w:szCs w:val="20"/>
              </w:rPr>
              <w:t>Median (IQR)</w:t>
            </w:r>
          </w:p>
        </w:tc>
        <w:tc>
          <w:tcPr>
            <w:tcW w:w="1276" w:type="dxa"/>
            <w:tcBorders>
              <w:left w:val="nil"/>
              <w:right w:val="nil"/>
            </w:tcBorders>
            <w:vAlign w:val="center"/>
          </w:tcPr>
          <w:p w14:paraId="1873D47C" w14:textId="77777777" w:rsidR="00975564" w:rsidRPr="00975564" w:rsidRDefault="00975564" w:rsidP="00975564">
            <w:pPr>
              <w:jc w:val="center"/>
              <w:rPr>
                <w:rFonts w:ascii="Times New Roman" w:hAnsi="Times New Roman" w:cs="Times New Roman"/>
                <w:b/>
                <w:sz w:val="20"/>
                <w:szCs w:val="20"/>
              </w:rPr>
            </w:pPr>
            <w:r w:rsidRPr="00975564">
              <w:rPr>
                <w:rFonts w:ascii="Times New Roman" w:hAnsi="Times New Roman" w:cs="Times New Roman"/>
                <w:b/>
                <w:sz w:val="20"/>
                <w:szCs w:val="20"/>
              </w:rPr>
              <w:t>No.     (n=33)</w:t>
            </w:r>
          </w:p>
        </w:tc>
        <w:tc>
          <w:tcPr>
            <w:tcW w:w="1276" w:type="dxa"/>
            <w:tcBorders>
              <w:left w:val="nil"/>
            </w:tcBorders>
            <w:vAlign w:val="center"/>
          </w:tcPr>
          <w:p w14:paraId="2EAB4C86" w14:textId="77777777" w:rsidR="00975564" w:rsidRPr="00975564" w:rsidRDefault="00975564" w:rsidP="00975564">
            <w:pPr>
              <w:jc w:val="center"/>
              <w:rPr>
                <w:rFonts w:ascii="Times New Roman" w:hAnsi="Times New Roman" w:cs="Times New Roman"/>
                <w:b/>
                <w:sz w:val="20"/>
                <w:szCs w:val="20"/>
              </w:rPr>
            </w:pPr>
            <w:r w:rsidRPr="00975564">
              <w:rPr>
                <w:rFonts w:ascii="Times New Roman" w:hAnsi="Times New Roman" w:cs="Times New Roman"/>
                <w:b/>
                <w:sz w:val="20"/>
                <w:szCs w:val="20"/>
              </w:rPr>
              <w:t>Consensus</w:t>
            </w:r>
          </w:p>
          <w:p w14:paraId="7CA38259" w14:textId="77777777" w:rsidR="00975564" w:rsidRPr="00975564" w:rsidRDefault="00975564" w:rsidP="00975564">
            <w:pPr>
              <w:jc w:val="center"/>
              <w:rPr>
                <w:rFonts w:ascii="Times New Roman" w:hAnsi="Times New Roman" w:cs="Times New Roman"/>
                <w:b/>
                <w:sz w:val="20"/>
                <w:szCs w:val="20"/>
              </w:rPr>
            </w:pPr>
            <w:r w:rsidRPr="00975564">
              <w:rPr>
                <w:rFonts w:ascii="Times New Roman" w:hAnsi="Times New Roman" w:cs="Times New Roman"/>
                <w:b/>
                <w:sz w:val="20"/>
                <w:szCs w:val="20"/>
              </w:rPr>
              <w:t xml:space="preserve">  Level (%)</w:t>
            </w:r>
          </w:p>
        </w:tc>
      </w:tr>
      <w:tr w:rsidR="00975564" w:rsidRPr="00975564" w14:paraId="0D6EF69D" w14:textId="77777777" w:rsidTr="00975564">
        <w:trPr>
          <w:trHeight w:val="283"/>
        </w:trPr>
        <w:tc>
          <w:tcPr>
            <w:tcW w:w="5920" w:type="dxa"/>
            <w:tcBorders>
              <w:bottom w:val="single" w:sz="4" w:space="0" w:color="auto"/>
            </w:tcBorders>
            <w:shd w:val="clear" w:color="auto" w:fill="595959" w:themeFill="text1" w:themeFillTint="A6"/>
            <w:vAlign w:val="center"/>
          </w:tcPr>
          <w:p w14:paraId="6DC06A4A" w14:textId="77777777" w:rsidR="00975564" w:rsidRPr="00975564" w:rsidRDefault="00975564" w:rsidP="00975564">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Governance and Leadership</w:t>
            </w:r>
          </w:p>
        </w:tc>
        <w:tc>
          <w:tcPr>
            <w:tcW w:w="1663" w:type="dxa"/>
            <w:tcBorders>
              <w:bottom w:val="single" w:sz="4" w:space="0" w:color="auto"/>
              <w:right w:val="nil"/>
            </w:tcBorders>
            <w:shd w:val="clear" w:color="auto" w:fill="595959" w:themeFill="text1" w:themeFillTint="A6"/>
          </w:tcPr>
          <w:p w14:paraId="09BA91F8"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168" w:type="dxa"/>
            <w:tcBorders>
              <w:left w:val="nil"/>
              <w:bottom w:val="single" w:sz="4" w:space="0" w:color="auto"/>
              <w:right w:val="nil"/>
            </w:tcBorders>
            <w:shd w:val="clear" w:color="auto" w:fill="595959" w:themeFill="text1" w:themeFillTint="A6"/>
          </w:tcPr>
          <w:p w14:paraId="557E9EF3"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311" w:type="dxa"/>
            <w:tcBorders>
              <w:left w:val="nil"/>
              <w:bottom w:val="single" w:sz="4" w:space="0" w:color="auto"/>
            </w:tcBorders>
            <w:shd w:val="clear" w:color="auto" w:fill="595959" w:themeFill="text1" w:themeFillTint="A6"/>
          </w:tcPr>
          <w:p w14:paraId="75A4B188"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495" w:type="dxa"/>
            <w:tcBorders>
              <w:bottom w:val="single" w:sz="4" w:space="0" w:color="auto"/>
              <w:right w:val="nil"/>
            </w:tcBorders>
            <w:shd w:val="clear" w:color="auto" w:fill="595959" w:themeFill="text1" w:themeFillTint="A6"/>
          </w:tcPr>
          <w:p w14:paraId="4A3BA5C4"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276" w:type="dxa"/>
            <w:tcBorders>
              <w:left w:val="nil"/>
              <w:bottom w:val="single" w:sz="4" w:space="0" w:color="auto"/>
              <w:right w:val="nil"/>
            </w:tcBorders>
            <w:shd w:val="clear" w:color="auto" w:fill="595959" w:themeFill="text1" w:themeFillTint="A6"/>
          </w:tcPr>
          <w:p w14:paraId="6D5337AD"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276" w:type="dxa"/>
            <w:tcBorders>
              <w:left w:val="nil"/>
              <w:bottom w:val="single" w:sz="4" w:space="0" w:color="auto"/>
            </w:tcBorders>
            <w:shd w:val="clear" w:color="auto" w:fill="595959" w:themeFill="text1" w:themeFillTint="A6"/>
          </w:tcPr>
          <w:p w14:paraId="2C8BE222" w14:textId="77777777" w:rsidR="00975564" w:rsidRPr="00975564" w:rsidRDefault="00975564" w:rsidP="00975564">
            <w:pPr>
              <w:jc w:val="center"/>
              <w:rPr>
                <w:rFonts w:ascii="Times New Roman" w:hAnsi="Times New Roman" w:cs="Times New Roman"/>
                <w:b/>
                <w:color w:val="FFFFFF" w:themeColor="background1"/>
                <w:sz w:val="20"/>
                <w:szCs w:val="20"/>
              </w:rPr>
            </w:pPr>
          </w:p>
        </w:tc>
      </w:tr>
      <w:tr w:rsidR="00975564" w:rsidRPr="00975564" w14:paraId="1F178460" w14:textId="77777777" w:rsidTr="00975564">
        <w:trPr>
          <w:trHeight w:val="630"/>
        </w:trPr>
        <w:tc>
          <w:tcPr>
            <w:tcW w:w="5920" w:type="dxa"/>
            <w:hideMark/>
          </w:tcPr>
          <w:p w14:paraId="74F7AAB7"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1. The public health agency aligns its emergency plans and/or protocols with provincial, territorial and/or federal policy on public health and emergency management.</w:t>
            </w:r>
          </w:p>
        </w:tc>
        <w:tc>
          <w:tcPr>
            <w:tcW w:w="1663" w:type="dxa"/>
            <w:tcBorders>
              <w:right w:val="nil"/>
            </w:tcBorders>
            <w:noWrap/>
            <w:vAlign w:val="center"/>
          </w:tcPr>
          <w:p w14:paraId="5C5D2BD6"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7D67863B"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31</w:t>
            </w:r>
          </w:p>
        </w:tc>
        <w:tc>
          <w:tcPr>
            <w:tcW w:w="1311" w:type="dxa"/>
            <w:tcBorders>
              <w:left w:val="nil"/>
            </w:tcBorders>
            <w:noWrap/>
            <w:vAlign w:val="center"/>
          </w:tcPr>
          <w:p w14:paraId="07958F4E"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93.9</w:t>
            </w:r>
          </w:p>
        </w:tc>
        <w:tc>
          <w:tcPr>
            <w:tcW w:w="1495" w:type="dxa"/>
            <w:tcBorders>
              <w:right w:val="nil"/>
            </w:tcBorders>
            <w:noWrap/>
            <w:vAlign w:val="center"/>
          </w:tcPr>
          <w:p w14:paraId="0FA75F35"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276" w:type="dxa"/>
            <w:tcBorders>
              <w:left w:val="nil"/>
              <w:right w:val="nil"/>
            </w:tcBorders>
            <w:noWrap/>
            <w:vAlign w:val="center"/>
          </w:tcPr>
          <w:p w14:paraId="22FC2CC0"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31</w:t>
            </w:r>
          </w:p>
        </w:tc>
        <w:tc>
          <w:tcPr>
            <w:tcW w:w="1276" w:type="dxa"/>
            <w:tcBorders>
              <w:left w:val="nil"/>
            </w:tcBorders>
            <w:noWrap/>
            <w:vAlign w:val="center"/>
          </w:tcPr>
          <w:p w14:paraId="3F4D99F1"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93.9</w:t>
            </w:r>
          </w:p>
        </w:tc>
      </w:tr>
      <w:tr w:rsidR="00975564" w:rsidRPr="00975564" w14:paraId="164422B1" w14:textId="77777777" w:rsidTr="00975564">
        <w:trPr>
          <w:trHeight w:val="945"/>
        </w:trPr>
        <w:tc>
          <w:tcPr>
            <w:tcW w:w="5920" w:type="dxa"/>
            <w:hideMark/>
          </w:tcPr>
          <w:p w14:paraId="643E17D6"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2. The public health agency is a member of a local/regional multidisciplinary structure that aims to reduce community risks to emergencies and disasters. Network partners involved in this structure may include transportation, planners, industry, local/regional elected officials.</w:t>
            </w:r>
          </w:p>
        </w:tc>
        <w:tc>
          <w:tcPr>
            <w:tcW w:w="1663" w:type="dxa"/>
            <w:tcBorders>
              <w:right w:val="nil"/>
            </w:tcBorders>
            <w:noWrap/>
            <w:vAlign w:val="center"/>
          </w:tcPr>
          <w:p w14:paraId="3D255917"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5CD793DB"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31</w:t>
            </w:r>
          </w:p>
        </w:tc>
        <w:tc>
          <w:tcPr>
            <w:tcW w:w="1311" w:type="dxa"/>
            <w:tcBorders>
              <w:left w:val="nil"/>
            </w:tcBorders>
            <w:noWrap/>
            <w:vAlign w:val="center"/>
          </w:tcPr>
          <w:p w14:paraId="555023DB"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93.9</w:t>
            </w:r>
          </w:p>
        </w:tc>
        <w:tc>
          <w:tcPr>
            <w:tcW w:w="1495" w:type="dxa"/>
            <w:tcBorders>
              <w:right w:val="nil"/>
            </w:tcBorders>
            <w:noWrap/>
            <w:vAlign w:val="center"/>
          </w:tcPr>
          <w:p w14:paraId="7E7C6697"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(2)</w:t>
            </w:r>
          </w:p>
        </w:tc>
        <w:tc>
          <w:tcPr>
            <w:tcW w:w="1276" w:type="dxa"/>
            <w:tcBorders>
              <w:left w:val="nil"/>
              <w:right w:val="nil"/>
            </w:tcBorders>
            <w:noWrap/>
            <w:vAlign w:val="center"/>
          </w:tcPr>
          <w:p w14:paraId="0578AD7D"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24</w:t>
            </w:r>
          </w:p>
        </w:tc>
        <w:tc>
          <w:tcPr>
            <w:tcW w:w="1276" w:type="dxa"/>
            <w:tcBorders>
              <w:left w:val="nil"/>
            </w:tcBorders>
            <w:noWrap/>
            <w:vAlign w:val="center"/>
          </w:tcPr>
          <w:p w14:paraId="01A446FE"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72.7</w:t>
            </w:r>
          </w:p>
        </w:tc>
      </w:tr>
      <w:tr w:rsidR="00975564" w:rsidRPr="00975564" w14:paraId="1D03B603" w14:textId="77777777" w:rsidTr="00975564">
        <w:trPr>
          <w:trHeight w:val="1260"/>
        </w:trPr>
        <w:tc>
          <w:tcPr>
            <w:tcW w:w="5920" w:type="dxa"/>
            <w:hideMark/>
          </w:tcPr>
          <w:p w14:paraId="4EF39E6B"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3. The public health agency is a member of a local/regional structure for health-sector emergency management that aims to coordinate health system preparedness for emergencies. Network partners involved in this structure may include; for example, acute care, primary care, or emergency medical services, depending on the jurisdiction.</w:t>
            </w:r>
          </w:p>
        </w:tc>
        <w:tc>
          <w:tcPr>
            <w:tcW w:w="1663" w:type="dxa"/>
            <w:tcBorders>
              <w:right w:val="nil"/>
            </w:tcBorders>
            <w:noWrap/>
            <w:vAlign w:val="center"/>
          </w:tcPr>
          <w:p w14:paraId="73114419"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 (1)</w:t>
            </w:r>
          </w:p>
        </w:tc>
        <w:tc>
          <w:tcPr>
            <w:tcW w:w="1168" w:type="dxa"/>
            <w:tcBorders>
              <w:left w:val="nil"/>
              <w:right w:val="nil"/>
            </w:tcBorders>
            <w:noWrap/>
            <w:vAlign w:val="center"/>
          </w:tcPr>
          <w:p w14:paraId="786E77B4"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32</w:t>
            </w:r>
          </w:p>
        </w:tc>
        <w:tc>
          <w:tcPr>
            <w:tcW w:w="1311" w:type="dxa"/>
            <w:tcBorders>
              <w:left w:val="nil"/>
            </w:tcBorders>
            <w:noWrap/>
            <w:vAlign w:val="center"/>
          </w:tcPr>
          <w:p w14:paraId="40F321B6"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97.0</w:t>
            </w:r>
          </w:p>
        </w:tc>
        <w:tc>
          <w:tcPr>
            <w:tcW w:w="1495" w:type="dxa"/>
            <w:tcBorders>
              <w:right w:val="nil"/>
            </w:tcBorders>
            <w:noWrap/>
            <w:vAlign w:val="center"/>
          </w:tcPr>
          <w:p w14:paraId="4A611D8E"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276" w:type="dxa"/>
            <w:tcBorders>
              <w:left w:val="nil"/>
              <w:right w:val="nil"/>
            </w:tcBorders>
            <w:noWrap/>
            <w:vAlign w:val="center"/>
          </w:tcPr>
          <w:p w14:paraId="0AB7B3A5"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29</w:t>
            </w:r>
          </w:p>
        </w:tc>
        <w:tc>
          <w:tcPr>
            <w:tcW w:w="1276" w:type="dxa"/>
            <w:tcBorders>
              <w:left w:val="nil"/>
            </w:tcBorders>
            <w:noWrap/>
            <w:vAlign w:val="center"/>
          </w:tcPr>
          <w:p w14:paraId="4473795D"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87.9</w:t>
            </w:r>
          </w:p>
        </w:tc>
      </w:tr>
      <w:tr w:rsidR="00975564" w:rsidRPr="00975564" w14:paraId="7867D630" w14:textId="77777777" w:rsidTr="00975564">
        <w:trPr>
          <w:trHeight w:val="630"/>
        </w:trPr>
        <w:tc>
          <w:tcPr>
            <w:tcW w:w="5920" w:type="dxa"/>
            <w:hideMark/>
          </w:tcPr>
          <w:p w14:paraId="326A40AC"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4. The public health agency’s policies describe the authority and procedures under which it would respond to an emergency in a supportive role.</w:t>
            </w:r>
          </w:p>
        </w:tc>
        <w:tc>
          <w:tcPr>
            <w:tcW w:w="1663" w:type="dxa"/>
            <w:tcBorders>
              <w:right w:val="nil"/>
            </w:tcBorders>
            <w:noWrap/>
            <w:vAlign w:val="center"/>
          </w:tcPr>
          <w:p w14:paraId="313FC713"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76C4ED67"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32</w:t>
            </w:r>
          </w:p>
        </w:tc>
        <w:tc>
          <w:tcPr>
            <w:tcW w:w="1311" w:type="dxa"/>
            <w:tcBorders>
              <w:left w:val="nil"/>
            </w:tcBorders>
            <w:noWrap/>
            <w:vAlign w:val="center"/>
          </w:tcPr>
          <w:p w14:paraId="7BD48FE3"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97.0</w:t>
            </w:r>
          </w:p>
        </w:tc>
        <w:tc>
          <w:tcPr>
            <w:tcW w:w="1495" w:type="dxa"/>
            <w:tcBorders>
              <w:right w:val="nil"/>
            </w:tcBorders>
            <w:noWrap/>
            <w:vAlign w:val="center"/>
          </w:tcPr>
          <w:p w14:paraId="24A0E0E4"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276" w:type="dxa"/>
            <w:tcBorders>
              <w:left w:val="nil"/>
              <w:right w:val="nil"/>
            </w:tcBorders>
            <w:noWrap/>
            <w:vAlign w:val="center"/>
          </w:tcPr>
          <w:p w14:paraId="4AE0542F"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28</w:t>
            </w:r>
          </w:p>
        </w:tc>
        <w:tc>
          <w:tcPr>
            <w:tcW w:w="1276" w:type="dxa"/>
            <w:tcBorders>
              <w:left w:val="nil"/>
            </w:tcBorders>
            <w:noWrap/>
            <w:vAlign w:val="center"/>
          </w:tcPr>
          <w:p w14:paraId="1B0A623F"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84.8</w:t>
            </w:r>
          </w:p>
        </w:tc>
      </w:tr>
      <w:tr w:rsidR="00975564" w:rsidRPr="00975564" w14:paraId="64A5487E" w14:textId="77777777" w:rsidTr="00975564">
        <w:trPr>
          <w:trHeight w:val="630"/>
        </w:trPr>
        <w:tc>
          <w:tcPr>
            <w:tcW w:w="5920" w:type="dxa"/>
            <w:hideMark/>
          </w:tcPr>
          <w:p w14:paraId="4290DE55"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5. The public health agency’s policies describe the authority and procedures under which it would respond to an emergency in a supportive role to the lead agency.</w:t>
            </w:r>
          </w:p>
        </w:tc>
        <w:tc>
          <w:tcPr>
            <w:tcW w:w="1663" w:type="dxa"/>
            <w:tcBorders>
              <w:right w:val="nil"/>
            </w:tcBorders>
            <w:noWrap/>
            <w:vAlign w:val="center"/>
          </w:tcPr>
          <w:p w14:paraId="4AAE3620"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185F3BE6"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31</w:t>
            </w:r>
          </w:p>
        </w:tc>
        <w:tc>
          <w:tcPr>
            <w:tcW w:w="1311" w:type="dxa"/>
            <w:tcBorders>
              <w:left w:val="nil"/>
            </w:tcBorders>
            <w:noWrap/>
            <w:vAlign w:val="center"/>
          </w:tcPr>
          <w:p w14:paraId="1889AAF8"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93.9</w:t>
            </w:r>
          </w:p>
        </w:tc>
        <w:tc>
          <w:tcPr>
            <w:tcW w:w="1495" w:type="dxa"/>
            <w:tcBorders>
              <w:right w:val="nil"/>
            </w:tcBorders>
            <w:noWrap/>
            <w:vAlign w:val="center"/>
          </w:tcPr>
          <w:p w14:paraId="74709959"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(0)</w:t>
            </w:r>
          </w:p>
        </w:tc>
        <w:tc>
          <w:tcPr>
            <w:tcW w:w="1276" w:type="dxa"/>
            <w:tcBorders>
              <w:left w:val="nil"/>
              <w:right w:val="nil"/>
            </w:tcBorders>
            <w:noWrap/>
            <w:vAlign w:val="center"/>
          </w:tcPr>
          <w:p w14:paraId="1EB7E073"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29</w:t>
            </w:r>
          </w:p>
        </w:tc>
        <w:tc>
          <w:tcPr>
            <w:tcW w:w="1276" w:type="dxa"/>
            <w:tcBorders>
              <w:left w:val="nil"/>
            </w:tcBorders>
            <w:noWrap/>
            <w:vAlign w:val="center"/>
          </w:tcPr>
          <w:p w14:paraId="0F2A4BA9"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87.9</w:t>
            </w:r>
          </w:p>
        </w:tc>
      </w:tr>
      <w:tr w:rsidR="00975564" w:rsidRPr="00975564" w14:paraId="53CDFFD5" w14:textId="77777777" w:rsidTr="00975564">
        <w:trPr>
          <w:trHeight w:val="630"/>
        </w:trPr>
        <w:tc>
          <w:tcPr>
            <w:tcW w:w="5920" w:type="dxa"/>
            <w:hideMark/>
          </w:tcPr>
          <w:p w14:paraId="33DAE929"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6. The public health agency’s policies define the conditions and procedures for using incident management structures and processes to coordinate agency activities in emergencies.</w:t>
            </w:r>
          </w:p>
        </w:tc>
        <w:tc>
          <w:tcPr>
            <w:tcW w:w="1663" w:type="dxa"/>
            <w:tcBorders>
              <w:right w:val="nil"/>
            </w:tcBorders>
            <w:noWrap/>
            <w:vAlign w:val="center"/>
          </w:tcPr>
          <w:p w14:paraId="702F8622"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6A39C80D"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32</w:t>
            </w:r>
          </w:p>
        </w:tc>
        <w:tc>
          <w:tcPr>
            <w:tcW w:w="1311" w:type="dxa"/>
            <w:tcBorders>
              <w:left w:val="nil"/>
            </w:tcBorders>
            <w:noWrap/>
            <w:vAlign w:val="center"/>
          </w:tcPr>
          <w:p w14:paraId="45BC84BF"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97.0</w:t>
            </w:r>
          </w:p>
        </w:tc>
        <w:tc>
          <w:tcPr>
            <w:tcW w:w="1495" w:type="dxa"/>
            <w:tcBorders>
              <w:right w:val="nil"/>
            </w:tcBorders>
            <w:noWrap/>
            <w:vAlign w:val="center"/>
          </w:tcPr>
          <w:p w14:paraId="6C3D6E0C"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276" w:type="dxa"/>
            <w:tcBorders>
              <w:left w:val="nil"/>
              <w:right w:val="nil"/>
            </w:tcBorders>
            <w:noWrap/>
            <w:vAlign w:val="center"/>
          </w:tcPr>
          <w:p w14:paraId="0BB3BA53"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27</w:t>
            </w:r>
          </w:p>
        </w:tc>
        <w:tc>
          <w:tcPr>
            <w:tcW w:w="1276" w:type="dxa"/>
            <w:tcBorders>
              <w:left w:val="nil"/>
            </w:tcBorders>
            <w:noWrap/>
            <w:vAlign w:val="center"/>
          </w:tcPr>
          <w:p w14:paraId="08FFAE4A"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81.8</w:t>
            </w:r>
          </w:p>
        </w:tc>
      </w:tr>
      <w:tr w:rsidR="00975564" w:rsidRPr="00975564" w14:paraId="0C5855B4" w14:textId="77777777" w:rsidTr="00C20892">
        <w:trPr>
          <w:trHeight w:val="517"/>
        </w:trPr>
        <w:tc>
          <w:tcPr>
            <w:tcW w:w="5920" w:type="dxa"/>
            <w:hideMark/>
          </w:tcPr>
          <w:p w14:paraId="20DC7C00"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8. The public health agency’s policies define processes for establishing a clear leader in the context of emergency.</w:t>
            </w:r>
          </w:p>
        </w:tc>
        <w:tc>
          <w:tcPr>
            <w:tcW w:w="1663" w:type="dxa"/>
            <w:tcBorders>
              <w:right w:val="nil"/>
            </w:tcBorders>
            <w:noWrap/>
            <w:vAlign w:val="center"/>
          </w:tcPr>
          <w:p w14:paraId="458DDBE0"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 (1)</w:t>
            </w:r>
          </w:p>
        </w:tc>
        <w:tc>
          <w:tcPr>
            <w:tcW w:w="1168" w:type="dxa"/>
            <w:tcBorders>
              <w:left w:val="nil"/>
              <w:right w:val="nil"/>
            </w:tcBorders>
            <w:noWrap/>
            <w:vAlign w:val="center"/>
          </w:tcPr>
          <w:p w14:paraId="6E38EBFA"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30</w:t>
            </w:r>
          </w:p>
        </w:tc>
        <w:tc>
          <w:tcPr>
            <w:tcW w:w="1311" w:type="dxa"/>
            <w:tcBorders>
              <w:left w:val="nil"/>
            </w:tcBorders>
            <w:noWrap/>
            <w:vAlign w:val="center"/>
          </w:tcPr>
          <w:p w14:paraId="18C1BA3A"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90.9</w:t>
            </w:r>
          </w:p>
        </w:tc>
        <w:tc>
          <w:tcPr>
            <w:tcW w:w="1495" w:type="dxa"/>
            <w:tcBorders>
              <w:right w:val="nil"/>
            </w:tcBorders>
            <w:noWrap/>
            <w:vAlign w:val="center"/>
          </w:tcPr>
          <w:p w14:paraId="5B1205D5"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276" w:type="dxa"/>
            <w:tcBorders>
              <w:left w:val="nil"/>
              <w:right w:val="nil"/>
            </w:tcBorders>
            <w:noWrap/>
            <w:vAlign w:val="center"/>
          </w:tcPr>
          <w:p w14:paraId="5D769026"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26</w:t>
            </w:r>
          </w:p>
        </w:tc>
        <w:tc>
          <w:tcPr>
            <w:tcW w:w="1276" w:type="dxa"/>
            <w:tcBorders>
              <w:left w:val="nil"/>
            </w:tcBorders>
            <w:noWrap/>
            <w:vAlign w:val="center"/>
          </w:tcPr>
          <w:p w14:paraId="2884DE7E"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78.8</w:t>
            </w:r>
          </w:p>
        </w:tc>
      </w:tr>
      <w:tr w:rsidR="00975564" w:rsidRPr="00975564" w14:paraId="14E4A60D" w14:textId="77777777" w:rsidTr="00975564">
        <w:trPr>
          <w:trHeight w:val="283"/>
        </w:trPr>
        <w:tc>
          <w:tcPr>
            <w:tcW w:w="5920" w:type="dxa"/>
            <w:shd w:val="clear" w:color="auto" w:fill="595959" w:themeFill="text1" w:themeFillTint="A6"/>
            <w:hideMark/>
          </w:tcPr>
          <w:p w14:paraId="33DC8A45" w14:textId="77777777" w:rsidR="00975564" w:rsidRPr="00975564" w:rsidRDefault="00975564" w:rsidP="00975564">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Planning Process</w:t>
            </w:r>
          </w:p>
        </w:tc>
        <w:tc>
          <w:tcPr>
            <w:tcW w:w="1663" w:type="dxa"/>
            <w:tcBorders>
              <w:right w:val="nil"/>
            </w:tcBorders>
            <w:shd w:val="clear" w:color="auto" w:fill="595959" w:themeFill="text1" w:themeFillTint="A6"/>
            <w:noWrap/>
            <w:vAlign w:val="center"/>
          </w:tcPr>
          <w:p w14:paraId="2EB15588"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168" w:type="dxa"/>
            <w:tcBorders>
              <w:left w:val="nil"/>
              <w:right w:val="nil"/>
            </w:tcBorders>
            <w:shd w:val="clear" w:color="auto" w:fill="595959" w:themeFill="text1" w:themeFillTint="A6"/>
            <w:noWrap/>
            <w:vAlign w:val="center"/>
          </w:tcPr>
          <w:p w14:paraId="642AFB6D"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311" w:type="dxa"/>
            <w:tcBorders>
              <w:left w:val="nil"/>
            </w:tcBorders>
            <w:shd w:val="clear" w:color="auto" w:fill="595959" w:themeFill="text1" w:themeFillTint="A6"/>
            <w:noWrap/>
            <w:vAlign w:val="center"/>
          </w:tcPr>
          <w:p w14:paraId="5FFC6734"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495" w:type="dxa"/>
            <w:tcBorders>
              <w:right w:val="nil"/>
            </w:tcBorders>
            <w:shd w:val="clear" w:color="auto" w:fill="595959" w:themeFill="text1" w:themeFillTint="A6"/>
            <w:noWrap/>
            <w:vAlign w:val="center"/>
          </w:tcPr>
          <w:p w14:paraId="7110113A"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276" w:type="dxa"/>
            <w:tcBorders>
              <w:left w:val="nil"/>
              <w:right w:val="nil"/>
            </w:tcBorders>
            <w:shd w:val="clear" w:color="auto" w:fill="595959" w:themeFill="text1" w:themeFillTint="A6"/>
            <w:noWrap/>
            <w:vAlign w:val="center"/>
          </w:tcPr>
          <w:p w14:paraId="1071C806"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276" w:type="dxa"/>
            <w:tcBorders>
              <w:left w:val="nil"/>
            </w:tcBorders>
            <w:shd w:val="clear" w:color="auto" w:fill="595959" w:themeFill="text1" w:themeFillTint="A6"/>
            <w:noWrap/>
            <w:vAlign w:val="center"/>
          </w:tcPr>
          <w:p w14:paraId="78133BA8" w14:textId="77777777" w:rsidR="00975564" w:rsidRPr="00975564" w:rsidRDefault="00975564" w:rsidP="00975564">
            <w:pPr>
              <w:jc w:val="center"/>
              <w:rPr>
                <w:rFonts w:ascii="Times New Roman" w:hAnsi="Times New Roman" w:cs="Times New Roman"/>
                <w:b/>
                <w:color w:val="FFFFFF" w:themeColor="background1"/>
                <w:sz w:val="20"/>
                <w:szCs w:val="20"/>
              </w:rPr>
            </w:pPr>
          </w:p>
        </w:tc>
      </w:tr>
      <w:tr w:rsidR="00975564" w:rsidRPr="00975564" w14:paraId="18289799" w14:textId="77777777" w:rsidTr="00975564">
        <w:trPr>
          <w:trHeight w:val="630"/>
        </w:trPr>
        <w:tc>
          <w:tcPr>
            <w:tcW w:w="5920" w:type="dxa"/>
            <w:hideMark/>
          </w:tcPr>
          <w:p w14:paraId="22C30AAE"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9. The roles and responsibilities of the public health agency for responding to all-hazards emergencies are defined in agency plans and/or protocols.</w:t>
            </w:r>
          </w:p>
        </w:tc>
        <w:tc>
          <w:tcPr>
            <w:tcW w:w="1663" w:type="dxa"/>
            <w:tcBorders>
              <w:right w:val="nil"/>
            </w:tcBorders>
            <w:noWrap/>
            <w:vAlign w:val="center"/>
          </w:tcPr>
          <w:p w14:paraId="2F7D7367"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 (1)</w:t>
            </w:r>
          </w:p>
        </w:tc>
        <w:tc>
          <w:tcPr>
            <w:tcW w:w="1168" w:type="dxa"/>
            <w:tcBorders>
              <w:left w:val="nil"/>
              <w:right w:val="nil"/>
            </w:tcBorders>
            <w:noWrap/>
            <w:vAlign w:val="center"/>
          </w:tcPr>
          <w:p w14:paraId="7AC1071D"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31</w:t>
            </w:r>
          </w:p>
        </w:tc>
        <w:tc>
          <w:tcPr>
            <w:tcW w:w="1311" w:type="dxa"/>
            <w:tcBorders>
              <w:left w:val="nil"/>
            </w:tcBorders>
            <w:noWrap/>
            <w:vAlign w:val="center"/>
          </w:tcPr>
          <w:p w14:paraId="5A3AD56D"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93.9</w:t>
            </w:r>
          </w:p>
        </w:tc>
        <w:tc>
          <w:tcPr>
            <w:tcW w:w="1495" w:type="dxa"/>
            <w:tcBorders>
              <w:right w:val="nil"/>
            </w:tcBorders>
            <w:noWrap/>
            <w:vAlign w:val="center"/>
          </w:tcPr>
          <w:p w14:paraId="1E1A9409"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276" w:type="dxa"/>
            <w:tcBorders>
              <w:left w:val="nil"/>
              <w:right w:val="nil"/>
            </w:tcBorders>
            <w:noWrap/>
            <w:vAlign w:val="center"/>
          </w:tcPr>
          <w:p w14:paraId="7CADE426"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30</w:t>
            </w:r>
          </w:p>
        </w:tc>
        <w:tc>
          <w:tcPr>
            <w:tcW w:w="1276" w:type="dxa"/>
            <w:tcBorders>
              <w:left w:val="nil"/>
            </w:tcBorders>
            <w:noWrap/>
            <w:vAlign w:val="center"/>
          </w:tcPr>
          <w:p w14:paraId="36167F90"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90.9</w:t>
            </w:r>
          </w:p>
        </w:tc>
      </w:tr>
      <w:tr w:rsidR="00975564" w:rsidRPr="00975564" w14:paraId="38CB2891" w14:textId="77777777" w:rsidTr="00975564">
        <w:trPr>
          <w:trHeight w:val="630"/>
        </w:trPr>
        <w:tc>
          <w:tcPr>
            <w:tcW w:w="5920" w:type="dxa"/>
            <w:hideMark/>
          </w:tcPr>
          <w:p w14:paraId="684C8BB7"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lastRenderedPageBreak/>
              <w:t>10. The public health agency’s emergency management plans and/or protocols relate to all phases of a disaster (E.g. Prevention/mitigation, preparedness, response, and recovery).</w:t>
            </w:r>
          </w:p>
        </w:tc>
        <w:tc>
          <w:tcPr>
            <w:tcW w:w="1663" w:type="dxa"/>
            <w:tcBorders>
              <w:right w:val="nil"/>
            </w:tcBorders>
            <w:noWrap/>
            <w:vAlign w:val="center"/>
          </w:tcPr>
          <w:p w14:paraId="5B98E217"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13267ACE"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28</w:t>
            </w:r>
          </w:p>
        </w:tc>
        <w:tc>
          <w:tcPr>
            <w:tcW w:w="1311" w:type="dxa"/>
            <w:tcBorders>
              <w:left w:val="nil"/>
            </w:tcBorders>
            <w:noWrap/>
            <w:vAlign w:val="center"/>
          </w:tcPr>
          <w:p w14:paraId="4641DA45"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84.8</w:t>
            </w:r>
          </w:p>
        </w:tc>
        <w:tc>
          <w:tcPr>
            <w:tcW w:w="1495" w:type="dxa"/>
            <w:tcBorders>
              <w:right w:val="nil"/>
            </w:tcBorders>
            <w:noWrap/>
            <w:vAlign w:val="center"/>
          </w:tcPr>
          <w:p w14:paraId="675F7410"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276" w:type="dxa"/>
            <w:tcBorders>
              <w:left w:val="nil"/>
              <w:right w:val="nil"/>
            </w:tcBorders>
            <w:noWrap/>
            <w:vAlign w:val="center"/>
          </w:tcPr>
          <w:p w14:paraId="53F47256"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28</w:t>
            </w:r>
          </w:p>
        </w:tc>
        <w:tc>
          <w:tcPr>
            <w:tcW w:w="1276" w:type="dxa"/>
            <w:tcBorders>
              <w:left w:val="nil"/>
            </w:tcBorders>
            <w:noWrap/>
            <w:vAlign w:val="center"/>
          </w:tcPr>
          <w:p w14:paraId="63D335FD"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84.8</w:t>
            </w:r>
          </w:p>
        </w:tc>
      </w:tr>
      <w:tr w:rsidR="00975564" w:rsidRPr="00975564" w14:paraId="4A7402DC" w14:textId="77777777" w:rsidTr="00975564">
        <w:trPr>
          <w:trHeight w:val="630"/>
        </w:trPr>
        <w:tc>
          <w:tcPr>
            <w:tcW w:w="5920" w:type="dxa"/>
            <w:hideMark/>
          </w:tcPr>
          <w:p w14:paraId="64E00D9A"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11. The roles and responsibilities for the public health agency in ensuring business continuity during an emergency are established in agency plans and/or protocols.</w:t>
            </w:r>
          </w:p>
        </w:tc>
        <w:tc>
          <w:tcPr>
            <w:tcW w:w="1663" w:type="dxa"/>
            <w:tcBorders>
              <w:right w:val="nil"/>
            </w:tcBorders>
            <w:noWrap/>
            <w:vAlign w:val="center"/>
          </w:tcPr>
          <w:p w14:paraId="0276BF5D"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20981446"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31</w:t>
            </w:r>
          </w:p>
        </w:tc>
        <w:tc>
          <w:tcPr>
            <w:tcW w:w="1311" w:type="dxa"/>
            <w:tcBorders>
              <w:left w:val="nil"/>
            </w:tcBorders>
            <w:noWrap/>
            <w:vAlign w:val="center"/>
          </w:tcPr>
          <w:p w14:paraId="054E91D6"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93.9</w:t>
            </w:r>
          </w:p>
        </w:tc>
        <w:tc>
          <w:tcPr>
            <w:tcW w:w="1495" w:type="dxa"/>
            <w:tcBorders>
              <w:right w:val="nil"/>
            </w:tcBorders>
            <w:noWrap/>
            <w:vAlign w:val="center"/>
          </w:tcPr>
          <w:p w14:paraId="323D5F0A"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276" w:type="dxa"/>
            <w:tcBorders>
              <w:left w:val="nil"/>
              <w:right w:val="nil"/>
            </w:tcBorders>
            <w:noWrap/>
            <w:vAlign w:val="center"/>
          </w:tcPr>
          <w:p w14:paraId="7773C11F"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31</w:t>
            </w:r>
          </w:p>
        </w:tc>
        <w:tc>
          <w:tcPr>
            <w:tcW w:w="1276" w:type="dxa"/>
            <w:tcBorders>
              <w:left w:val="nil"/>
            </w:tcBorders>
            <w:noWrap/>
            <w:vAlign w:val="center"/>
          </w:tcPr>
          <w:p w14:paraId="2EC4AED6"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93.9</w:t>
            </w:r>
          </w:p>
        </w:tc>
      </w:tr>
      <w:tr w:rsidR="00975564" w:rsidRPr="00975564" w14:paraId="706E9205" w14:textId="77777777" w:rsidTr="00975564">
        <w:trPr>
          <w:trHeight w:val="630"/>
        </w:trPr>
        <w:tc>
          <w:tcPr>
            <w:tcW w:w="5920" w:type="dxa"/>
            <w:hideMark/>
          </w:tcPr>
          <w:p w14:paraId="5F9E97D3"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12. Linkages between the public health agency and network partners’ emergency plans and/or protocols are discussed with involved network partners.</w:t>
            </w:r>
          </w:p>
        </w:tc>
        <w:tc>
          <w:tcPr>
            <w:tcW w:w="1663" w:type="dxa"/>
            <w:tcBorders>
              <w:right w:val="nil"/>
            </w:tcBorders>
            <w:noWrap/>
            <w:vAlign w:val="center"/>
          </w:tcPr>
          <w:p w14:paraId="623354B0"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6644D860"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28</w:t>
            </w:r>
          </w:p>
        </w:tc>
        <w:tc>
          <w:tcPr>
            <w:tcW w:w="1311" w:type="dxa"/>
            <w:tcBorders>
              <w:left w:val="nil"/>
            </w:tcBorders>
            <w:noWrap/>
            <w:vAlign w:val="center"/>
          </w:tcPr>
          <w:p w14:paraId="7A2DBF0D"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84.8</w:t>
            </w:r>
          </w:p>
        </w:tc>
        <w:tc>
          <w:tcPr>
            <w:tcW w:w="1495" w:type="dxa"/>
            <w:tcBorders>
              <w:right w:val="nil"/>
            </w:tcBorders>
            <w:noWrap/>
            <w:vAlign w:val="center"/>
          </w:tcPr>
          <w:p w14:paraId="4807504E"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276" w:type="dxa"/>
            <w:tcBorders>
              <w:left w:val="nil"/>
              <w:right w:val="nil"/>
            </w:tcBorders>
            <w:noWrap/>
            <w:vAlign w:val="center"/>
          </w:tcPr>
          <w:p w14:paraId="5BA0A078"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24</w:t>
            </w:r>
          </w:p>
        </w:tc>
        <w:tc>
          <w:tcPr>
            <w:tcW w:w="1276" w:type="dxa"/>
            <w:tcBorders>
              <w:left w:val="nil"/>
            </w:tcBorders>
            <w:noWrap/>
            <w:vAlign w:val="center"/>
          </w:tcPr>
          <w:p w14:paraId="3C38F728"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72.7</w:t>
            </w:r>
          </w:p>
        </w:tc>
      </w:tr>
      <w:tr w:rsidR="00975564" w:rsidRPr="00975564" w14:paraId="766C72CE" w14:textId="77777777" w:rsidTr="00975564">
        <w:trPr>
          <w:trHeight w:val="630"/>
        </w:trPr>
        <w:tc>
          <w:tcPr>
            <w:tcW w:w="5920" w:type="dxa"/>
            <w:hideMark/>
          </w:tcPr>
          <w:p w14:paraId="5CE4B783"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13. The public health agency has a process to support priority-setting decisions in the allocation of limited resources in the context of emergencies.</w:t>
            </w:r>
          </w:p>
        </w:tc>
        <w:tc>
          <w:tcPr>
            <w:tcW w:w="1663" w:type="dxa"/>
            <w:tcBorders>
              <w:right w:val="nil"/>
            </w:tcBorders>
            <w:noWrap/>
            <w:vAlign w:val="center"/>
          </w:tcPr>
          <w:p w14:paraId="4D60F36E"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1B67B0CF"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29</w:t>
            </w:r>
          </w:p>
        </w:tc>
        <w:tc>
          <w:tcPr>
            <w:tcW w:w="1311" w:type="dxa"/>
            <w:tcBorders>
              <w:left w:val="nil"/>
            </w:tcBorders>
            <w:noWrap/>
            <w:vAlign w:val="center"/>
          </w:tcPr>
          <w:p w14:paraId="73F6B39D"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87.9</w:t>
            </w:r>
          </w:p>
        </w:tc>
        <w:tc>
          <w:tcPr>
            <w:tcW w:w="1495" w:type="dxa"/>
            <w:tcBorders>
              <w:right w:val="nil"/>
            </w:tcBorders>
            <w:noWrap/>
            <w:vAlign w:val="center"/>
          </w:tcPr>
          <w:p w14:paraId="5A5573A3"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(3)</w:t>
            </w:r>
          </w:p>
        </w:tc>
        <w:tc>
          <w:tcPr>
            <w:tcW w:w="1276" w:type="dxa"/>
            <w:tcBorders>
              <w:left w:val="nil"/>
              <w:right w:val="nil"/>
            </w:tcBorders>
            <w:noWrap/>
            <w:vAlign w:val="center"/>
          </w:tcPr>
          <w:p w14:paraId="1B4219BF"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24</w:t>
            </w:r>
          </w:p>
        </w:tc>
        <w:tc>
          <w:tcPr>
            <w:tcW w:w="1276" w:type="dxa"/>
            <w:tcBorders>
              <w:left w:val="nil"/>
            </w:tcBorders>
            <w:noWrap/>
            <w:vAlign w:val="center"/>
          </w:tcPr>
          <w:p w14:paraId="51E26C95"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72.7</w:t>
            </w:r>
          </w:p>
        </w:tc>
      </w:tr>
      <w:tr w:rsidR="00975564" w:rsidRPr="00975564" w14:paraId="7BAF7567" w14:textId="77777777" w:rsidTr="00975564">
        <w:trPr>
          <w:trHeight w:val="283"/>
        </w:trPr>
        <w:tc>
          <w:tcPr>
            <w:tcW w:w="5920" w:type="dxa"/>
            <w:shd w:val="clear" w:color="auto" w:fill="595959" w:themeFill="text1" w:themeFillTint="A6"/>
            <w:hideMark/>
          </w:tcPr>
          <w:p w14:paraId="397D5182" w14:textId="77777777" w:rsidR="00975564" w:rsidRPr="00975564" w:rsidRDefault="00975564" w:rsidP="00975564">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Risk Analysis</w:t>
            </w:r>
          </w:p>
        </w:tc>
        <w:tc>
          <w:tcPr>
            <w:tcW w:w="1663" w:type="dxa"/>
            <w:tcBorders>
              <w:right w:val="nil"/>
            </w:tcBorders>
            <w:shd w:val="clear" w:color="auto" w:fill="595959" w:themeFill="text1" w:themeFillTint="A6"/>
            <w:noWrap/>
            <w:vAlign w:val="center"/>
            <w:hideMark/>
          </w:tcPr>
          <w:p w14:paraId="17ACA7B2"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168" w:type="dxa"/>
            <w:tcBorders>
              <w:left w:val="nil"/>
              <w:right w:val="nil"/>
            </w:tcBorders>
            <w:shd w:val="clear" w:color="auto" w:fill="595959" w:themeFill="text1" w:themeFillTint="A6"/>
            <w:noWrap/>
            <w:vAlign w:val="center"/>
            <w:hideMark/>
          </w:tcPr>
          <w:p w14:paraId="55AA055F"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311" w:type="dxa"/>
            <w:tcBorders>
              <w:left w:val="nil"/>
            </w:tcBorders>
            <w:shd w:val="clear" w:color="auto" w:fill="595959" w:themeFill="text1" w:themeFillTint="A6"/>
            <w:noWrap/>
            <w:vAlign w:val="center"/>
            <w:hideMark/>
          </w:tcPr>
          <w:p w14:paraId="769CDFB4"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495" w:type="dxa"/>
            <w:tcBorders>
              <w:right w:val="nil"/>
            </w:tcBorders>
            <w:shd w:val="clear" w:color="auto" w:fill="595959" w:themeFill="text1" w:themeFillTint="A6"/>
            <w:noWrap/>
            <w:vAlign w:val="center"/>
            <w:hideMark/>
          </w:tcPr>
          <w:p w14:paraId="7B3F068E"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276" w:type="dxa"/>
            <w:tcBorders>
              <w:left w:val="nil"/>
              <w:right w:val="nil"/>
            </w:tcBorders>
            <w:shd w:val="clear" w:color="auto" w:fill="595959" w:themeFill="text1" w:themeFillTint="A6"/>
            <w:noWrap/>
            <w:vAlign w:val="center"/>
            <w:hideMark/>
          </w:tcPr>
          <w:p w14:paraId="3BEB73B1"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276" w:type="dxa"/>
            <w:tcBorders>
              <w:left w:val="nil"/>
            </w:tcBorders>
            <w:shd w:val="clear" w:color="auto" w:fill="595959" w:themeFill="text1" w:themeFillTint="A6"/>
            <w:noWrap/>
            <w:vAlign w:val="center"/>
            <w:hideMark/>
          </w:tcPr>
          <w:p w14:paraId="52C21BC0" w14:textId="77777777" w:rsidR="00975564" w:rsidRPr="00975564" w:rsidRDefault="00975564" w:rsidP="00975564">
            <w:pPr>
              <w:jc w:val="center"/>
              <w:rPr>
                <w:rFonts w:ascii="Times New Roman" w:hAnsi="Times New Roman" w:cs="Times New Roman"/>
                <w:b/>
                <w:color w:val="FFFFFF" w:themeColor="background1"/>
                <w:sz w:val="20"/>
                <w:szCs w:val="20"/>
              </w:rPr>
            </w:pPr>
          </w:p>
        </w:tc>
      </w:tr>
      <w:tr w:rsidR="00975564" w:rsidRPr="00975564" w14:paraId="1C4B0905" w14:textId="77777777" w:rsidTr="00975564">
        <w:trPr>
          <w:trHeight w:val="945"/>
        </w:trPr>
        <w:tc>
          <w:tcPr>
            <w:tcW w:w="5920" w:type="dxa"/>
            <w:hideMark/>
          </w:tcPr>
          <w:p w14:paraId="1537FCC3"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14. The public health agency conducts a comprehensive risk assessment for all-hazards emergencies at regular intervals (E.g. Annually, or when a new threat is identified), to adapt to emerging risks.</w:t>
            </w:r>
          </w:p>
        </w:tc>
        <w:tc>
          <w:tcPr>
            <w:tcW w:w="1663" w:type="dxa"/>
            <w:tcBorders>
              <w:right w:val="nil"/>
            </w:tcBorders>
            <w:noWrap/>
            <w:vAlign w:val="center"/>
          </w:tcPr>
          <w:p w14:paraId="1FE8808F"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168" w:type="dxa"/>
            <w:tcBorders>
              <w:left w:val="nil"/>
              <w:right w:val="nil"/>
            </w:tcBorders>
            <w:noWrap/>
            <w:vAlign w:val="center"/>
          </w:tcPr>
          <w:p w14:paraId="3598BEDF"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28</w:t>
            </w:r>
          </w:p>
        </w:tc>
        <w:tc>
          <w:tcPr>
            <w:tcW w:w="1311" w:type="dxa"/>
            <w:tcBorders>
              <w:left w:val="nil"/>
            </w:tcBorders>
            <w:noWrap/>
            <w:vAlign w:val="center"/>
          </w:tcPr>
          <w:p w14:paraId="3FDF5172"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84.8</w:t>
            </w:r>
          </w:p>
        </w:tc>
        <w:tc>
          <w:tcPr>
            <w:tcW w:w="1495" w:type="dxa"/>
            <w:tcBorders>
              <w:right w:val="nil"/>
            </w:tcBorders>
            <w:noWrap/>
            <w:vAlign w:val="center"/>
          </w:tcPr>
          <w:p w14:paraId="7544537C"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276" w:type="dxa"/>
            <w:tcBorders>
              <w:left w:val="nil"/>
              <w:right w:val="nil"/>
            </w:tcBorders>
            <w:noWrap/>
            <w:vAlign w:val="center"/>
          </w:tcPr>
          <w:p w14:paraId="5943AA6A"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27</w:t>
            </w:r>
          </w:p>
        </w:tc>
        <w:tc>
          <w:tcPr>
            <w:tcW w:w="1276" w:type="dxa"/>
            <w:tcBorders>
              <w:left w:val="nil"/>
            </w:tcBorders>
            <w:noWrap/>
            <w:vAlign w:val="center"/>
          </w:tcPr>
          <w:p w14:paraId="13ED93C8"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81.8</w:t>
            </w:r>
          </w:p>
        </w:tc>
      </w:tr>
      <w:tr w:rsidR="00975564" w:rsidRPr="00975564" w14:paraId="7D3B4E19" w14:textId="77777777" w:rsidTr="00975564">
        <w:trPr>
          <w:trHeight w:val="945"/>
        </w:trPr>
        <w:tc>
          <w:tcPr>
            <w:tcW w:w="5920" w:type="dxa"/>
            <w:hideMark/>
          </w:tcPr>
          <w:p w14:paraId="05A5C27C"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15. The public health agency uses locally relevant data to inform risk assessment. Examples of data sources may include: communicable diseases, vector-borne diseases, food and water testing, population health determinants, non-communicable diseases such as injuries.</w:t>
            </w:r>
          </w:p>
        </w:tc>
        <w:tc>
          <w:tcPr>
            <w:tcW w:w="1663" w:type="dxa"/>
            <w:tcBorders>
              <w:right w:val="nil"/>
            </w:tcBorders>
            <w:noWrap/>
            <w:vAlign w:val="center"/>
          </w:tcPr>
          <w:p w14:paraId="4322D554"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2A5EDFE4"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31</w:t>
            </w:r>
          </w:p>
        </w:tc>
        <w:tc>
          <w:tcPr>
            <w:tcW w:w="1311" w:type="dxa"/>
            <w:tcBorders>
              <w:left w:val="nil"/>
            </w:tcBorders>
            <w:noWrap/>
            <w:vAlign w:val="center"/>
          </w:tcPr>
          <w:p w14:paraId="14C008A5"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93.9</w:t>
            </w:r>
          </w:p>
        </w:tc>
        <w:tc>
          <w:tcPr>
            <w:tcW w:w="1495" w:type="dxa"/>
            <w:tcBorders>
              <w:right w:val="nil"/>
            </w:tcBorders>
            <w:noWrap/>
            <w:vAlign w:val="center"/>
          </w:tcPr>
          <w:p w14:paraId="26185B1D"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276" w:type="dxa"/>
            <w:tcBorders>
              <w:left w:val="nil"/>
              <w:right w:val="nil"/>
            </w:tcBorders>
            <w:noWrap/>
            <w:vAlign w:val="center"/>
          </w:tcPr>
          <w:p w14:paraId="0F6C31B8"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27</w:t>
            </w:r>
          </w:p>
        </w:tc>
        <w:tc>
          <w:tcPr>
            <w:tcW w:w="1276" w:type="dxa"/>
            <w:tcBorders>
              <w:left w:val="nil"/>
            </w:tcBorders>
            <w:noWrap/>
            <w:vAlign w:val="center"/>
          </w:tcPr>
          <w:p w14:paraId="44BC0C93"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81.8</w:t>
            </w:r>
          </w:p>
        </w:tc>
      </w:tr>
      <w:tr w:rsidR="00975564" w:rsidRPr="00975564" w14:paraId="5D41513B" w14:textId="77777777" w:rsidTr="00975564">
        <w:trPr>
          <w:trHeight w:val="630"/>
        </w:trPr>
        <w:tc>
          <w:tcPr>
            <w:tcW w:w="5920" w:type="dxa"/>
            <w:hideMark/>
          </w:tcPr>
          <w:p w14:paraId="67300818"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16. The public health agency’s risk assessment process includes an analysis of organizational capacity to manage the identified risks.</w:t>
            </w:r>
          </w:p>
        </w:tc>
        <w:tc>
          <w:tcPr>
            <w:tcW w:w="1663" w:type="dxa"/>
            <w:tcBorders>
              <w:right w:val="nil"/>
            </w:tcBorders>
            <w:noWrap/>
            <w:vAlign w:val="center"/>
          </w:tcPr>
          <w:p w14:paraId="38B37A07"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585D3B4E"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32</w:t>
            </w:r>
          </w:p>
        </w:tc>
        <w:tc>
          <w:tcPr>
            <w:tcW w:w="1311" w:type="dxa"/>
            <w:tcBorders>
              <w:left w:val="nil"/>
            </w:tcBorders>
            <w:noWrap/>
            <w:vAlign w:val="center"/>
          </w:tcPr>
          <w:p w14:paraId="0BB8F43C"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97.0</w:t>
            </w:r>
          </w:p>
        </w:tc>
        <w:tc>
          <w:tcPr>
            <w:tcW w:w="1495" w:type="dxa"/>
            <w:tcBorders>
              <w:right w:val="nil"/>
            </w:tcBorders>
            <w:noWrap/>
            <w:vAlign w:val="center"/>
          </w:tcPr>
          <w:p w14:paraId="517E4D8E"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276" w:type="dxa"/>
            <w:tcBorders>
              <w:left w:val="nil"/>
              <w:right w:val="nil"/>
            </w:tcBorders>
            <w:noWrap/>
            <w:vAlign w:val="center"/>
          </w:tcPr>
          <w:p w14:paraId="75721D6B"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29</w:t>
            </w:r>
          </w:p>
        </w:tc>
        <w:tc>
          <w:tcPr>
            <w:tcW w:w="1276" w:type="dxa"/>
            <w:tcBorders>
              <w:left w:val="nil"/>
            </w:tcBorders>
            <w:noWrap/>
            <w:vAlign w:val="center"/>
          </w:tcPr>
          <w:p w14:paraId="35DF9419"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87.9</w:t>
            </w:r>
          </w:p>
        </w:tc>
      </w:tr>
      <w:tr w:rsidR="00975564" w:rsidRPr="00975564" w14:paraId="43FD4C63" w14:textId="77777777" w:rsidTr="00975564">
        <w:trPr>
          <w:trHeight w:val="630"/>
        </w:trPr>
        <w:tc>
          <w:tcPr>
            <w:tcW w:w="5920" w:type="dxa"/>
            <w:hideMark/>
          </w:tcPr>
          <w:p w14:paraId="2DD62F95"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17. The public health agency’s risk assessment process considers the preparedness capacity of populations that may be at increased risk in the context of emergencies.</w:t>
            </w:r>
          </w:p>
        </w:tc>
        <w:tc>
          <w:tcPr>
            <w:tcW w:w="1663" w:type="dxa"/>
            <w:tcBorders>
              <w:right w:val="nil"/>
            </w:tcBorders>
            <w:noWrap/>
            <w:vAlign w:val="center"/>
          </w:tcPr>
          <w:p w14:paraId="0CEC373B"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168" w:type="dxa"/>
            <w:tcBorders>
              <w:left w:val="nil"/>
              <w:right w:val="nil"/>
            </w:tcBorders>
            <w:noWrap/>
            <w:vAlign w:val="center"/>
          </w:tcPr>
          <w:p w14:paraId="5D0F8C94"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28</w:t>
            </w:r>
          </w:p>
        </w:tc>
        <w:tc>
          <w:tcPr>
            <w:tcW w:w="1311" w:type="dxa"/>
            <w:tcBorders>
              <w:left w:val="nil"/>
            </w:tcBorders>
            <w:noWrap/>
            <w:vAlign w:val="center"/>
          </w:tcPr>
          <w:p w14:paraId="3890E1CF"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84.8</w:t>
            </w:r>
          </w:p>
        </w:tc>
        <w:tc>
          <w:tcPr>
            <w:tcW w:w="1495" w:type="dxa"/>
            <w:tcBorders>
              <w:right w:val="nil"/>
            </w:tcBorders>
            <w:noWrap/>
            <w:vAlign w:val="center"/>
          </w:tcPr>
          <w:p w14:paraId="29338616"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276" w:type="dxa"/>
            <w:tcBorders>
              <w:left w:val="nil"/>
              <w:right w:val="nil"/>
            </w:tcBorders>
            <w:noWrap/>
            <w:vAlign w:val="center"/>
          </w:tcPr>
          <w:p w14:paraId="38ABC333"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24</w:t>
            </w:r>
          </w:p>
        </w:tc>
        <w:tc>
          <w:tcPr>
            <w:tcW w:w="1276" w:type="dxa"/>
            <w:tcBorders>
              <w:left w:val="nil"/>
            </w:tcBorders>
            <w:noWrap/>
            <w:vAlign w:val="center"/>
          </w:tcPr>
          <w:p w14:paraId="306C40C3"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72.7</w:t>
            </w:r>
          </w:p>
        </w:tc>
      </w:tr>
      <w:tr w:rsidR="00975564" w:rsidRPr="00975564" w14:paraId="40240CB5" w14:textId="77777777" w:rsidTr="00975564">
        <w:trPr>
          <w:trHeight w:val="630"/>
        </w:trPr>
        <w:tc>
          <w:tcPr>
            <w:tcW w:w="5920" w:type="dxa"/>
            <w:hideMark/>
          </w:tcPr>
          <w:p w14:paraId="676839BE"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18. The public health agency uses the results of the risk assessment to inform relevant plans/protocols for emergency management, business continuity and/or risk reduction.</w:t>
            </w:r>
          </w:p>
        </w:tc>
        <w:tc>
          <w:tcPr>
            <w:tcW w:w="1663" w:type="dxa"/>
            <w:tcBorders>
              <w:right w:val="nil"/>
            </w:tcBorders>
            <w:noWrap/>
            <w:vAlign w:val="center"/>
          </w:tcPr>
          <w:p w14:paraId="247C2EAD"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4B1777F7"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32</w:t>
            </w:r>
          </w:p>
        </w:tc>
        <w:tc>
          <w:tcPr>
            <w:tcW w:w="1311" w:type="dxa"/>
            <w:tcBorders>
              <w:left w:val="nil"/>
            </w:tcBorders>
            <w:noWrap/>
            <w:vAlign w:val="center"/>
          </w:tcPr>
          <w:p w14:paraId="5E6225C1"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97.0</w:t>
            </w:r>
          </w:p>
        </w:tc>
        <w:tc>
          <w:tcPr>
            <w:tcW w:w="1495" w:type="dxa"/>
            <w:tcBorders>
              <w:right w:val="nil"/>
            </w:tcBorders>
            <w:noWrap/>
            <w:vAlign w:val="center"/>
          </w:tcPr>
          <w:p w14:paraId="764F53F2"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276" w:type="dxa"/>
            <w:tcBorders>
              <w:left w:val="nil"/>
              <w:right w:val="nil"/>
            </w:tcBorders>
            <w:noWrap/>
            <w:vAlign w:val="center"/>
          </w:tcPr>
          <w:p w14:paraId="5C546E43"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30</w:t>
            </w:r>
          </w:p>
        </w:tc>
        <w:tc>
          <w:tcPr>
            <w:tcW w:w="1276" w:type="dxa"/>
            <w:tcBorders>
              <w:left w:val="nil"/>
            </w:tcBorders>
            <w:noWrap/>
            <w:vAlign w:val="center"/>
          </w:tcPr>
          <w:p w14:paraId="2E16EA37"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90.9</w:t>
            </w:r>
          </w:p>
        </w:tc>
      </w:tr>
      <w:tr w:rsidR="00975564" w:rsidRPr="00975564" w14:paraId="7B091ADF" w14:textId="77777777" w:rsidTr="00975564">
        <w:trPr>
          <w:trHeight w:val="283"/>
        </w:trPr>
        <w:tc>
          <w:tcPr>
            <w:tcW w:w="5920" w:type="dxa"/>
            <w:shd w:val="clear" w:color="auto" w:fill="595959" w:themeFill="text1" w:themeFillTint="A6"/>
            <w:hideMark/>
          </w:tcPr>
          <w:p w14:paraId="42085598" w14:textId="77777777" w:rsidR="00975564" w:rsidRPr="00975564" w:rsidRDefault="00975564" w:rsidP="00975564">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Resources</w:t>
            </w:r>
          </w:p>
        </w:tc>
        <w:tc>
          <w:tcPr>
            <w:tcW w:w="1663" w:type="dxa"/>
            <w:tcBorders>
              <w:right w:val="nil"/>
            </w:tcBorders>
            <w:shd w:val="clear" w:color="auto" w:fill="595959" w:themeFill="text1" w:themeFillTint="A6"/>
            <w:noWrap/>
            <w:vAlign w:val="center"/>
            <w:hideMark/>
          </w:tcPr>
          <w:p w14:paraId="54C879E4"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168" w:type="dxa"/>
            <w:tcBorders>
              <w:left w:val="nil"/>
              <w:right w:val="nil"/>
            </w:tcBorders>
            <w:shd w:val="clear" w:color="auto" w:fill="595959" w:themeFill="text1" w:themeFillTint="A6"/>
            <w:noWrap/>
            <w:vAlign w:val="center"/>
            <w:hideMark/>
          </w:tcPr>
          <w:p w14:paraId="29F8F938"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311" w:type="dxa"/>
            <w:tcBorders>
              <w:left w:val="nil"/>
            </w:tcBorders>
            <w:shd w:val="clear" w:color="auto" w:fill="595959" w:themeFill="text1" w:themeFillTint="A6"/>
            <w:noWrap/>
            <w:vAlign w:val="center"/>
            <w:hideMark/>
          </w:tcPr>
          <w:p w14:paraId="4F7DA791"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495" w:type="dxa"/>
            <w:tcBorders>
              <w:right w:val="nil"/>
            </w:tcBorders>
            <w:shd w:val="clear" w:color="auto" w:fill="595959" w:themeFill="text1" w:themeFillTint="A6"/>
            <w:noWrap/>
            <w:vAlign w:val="center"/>
            <w:hideMark/>
          </w:tcPr>
          <w:p w14:paraId="229257CB"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276" w:type="dxa"/>
            <w:tcBorders>
              <w:left w:val="nil"/>
              <w:right w:val="nil"/>
            </w:tcBorders>
            <w:shd w:val="clear" w:color="auto" w:fill="595959" w:themeFill="text1" w:themeFillTint="A6"/>
            <w:noWrap/>
            <w:vAlign w:val="center"/>
            <w:hideMark/>
          </w:tcPr>
          <w:p w14:paraId="633ED2B9"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276" w:type="dxa"/>
            <w:tcBorders>
              <w:left w:val="nil"/>
            </w:tcBorders>
            <w:shd w:val="clear" w:color="auto" w:fill="595959" w:themeFill="text1" w:themeFillTint="A6"/>
            <w:noWrap/>
            <w:vAlign w:val="center"/>
            <w:hideMark/>
          </w:tcPr>
          <w:p w14:paraId="7C26E416" w14:textId="77777777" w:rsidR="00975564" w:rsidRPr="00975564" w:rsidRDefault="00975564" w:rsidP="00975564">
            <w:pPr>
              <w:jc w:val="center"/>
              <w:rPr>
                <w:rFonts w:ascii="Times New Roman" w:hAnsi="Times New Roman" w:cs="Times New Roman"/>
                <w:b/>
                <w:color w:val="FFFFFF" w:themeColor="background1"/>
                <w:sz w:val="20"/>
                <w:szCs w:val="20"/>
              </w:rPr>
            </w:pPr>
          </w:p>
        </w:tc>
      </w:tr>
      <w:tr w:rsidR="00975564" w:rsidRPr="00975564" w14:paraId="7AA8183F" w14:textId="77777777" w:rsidTr="00975564">
        <w:trPr>
          <w:trHeight w:val="630"/>
        </w:trPr>
        <w:tc>
          <w:tcPr>
            <w:tcW w:w="5920" w:type="dxa"/>
            <w:hideMark/>
          </w:tcPr>
          <w:p w14:paraId="2758D905"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20. The public health agency has dedicated financial resources to support planning and preparedness activities for emergencies.</w:t>
            </w:r>
          </w:p>
        </w:tc>
        <w:tc>
          <w:tcPr>
            <w:tcW w:w="1663" w:type="dxa"/>
            <w:tcBorders>
              <w:right w:val="nil"/>
            </w:tcBorders>
            <w:noWrap/>
            <w:vAlign w:val="center"/>
          </w:tcPr>
          <w:p w14:paraId="168A5FF9"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 (2)</w:t>
            </w:r>
          </w:p>
        </w:tc>
        <w:tc>
          <w:tcPr>
            <w:tcW w:w="1168" w:type="dxa"/>
            <w:tcBorders>
              <w:left w:val="nil"/>
              <w:right w:val="nil"/>
            </w:tcBorders>
            <w:noWrap/>
            <w:vAlign w:val="center"/>
          </w:tcPr>
          <w:p w14:paraId="55908E0D"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28</w:t>
            </w:r>
          </w:p>
        </w:tc>
        <w:tc>
          <w:tcPr>
            <w:tcW w:w="1311" w:type="dxa"/>
            <w:tcBorders>
              <w:left w:val="nil"/>
            </w:tcBorders>
            <w:noWrap/>
            <w:vAlign w:val="center"/>
          </w:tcPr>
          <w:p w14:paraId="25A66436"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84.8</w:t>
            </w:r>
          </w:p>
        </w:tc>
        <w:tc>
          <w:tcPr>
            <w:tcW w:w="1495" w:type="dxa"/>
            <w:tcBorders>
              <w:right w:val="nil"/>
            </w:tcBorders>
            <w:noWrap/>
            <w:vAlign w:val="center"/>
          </w:tcPr>
          <w:p w14:paraId="7B5F3D23"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(2)</w:t>
            </w:r>
          </w:p>
        </w:tc>
        <w:tc>
          <w:tcPr>
            <w:tcW w:w="1276" w:type="dxa"/>
            <w:tcBorders>
              <w:left w:val="nil"/>
              <w:right w:val="nil"/>
            </w:tcBorders>
            <w:noWrap/>
            <w:vAlign w:val="center"/>
          </w:tcPr>
          <w:p w14:paraId="0FB95989"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24</w:t>
            </w:r>
          </w:p>
        </w:tc>
        <w:tc>
          <w:tcPr>
            <w:tcW w:w="1276" w:type="dxa"/>
            <w:tcBorders>
              <w:left w:val="nil"/>
            </w:tcBorders>
            <w:noWrap/>
            <w:vAlign w:val="center"/>
          </w:tcPr>
          <w:p w14:paraId="54AC8CF3"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72.7</w:t>
            </w:r>
          </w:p>
        </w:tc>
      </w:tr>
      <w:tr w:rsidR="00975564" w:rsidRPr="00975564" w14:paraId="380202C9" w14:textId="77777777" w:rsidTr="00975564">
        <w:trPr>
          <w:trHeight w:val="945"/>
        </w:trPr>
        <w:tc>
          <w:tcPr>
            <w:tcW w:w="5920" w:type="dxa"/>
            <w:hideMark/>
          </w:tcPr>
          <w:p w14:paraId="1DB71E27"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lastRenderedPageBreak/>
              <w:t>22. The public health agency has established procedures to facilitate timely dispensing of physical resources to the community in the context of emergencies (E.g. This may include medical prophylaxis and/or treatment).</w:t>
            </w:r>
          </w:p>
        </w:tc>
        <w:tc>
          <w:tcPr>
            <w:tcW w:w="1663" w:type="dxa"/>
            <w:tcBorders>
              <w:right w:val="nil"/>
            </w:tcBorders>
            <w:noWrap/>
            <w:vAlign w:val="center"/>
          </w:tcPr>
          <w:p w14:paraId="150C7BFD"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1AFD46C5"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32</w:t>
            </w:r>
          </w:p>
        </w:tc>
        <w:tc>
          <w:tcPr>
            <w:tcW w:w="1311" w:type="dxa"/>
            <w:tcBorders>
              <w:left w:val="nil"/>
            </w:tcBorders>
            <w:noWrap/>
            <w:vAlign w:val="center"/>
          </w:tcPr>
          <w:p w14:paraId="0190AD57"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97.0</w:t>
            </w:r>
          </w:p>
        </w:tc>
        <w:tc>
          <w:tcPr>
            <w:tcW w:w="1495" w:type="dxa"/>
            <w:tcBorders>
              <w:right w:val="nil"/>
            </w:tcBorders>
            <w:noWrap/>
            <w:vAlign w:val="center"/>
          </w:tcPr>
          <w:p w14:paraId="265697CE"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276" w:type="dxa"/>
            <w:tcBorders>
              <w:left w:val="nil"/>
              <w:right w:val="nil"/>
            </w:tcBorders>
            <w:noWrap/>
            <w:vAlign w:val="center"/>
          </w:tcPr>
          <w:p w14:paraId="630A9253"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29</w:t>
            </w:r>
          </w:p>
        </w:tc>
        <w:tc>
          <w:tcPr>
            <w:tcW w:w="1276" w:type="dxa"/>
            <w:tcBorders>
              <w:left w:val="nil"/>
            </w:tcBorders>
            <w:noWrap/>
            <w:vAlign w:val="center"/>
          </w:tcPr>
          <w:p w14:paraId="279C735A"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87.9</w:t>
            </w:r>
          </w:p>
        </w:tc>
      </w:tr>
      <w:tr w:rsidR="00975564" w:rsidRPr="00975564" w14:paraId="525F79C2" w14:textId="77777777" w:rsidTr="00975564">
        <w:trPr>
          <w:trHeight w:val="283"/>
        </w:trPr>
        <w:tc>
          <w:tcPr>
            <w:tcW w:w="5920" w:type="dxa"/>
            <w:shd w:val="clear" w:color="auto" w:fill="595959" w:themeFill="text1" w:themeFillTint="A6"/>
            <w:hideMark/>
          </w:tcPr>
          <w:p w14:paraId="4031B09C" w14:textId="77777777" w:rsidR="00975564" w:rsidRPr="00975564" w:rsidRDefault="00975564" w:rsidP="00975564">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Collaborative Networks</w:t>
            </w:r>
          </w:p>
        </w:tc>
        <w:tc>
          <w:tcPr>
            <w:tcW w:w="1663" w:type="dxa"/>
            <w:tcBorders>
              <w:right w:val="nil"/>
            </w:tcBorders>
            <w:shd w:val="clear" w:color="auto" w:fill="595959" w:themeFill="text1" w:themeFillTint="A6"/>
            <w:noWrap/>
            <w:vAlign w:val="center"/>
            <w:hideMark/>
          </w:tcPr>
          <w:p w14:paraId="4D513779"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168" w:type="dxa"/>
            <w:tcBorders>
              <w:left w:val="nil"/>
              <w:right w:val="nil"/>
            </w:tcBorders>
            <w:shd w:val="clear" w:color="auto" w:fill="595959" w:themeFill="text1" w:themeFillTint="A6"/>
            <w:noWrap/>
            <w:vAlign w:val="center"/>
            <w:hideMark/>
          </w:tcPr>
          <w:p w14:paraId="3FC9FEE3"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311" w:type="dxa"/>
            <w:tcBorders>
              <w:left w:val="nil"/>
            </w:tcBorders>
            <w:shd w:val="clear" w:color="auto" w:fill="595959" w:themeFill="text1" w:themeFillTint="A6"/>
            <w:noWrap/>
            <w:vAlign w:val="center"/>
            <w:hideMark/>
          </w:tcPr>
          <w:p w14:paraId="434433D0"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495" w:type="dxa"/>
            <w:tcBorders>
              <w:right w:val="nil"/>
            </w:tcBorders>
            <w:shd w:val="clear" w:color="auto" w:fill="595959" w:themeFill="text1" w:themeFillTint="A6"/>
            <w:noWrap/>
            <w:vAlign w:val="center"/>
            <w:hideMark/>
          </w:tcPr>
          <w:p w14:paraId="2A849B3D"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276" w:type="dxa"/>
            <w:tcBorders>
              <w:left w:val="nil"/>
              <w:right w:val="nil"/>
            </w:tcBorders>
            <w:shd w:val="clear" w:color="auto" w:fill="595959" w:themeFill="text1" w:themeFillTint="A6"/>
            <w:noWrap/>
            <w:vAlign w:val="center"/>
            <w:hideMark/>
          </w:tcPr>
          <w:p w14:paraId="3C44437C"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276" w:type="dxa"/>
            <w:tcBorders>
              <w:left w:val="nil"/>
            </w:tcBorders>
            <w:shd w:val="clear" w:color="auto" w:fill="595959" w:themeFill="text1" w:themeFillTint="A6"/>
            <w:noWrap/>
            <w:vAlign w:val="center"/>
            <w:hideMark/>
          </w:tcPr>
          <w:p w14:paraId="21DDBB19" w14:textId="77777777" w:rsidR="00975564" w:rsidRPr="00975564" w:rsidRDefault="00975564" w:rsidP="00975564">
            <w:pPr>
              <w:jc w:val="center"/>
              <w:rPr>
                <w:rFonts w:ascii="Times New Roman" w:hAnsi="Times New Roman" w:cs="Times New Roman"/>
                <w:b/>
                <w:color w:val="FFFFFF" w:themeColor="background1"/>
                <w:sz w:val="20"/>
                <w:szCs w:val="20"/>
              </w:rPr>
            </w:pPr>
          </w:p>
        </w:tc>
      </w:tr>
      <w:tr w:rsidR="00975564" w:rsidRPr="00975564" w14:paraId="1D8B21F3" w14:textId="77777777" w:rsidTr="00975564">
        <w:trPr>
          <w:trHeight w:val="461"/>
        </w:trPr>
        <w:tc>
          <w:tcPr>
            <w:tcW w:w="5920" w:type="dxa"/>
            <w:hideMark/>
          </w:tcPr>
          <w:p w14:paraId="33CEF2DA"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24. The public health agency has mechanisms for contacting network partners in the event of an emergency.</w:t>
            </w:r>
          </w:p>
        </w:tc>
        <w:tc>
          <w:tcPr>
            <w:tcW w:w="1663" w:type="dxa"/>
            <w:tcBorders>
              <w:right w:val="nil"/>
            </w:tcBorders>
            <w:noWrap/>
            <w:vAlign w:val="center"/>
          </w:tcPr>
          <w:p w14:paraId="254753D6"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 (1)</w:t>
            </w:r>
          </w:p>
        </w:tc>
        <w:tc>
          <w:tcPr>
            <w:tcW w:w="1168" w:type="dxa"/>
            <w:tcBorders>
              <w:left w:val="nil"/>
              <w:right w:val="nil"/>
            </w:tcBorders>
            <w:noWrap/>
            <w:vAlign w:val="center"/>
          </w:tcPr>
          <w:p w14:paraId="3C680CE3"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33</w:t>
            </w:r>
          </w:p>
        </w:tc>
        <w:tc>
          <w:tcPr>
            <w:tcW w:w="1311" w:type="dxa"/>
            <w:tcBorders>
              <w:left w:val="nil"/>
            </w:tcBorders>
            <w:noWrap/>
            <w:vAlign w:val="center"/>
          </w:tcPr>
          <w:p w14:paraId="7EC339A0"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100</w:t>
            </w:r>
          </w:p>
        </w:tc>
        <w:tc>
          <w:tcPr>
            <w:tcW w:w="1495" w:type="dxa"/>
            <w:tcBorders>
              <w:right w:val="nil"/>
            </w:tcBorders>
            <w:noWrap/>
            <w:vAlign w:val="center"/>
          </w:tcPr>
          <w:p w14:paraId="2286B52D"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276" w:type="dxa"/>
            <w:tcBorders>
              <w:left w:val="nil"/>
              <w:right w:val="nil"/>
            </w:tcBorders>
            <w:noWrap/>
            <w:vAlign w:val="center"/>
          </w:tcPr>
          <w:p w14:paraId="24E1312D"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30</w:t>
            </w:r>
          </w:p>
        </w:tc>
        <w:tc>
          <w:tcPr>
            <w:tcW w:w="1276" w:type="dxa"/>
            <w:tcBorders>
              <w:left w:val="nil"/>
            </w:tcBorders>
            <w:noWrap/>
            <w:vAlign w:val="center"/>
          </w:tcPr>
          <w:p w14:paraId="6E285D2B"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90.9</w:t>
            </w:r>
          </w:p>
        </w:tc>
      </w:tr>
      <w:tr w:rsidR="00975564" w:rsidRPr="00975564" w14:paraId="3FF9F8FB" w14:textId="77777777" w:rsidTr="00975564">
        <w:trPr>
          <w:trHeight w:val="810"/>
        </w:trPr>
        <w:tc>
          <w:tcPr>
            <w:tcW w:w="5920" w:type="dxa"/>
            <w:hideMark/>
          </w:tcPr>
          <w:p w14:paraId="7DA22D55"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27. The public health agency has demonstrated the ability to perform cooperative activities with network partners. This ability may be demonstrated, for instance, during real or simulated emergencies.</w:t>
            </w:r>
          </w:p>
        </w:tc>
        <w:tc>
          <w:tcPr>
            <w:tcW w:w="1663" w:type="dxa"/>
            <w:tcBorders>
              <w:right w:val="nil"/>
            </w:tcBorders>
            <w:noWrap/>
            <w:vAlign w:val="center"/>
          </w:tcPr>
          <w:p w14:paraId="51B20FB6"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3711A072"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32</w:t>
            </w:r>
          </w:p>
        </w:tc>
        <w:tc>
          <w:tcPr>
            <w:tcW w:w="1311" w:type="dxa"/>
            <w:tcBorders>
              <w:left w:val="nil"/>
            </w:tcBorders>
            <w:noWrap/>
            <w:vAlign w:val="center"/>
          </w:tcPr>
          <w:p w14:paraId="3A44FB66"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97.0</w:t>
            </w:r>
          </w:p>
        </w:tc>
        <w:tc>
          <w:tcPr>
            <w:tcW w:w="1495" w:type="dxa"/>
            <w:tcBorders>
              <w:right w:val="nil"/>
            </w:tcBorders>
            <w:noWrap/>
            <w:vAlign w:val="center"/>
          </w:tcPr>
          <w:p w14:paraId="036D448F"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276" w:type="dxa"/>
            <w:tcBorders>
              <w:left w:val="nil"/>
              <w:right w:val="nil"/>
            </w:tcBorders>
            <w:noWrap/>
            <w:vAlign w:val="center"/>
          </w:tcPr>
          <w:p w14:paraId="11EBE6E3"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27</w:t>
            </w:r>
          </w:p>
        </w:tc>
        <w:tc>
          <w:tcPr>
            <w:tcW w:w="1276" w:type="dxa"/>
            <w:tcBorders>
              <w:left w:val="nil"/>
            </w:tcBorders>
            <w:noWrap/>
            <w:vAlign w:val="center"/>
          </w:tcPr>
          <w:p w14:paraId="22054A24"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81.8</w:t>
            </w:r>
          </w:p>
        </w:tc>
      </w:tr>
      <w:tr w:rsidR="00975564" w:rsidRPr="00975564" w14:paraId="63684DF9" w14:textId="77777777" w:rsidTr="00975564">
        <w:trPr>
          <w:trHeight w:val="283"/>
        </w:trPr>
        <w:tc>
          <w:tcPr>
            <w:tcW w:w="5920" w:type="dxa"/>
            <w:shd w:val="clear" w:color="auto" w:fill="595959" w:themeFill="text1" w:themeFillTint="A6"/>
            <w:hideMark/>
          </w:tcPr>
          <w:p w14:paraId="73D18DF9" w14:textId="77777777" w:rsidR="00975564" w:rsidRPr="00975564" w:rsidRDefault="00975564" w:rsidP="00975564">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Community Engagement (none)</w:t>
            </w:r>
          </w:p>
        </w:tc>
        <w:tc>
          <w:tcPr>
            <w:tcW w:w="1663" w:type="dxa"/>
            <w:tcBorders>
              <w:right w:val="nil"/>
            </w:tcBorders>
            <w:shd w:val="clear" w:color="auto" w:fill="595959" w:themeFill="text1" w:themeFillTint="A6"/>
            <w:noWrap/>
            <w:vAlign w:val="center"/>
            <w:hideMark/>
          </w:tcPr>
          <w:p w14:paraId="49406CA9"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168" w:type="dxa"/>
            <w:tcBorders>
              <w:left w:val="nil"/>
              <w:right w:val="nil"/>
            </w:tcBorders>
            <w:shd w:val="clear" w:color="auto" w:fill="595959" w:themeFill="text1" w:themeFillTint="A6"/>
            <w:noWrap/>
            <w:vAlign w:val="center"/>
            <w:hideMark/>
          </w:tcPr>
          <w:p w14:paraId="47957C1E"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311" w:type="dxa"/>
            <w:tcBorders>
              <w:left w:val="nil"/>
            </w:tcBorders>
            <w:shd w:val="clear" w:color="auto" w:fill="595959" w:themeFill="text1" w:themeFillTint="A6"/>
            <w:noWrap/>
            <w:vAlign w:val="center"/>
            <w:hideMark/>
          </w:tcPr>
          <w:p w14:paraId="4CC753E1"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495" w:type="dxa"/>
            <w:tcBorders>
              <w:right w:val="nil"/>
            </w:tcBorders>
            <w:shd w:val="clear" w:color="auto" w:fill="595959" w:themeFill="text1" w:themeFillTint="A6"/>
            <w:noWrap/>
            <w:vAlign w:val="center"/>
            <w:hideMark/>
          </w:tcPr>
          <w:p w14:paraId="15E9B56F"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276" w:type="dxa"/>
            <w:tcBorders>
              <w:left w:val="nil"/>
              <w:right w:val="nil"/>
            </w:tcBorders>
            <w:shd w:val="clear" w:color="auto" w:fill="595959" w:themeFill="text1" w:themeFillTint="A6"/>
            <w:noWrap/>
            <w:vAlign w:val="center"/>
            <w:hideMark/>
          </w:tcPr>
          <w:p w14:paraId="41E21CDF"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276" w:type="dxa"/>
            <w:tcBorders>
              <w:left w:val="nil"/>
            </w:tcBorders>
            <w:shd w:val="clear" w:color="auto" w:fill="595959" w:themeFill="text1" w:themeFillTint="A6"/>
            <w:noWrap/>
            <w:vAlign w:val="center"/>
            <w:hideMark/>
          </w:tcPr>
          <w:p w14:paraId="1A7A5DAC" w14:textId="77777777" w:rsidR="00975564" w:rsidRPr="00975564" w:rsidRDefault="00975564" w:rsidP="00975564">
            <w:pPr>
              <w:jc w:val="center"/>
              <w:rPr>
                <w:rFonts w:ascii="Times New Roman" w:hAnsi="Times New Roman" w:cs="Times New Roman"/>
                <w:b/>
                <w:color w:val="FFFFFF" w:themeColor="background1"/>
                <w:sz w:val="20"/>
                <w:szCs w:val="20"/>
              </w:rPr>
            </w:pPr>
          </w:p>
        </w:tc>
      </w:tr>
      <w:tr w:rsidR="00975564" w:rsidRPr="00975564" w14:paraId="5D28278F" w14:textId="77777777" w:rsidTr="00975564">
        <w:trPr>
          <w:trHeight w:val="283"/>
        </w:trPr>
        <w:tc>
          <w:tcPr>
            <w:tcW w:w="5920" w:type="dxa"/>
            <w:shd w:val="clear" w:color="auto" w:fill="595959" w:themeFill="text1" w:themeFillTint="A6"/>
            <w:hideMark/>
          </w:tcPr>
          <w:p w14:paraId="33843607" w14:textId="77777777" w:rsidR="00975564" w:rsidRPr="00975564" w:rsidRDefault="00975564" w:rsidP="00975564">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Communication</w:t>
            </w:r>
          </w:p>
        </w:tc>
        <w:tc>
          <w:tcPr>
            <w:tcW w:w="1663" w:type="dxa"/>
            <w:tcBorders>
              <w:right w:val="nil"/>
            </w:tcBorders>
            <w:shd w:val="clear" w:color="auto" w:fill="595959" w:themeFill="text1" w:themeFillTint="A6"/>
            <w:noWrap/>
            <w:vAlign w:val="center"/>
            <w:hideMark/>
          </w:tcPr>
          <w:p w14:paraId="72198BF2"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168" w:type="dxa"/>
            <w:tcBorders>
              <w:left w:val="nil"/>
              <w:bottom w:val="single" w:sz="4" w:space="0" w:color="auto"/>
              <w:right w:val="nil"/>
            </w:tcBorders>
            <w:shd w:val="clear" w:color="auto" w:fill="595959" w:themeFill="text1" w:themeFillTint="A6"/>
            <w:noWrap/>
            <w:vAlign w:val="center"/>
            <w:hideMark/>
          </w:tcPr>
          <w:p w14:paraId="591AC836"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311" w:type="dxa"/>
            <w:tcBorders>
              <w:left w:val="nil"/>
            </w:tcBorders>
            <w:shd w:val="clear" w:color="auto" w:fill="595959" w:themeFill="text1" w:themeFillTint="A6"/>
            <w:noWrap/>
            <w:vAlign w:val="center"/>
            <w:hideMark/>
          </w:tcPr>
          <w:p w14:paraId="737F9ED9"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495" w:type="dxa"/>
            <w:tcBorders>
              <w:right w:val="nil"/>
            </w:tcBorders>
            <w:shd w:val="clear" w:color="auto" w:fill="595959" w:themeFill="text1" w:themeFillTint="A6"/>
            <w:noWrap/>
            <w:vAlign w:val="center"/>
            <w:hideMark/>
          </w:tcPr>
          <w:p w14:paraId="01FDE5DE"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276" w:type="dxa"/>
            <w:tcBorders>
              <w:left w:val="nil"/>
              <w:right w:val="nil"/>
            </w:tcBorders>
            <w:shd w:val="clear" w:color="auto" w:fill="595959" w:themeFill="text1" w:themeFillTint="A6"/>
            <w:noWrap/>
            <w:vAlign w:val="center"/>
            <w:hideMark/>
          </w:tcPr>
          <w:p w14:paraId="04683305"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276" w:type="dxa"/>
            <w:tcBorders>
              <w:left w:val="nil"/>
            </w:tcBorders>
            <w:shd w:val="clear" w:color="auto" w:fill="595959" w:themeFill="text1" w:themeFillTint="A6"/>
            <w:noWrap/>
            <w:vAlign w:val="center"/>
            <w:hideMark/>
          </w:tcPr>
          <w:p w14:paraId="2C79F13B" w14:textId="77777777" w:rsidR="00975564" w:rsidRPr="00975564" w:rsidRDefault="00975564" w:rsidP="00975564">
            <w:pPr>
              <w:jc w:val="center"/>
              <w:rPr>
                <w:rFonts w:ascii="Times New Roman" w:hAnsi="Times New Roman" w:cs="Times New Roman"/>
                <w:b/>
                <w:color w:val="FFFFFF" w:themeColor="background1"/>
                <w:sz w:val="20"/>
                <w:szCs w:val="20"/>
              </w:rPr>
            </w:pPr>
          </w:p>
        </w:tc>
      </w:tr>
      <w:tr w:rsidR="00975564" w:rsidRPr="00975564" w14:paraId="62B3D1E3" w14:textId="77777777" w:rsidTr="00975564">
        <w:trPr>
          <w:trHeight w:val="630"/>
        </w:trPr>
        <w:tc>
          <w:tcPr>
            <w:tcW w:w="5920" w:type="dxa"/>
            <w:hideMark/>
          </w:tcPr>
          <w:p w14:paraId="68828050"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33. The public health agency has developed communication strategies for multiple audiences in advance of emergencies, based on its risk assessment.</w:t>
            </w:r>
          </w:p>
        </w:tc>
        <w:tc>
          <w:tcPr>
            <w:tcW w:w="1663" w:type="dxa"/>
            <w:tcBorders>
              <w:right w:val="nil"/>
            </w:tcBorders>
            <w:noWrap/>
            <w:vAlign w:val="center"/>
          </w:tcPr>
          <w:p w14:paraId="718159AC"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168" w:type="dxa"/>
            <w:tcBorders>
              <w:left w:val="nil"/>
              <w:right w:val="nil"/>
            </w:tcBorders>
            <w:noWrap/>
            <w:vAlign w:val="center"/>
          </w:tcPr>
          <w:p w14:paraId="0A5A08CF"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30</w:t>
            </w:r>
          </w:p>
        </w:tc>
        <w:tc>
          <w:tcPr>
            <w:tcW w:w="1311" w:type="dxa"/>
            <w:tcBorders>
              <w:left w:val="nil"/>
            </w:tcBorders>
            <w:noWrap/>
            <w:vAlign w:val="center"/>
          </w:tcPr>
          <w:p w14:paraId="3B10A146"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90.9</w:t>
            </w:r>
          </w:p>
        </w:tc>
        <w:tc>
          <w:tcPr>
            <w:tcW w:w="1495" w:type="dxa"/>
            <w:tcBorders>
              <w:right w:val="nil"/>
            </w:tcBorders>
            <w:noWrap/>
            <w:vAlign w:val="center"/>
          </w:tcPr>
          <w:p w14:paraId="0807DD7D"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276" w:type="dxa"/>
            <w:tcBorders>
              <w:left w:val="nil"/>
              <w:right w:val="nil"/>
            </w:tcBorders>
            <w:noWrap/>
            <w:vAlign w:val="center"/>
          </w:tcPr>
          <w:p w14:paraId="30C8BCD5"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29</w:t>
            </w:r>
          </w:p>
        </w:tc>
        <w:tc>
          <w:tcPr>
            <w:tcW w:w="1276" w:type="dxa"/>
            <w:tcBorders>
              <w:left w:val="nil"/>
            </w:tcBorders>
            <w:noWrap/>
            <w:vAlign w:val="center"/>
          </w:tcPr>
          <w:p w14:paraId="2001089A"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87.9</w:t>
            </w:r>
          </w:p>
        </w:tc>
      </w:tr>
      <w:tr w:rsidR="00975564" w:rsidRPr="00975564" w14:paraId="748B0237" w14:textId="77777777" w:rsidTr="00975564">
        <w:trPr>
          <w:trHeight w:val="587"/>
        </w:trPr>
        <w:tc>
          <w:tcPr>
            <w:tcW w:w="5920" w:type="dxa"/>
            <w:hideMark/>
          </w:tcPr>
          <w:p w14:paraId="2787D86B"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34. The public health agency communication strategy uses multiple communication platforms to facilitate timely information-sharing in the context of an emergency; for example, town-hall meetings, websites, social media, spokespersons, information call lines/centres.</w:t>
            </w:r>
          </w:p>
        </w:tc>
        <w:tc>
          <w:tcPr>
            <w:tcW w:w="1663" w:type="dxa"/>
            <w:tcBorders>
              <w:right w:val="nil"/>
            </w:tcBorders>
            <w:noWrap/>
            <w:vAlign w:val="center"/>
          </w:tcPr>
          <w:p w14:paraId="21864A61"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 (1)</w:t>
            </w:r>
          </w:p>
        </w:tc>
        <w:tc>
          <w:tcPr>
            <w:tcW w:w="1168" w:type="dxa"/>
            <w:tcBorders>
              <w:left w:val="nil"/>
              <w:right w:val="nil"/>
            </w:tcBorders>
            <w:noWrap/>
            <w:vAlign w:val="center"/>
          </w:tcPr>
          <w:p w14:paraId="37E025FC"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31</w:t>
            </w:r>
          </w:p>
        </w:tc>
        <w:tc>
          <w:tcPr>
            <w:tcW w:w="1311" w:type="dxa"/>
            <w:tcBorders>
              <w:left w:val="nil"/>
            </w:tcBorders>
            <w:noWrap/>
            <w:vAlign w:val="center"/>
          </w:tcPr>
          <w:p w14:paraId="2D1DF79C"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93.9</w:t>
            </w:r>
          </w:p>
        </w:tc>
        <w:tc>
          <w:tcPr>
            <w:tcW w:w="1495" w:type="dxa"/>
            <w:tcBorders>
              <w:right w:val="nil"/>
            </w:tcBorders>
            <w:noWrap/>
            <w:vAlign w:val="center"/>
          </w:tcPr>
          <w:p w14:paraId="71B0E4F3"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276" w:type="dxa"/>
            <w:tcBorders>
              <w:left w:val="nil"/>
              <w:right w:val="nil"/>
            </w:tcBorders>
            <w:noWrap/>
            <w:vAlign w:val="center"/>
          </w:tcPr>
          <w:p w14:paraId="2A4C30D8"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32</w:t>
            </w:r>
          </w:p>
        </w:tc>
        <w:tc>
          <w:tcPr>
            <w:tcW w:w="1276" w:type="dxa"/>
            <w:tcBorders>
              <w:left w:val="nil"/>
            </w:tcBorders>
            <w:noWrap/>
            <w:vAlign w:val="center"/>
          </w:tcPr>
          <w:p w14:paraId="47FA9DF8"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97.0</w:t>
            </w:r>
          </w:p>
        </w:tc>
      </w:tr>
      <w:tr w:rsidR="00975564" w:rsidRPr="00975564" w14:paraId="5BB1D1BE" w14:textId="77777777" w:rsidTr="00975564">
        <w:trPr>
          <w:trHeight w:val="630"/>
        </w:trPr>
        <w:tc>
          <w:tcPr>
            <w:tcW w:w="5920" w:type="dxa"/>
            <w:hideMark/>
          </w:tcPr>
          <w:p w14:paraId="13E0F0FE"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35. The public health agency has a process for the public and media to ask questions and voice concerns; for example, town hall meetings, social media, information call lines/centres.</w:t>
            </w:r>
          </w:p>
        </w:tc>
        <w:tc>
          <w:tcPr>
            <w:tcW w:w="1663" w:type="dxa"/>
            <w:tcBorders>
              <w:right w:val="nil"/>
            </w:tcBorders>
            <w:noWrap/>
            <w:vAlign w:val="center"/>
          </w:tcPr>
          <w:p w14:paraId="378A013D"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 (1)</w:t>
            </w:r>
          </w:p>
        </w:tc>
        <w:tc>
          <w:tcPr>
            <w:tcW w:w="1168" w:type="dxa"/>
            <w:tcBorders>
              <w:left w:val="nil"/>
              <w:right w:val="nil"/>
            </w:tcBorders>
            <w:noWrap/>
            <w:vAlign w:val="center"/>
          </w:tcPr>
          <w:p w14:paraId="445E4725"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30</w:t>
            </w:r>
          </w:p>
        </w:tc>
        <w:tc>
          <w:tcPr>
            <w:tcW w:w="1311" w:type="dxa"/>
            <w:tcBorders>
              <w:left w:val="nil"/>
            </w:tcBorders>
            <w:noWrap/>
            <w:vAlign w:val="center"/>
          </w:tcPr>
          <w:p w14:paraId="6FDC22F1"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90.9</w:t>
            </w:r>
          </w:p>
        </w:tc>
        <w:tc>
          <w:tcPr>
            <w:tcW w:w="1495" w:type="dxa"/>
            <w:tcBorders>
              <w:right w:val="nil"/>
            </w:tcBorders>
            <w:noWrap/>
            <w:vAlign w:val="center"/>
          </w:tcPr>
          <w:p w14:paraId="6B3562D9"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276" w:type="dxa"/>
            <w:tcBorders>
              <w:left w:val="nil"/>
              <w:right w:val="nil"/>
            </w:tcBorders>
            <w:noWrap/>
            <w:vAlign w:val="center"/>
          </w:tcPr>
          <w:p w14:paraId="7A1DFCDD"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29</w:t>
            </w:r>
          </w:p>
        </w:tc>
        <w:tc>
          <w:tcPr>
            <w:tcW w:w="1276" w:type="dxa"/>
            <w:tcBorders>
              <w:left w:val="nil"/>
            </w:tcBorders>
            <w:noWrap/>
            <w:vAlign w:val="center"/>
          </w:tcPr>
          <w:p w14:paraId="6B7AA8FD"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87.9</w:t>
            </w:r>
          </w:p>
        </w:tc>
      </w:tr>
      <w:tr w:rsidR="00975564" w:rsidRPr="00975564" w14:paraId="08E3CED1" w14:textId="77777777" w:rsidTr="00975564">
        <w:trPr>
          <w:trHeight w:val="630"/>
        </w:trPr>
        <w:tc>
          <w:tcPr>
            <w:tcW w:w="5920" w:type="dxa"/>
            <w:hideMark/>
          </w:tcPr>
          <w:p w14:paraId="4FC84C26"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36. The public health agency has a process for monitoring the media, including social media, to rapidly identify rumours and correct misinformation.</w:t>
            </w:r>
          </w:p>
        </w:tc>
        <w:tc>
          <w:tcPr>
            <w:tcW w:w="1663" w:type="dxa"/>
            <w:tcBorders>
              <w:right w:val="nil"/>
            </w:tcBorders>
            <w:noWrap/>
            <w:vAlign w:val="center"/>
          </w:tcPr>
          <w:p w14:paraId="521E3DBF"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6D33B076"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31</w:t>
            </w:r>
          </w:p>
        </w:tc>
        <w:tc>
          <w:tcPr>
            <w:tcW w:w="1311" w:type="dxa"/>
            <w:tcBorders>
              <w:left w:val="nil"/>
            </w:tcBorders>
            <w:noWrap/>
            <w:vAlign w:val="center"/>
          </w:tcPr>
          <w:p w14:paraId="7305842B"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93.9</w:t>
            </w:r>
          </w:p>
        </w:tc>
        <w:tc>
          <w:tcPr>
            <w:tcW w:w="1495" w:type="dxa"/>
            <w:tcBorders>
              <w:right w:val="nil"/>
            </w:tcBorders>
            <w:noWrap/>
            <w:vAlign w:val="center"/>
          </w:tcPr>
          <w:p w14:paraId="35AC55A4"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276" w:type="dxa"/>
            <w:tcBorders>
              <w:left w:val="nil"/>
              <w:right w:val="nil"/>
            </w:tcBorders>
            <w:noWrap/>
            <w:vAlign w:val="center"/>
          </w:tcPr>
          <w:p w14:paraId="2F5E3D56"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26</w:t>
            </w:r>
          </w:p>
        </w:tc>
        <w:tc>
          <w:tcPr>
            <w:tcW w:w="1276" w:type="dxa"/>
            <w:tcBorders>
              <w:left w:val="nil"/>
            </w:tcBorders>
            <w:noWrap/>
            <w:vAlign w:val="center"/>
          </w:tcPr>
          <w:p w14:paraId="4D63CE07"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78.8</w:t>
            </w:r>
          </w:p>
        </w:tc>
      </w:tr>
      <w:tr w:rsidR="00975564" w:rsidRPr="00975564" w14:paraId="74DA1086" w14:textId="77777777" w:rsidTr="00975564">
        <w:trPr>
          <w:trHeight w:val="630"/>
        </w:trPr>
        <w:tc>
          <w:tcPr>
            <w:tcW w:w="5920" w:type="dxa"/>
            <w:hideMark/>
          </w:tcPr>
          <w:p w14:paraId="2681ED76"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37. The public health agency has structures to ensure message consistency with network partners; for example, regular network partner coordination meetings, incident management systems.</w:t>
            </w:r>
          </w:p>
        </w:tc>
        <w:tc>
          <w:tcPr>
            <w:tcW w:w="1663" w:type="dxa"/>
            <w:tcBorders>
              <w:right w:val="nil"/>
            </w:tcBorders>
            <w:noWrap/>
            <w:vAlign w:val="center"/>
          </w:tcPr>
          <w:p w14:paraId="617F90EC"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 (1)</w:t>
            </w:r>
          </w:p>
        </w:tc>
        <w:tc>
          <w:tcPr>
            <w:tcW w:w="1168" w:type="dxa"/>
            <w:tcBorders>
              <w:left w:val="nil"/>
              <w:right w:val="nil"/>
            </w:tcBorders>
            <w:noWrap/>
            <w:vAlign w:val="center"/>
          </w:tcPr>
          <w:p w14:paraId="75E78B64"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33</w:t>
            </w:r>
          </w:p>
        </w:tc>
        <w:tc>
          <w:tcPr>
            <w:tcW w:w="1311" w:type="dxa"/>
            <w:tcBorders>
              <w:left w:val="nil"/>
            </w:tcBorders>
            <w:noWrap/>
            <w:vAlign w:val="center"/>
          </w:tcPr>
          <w:p w14:paraId="4EDB7D7A"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100</w:t>
            </w:r>
          </w:p>
        </w:tc>
        <w:tc>
          <w:tcPr>
            <w:tcW w:w="1495" w:type="dxa"/>
            <w:tcBorders>
              <w:right w:val="nil"/>
            </w:tcBorders>
            <w:noWrap/>
            <w:vAlign w:val="center"/>
          </w:tcPr>
          <w:p w14:paraId="55699ECA"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(2)</w:t>
            </w:r>
          </w:p>
        </w:tc>
        <w:tc>
          <w:tcPr>
            <w:tcW w:w="1276" w:type="dxa"/>
            <w:tcBorders>
              <w:left w:val="nil"/>
              <w:right w:val="nil"/>
            </w:tcBorders>
            <w:noWrap/>
            <w:vAlign w:val="center"/>
          </w:tcPr>
          <w:p w14:paraId="4FFD93AF"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24</w:t>
            </w:r>
          </w:p>
        </w:tc>
        <w:tc>
          <w:tcPr>
            <w:tcW w:w="1276" w:type="dxa"/>
            <w:tcBorders>
              <w:left w:val="nil"/>
            </w:tcBorders>
            <w:noWrap/>
            <w:vAlign w:val="center"/>
          </w:tcPr>
          <w:p w14:paraId="4E17746B"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72.7</w:t>
            </w:r>
          </w:p>
        </w:tc>
      </w:tr>
      <w:tr w:rsidR="00975564" w:rsidRPr="00975564" w14:paraId="7B22E733" w14:textId="77777777" w:rsidTr="00975564">
        <w:trPr>
          <w:trHeight w:val="945"/>
        </w:trPr>
        <w:tc>
          <w:tcPr>
            <w:tcW w:w="5920" w:type="dxa"/>
            <w:hideMark/>
          </w:tcPr>
          <w:p w14:paraId="6CB8D4D8"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38. The public health agency has capacity for redundancy in communication platforms in the context of an emergency; for example, using alternate platforms in power outages or if regular communication channels are down.</w:t>
            </w:r>
          </w:p>
        </w:tc>
        <w:tc>
          <w:tcPr>
            <w:tcW w:w="1663" w:type="dxa"/>
            <w:tcBorders>
              <w:right w:val="nil"/>
            </w:tcBorders>
            <w:noWrap/>
            <w:vAlign w:val="center"/>
          </w:tcPr>
          <w:p w14:paraId="09CA5F87"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33BF77AA"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32</w:t>
            </w:r>
          </w:p>
        </w:tc>
        <w:tc>
          <w:tcPr>
            <w:tcW w:w="1311" w:type="dxa"/>
            <w:tcBorders>
              <w:left w:val="nil"/>
            </w:tcBorders>
            <w:noWrap/>
            <w:vAlign w:val="center"/>
          </w:tcPr>
          <w:p w14:paraId="535E8262"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97.0</w:t>
            </w:r>
          </w:p>
        </w:tc>
        <w:tc>
          <w:tcPr>
            <w:tcW w:w="1495" w:type="dxa"/>
            <w:tcBorders>
              <w:right w:val="nil"/>
            </w:tcBorders>
            <w:noWrap/>
            <w:vAlign w:val="center"/>
          </w:tcPr>
          <w:p w14:paraId="6BBCCA55"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(1)</w:t>
            </w:r>
          </w:p>
        </w:tc>
        <w:tc>
          <w:tcPr>
            <w:tcW w:w="1276" w:type="dxa"/>
            <w:tcBorders>
              <w:left w:val="nil"/>
              <w:right w:val="nil"/>
            </w:tcBorders>
            <w:noWrap/>
            <w:vAlign w:val="center"/>
          </w:tcPr>
          <w:p w14:paraId="44AB0BD3"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26</w:t>
            </w:r>
          </w:p>
        </w:tc>
        <w:tc>
          <w:tcPr>
            <w:tcW w:w="1276" w:type="dxa"/>
            <w:tcBorders>
              <w:left w:val="nil"/>
            </w:tcBorders>
            <w:noWrap/>
            <w:vAlign w:val="center"/>
          </w:tcPr>
          <w:p w14:paraId="70F17BAF"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78.8</w:t>
            </w:r>
          </w:p>
        </w:tc>
      </w:tr>
      <w:tr w:rsidR="00975564" w:rsidRPr="00975564" w14:paraId="6B2B51D2" w14:textId="77777777" w:rsidTr="00975564">
        <w:trPr>
          <w:trHeight w:val="283"/>
        </w:trPr>
        <w:tc>
          <w:tcPr>
            <w:tcW w:w="5920" w:type="dxa"/>
            <w:shd w:val="clear" w:color="auto" w:fill="595959" w:themeFill="text1" w:themeFillTint="A6"/>
            <w:hideMark/>
          </w:tcPr>
          <w:p w14:paraId="050C8ED6" w14:textId="77777777" w:rsidR="00975564" w:rsidRPr="00975564" w:rsidRDefault="00975564" w:rsidP="00975564">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Workforce Capacity</w:t>
            </w:r>
          </w:p>
        </w:tc>
        <w:tc>
          <w:tcPr>
            <w:tcW w:w="1663" w:type="dxa"/>
            <w:tcBorders>
              <w:right w:val="nil"/>
            </w:tcBorders>
            <w:shd w:val="clear" w:color="auto" w:fill="595959" w:themeFill="text1" w:themeFillTint="A6"/>
            <w:noWrap/>
            <w:vAlign w:val="center"/>
            <w:hideMark/>
          </w:tcPr>
          <w:p w14:paraId="4DD04C3B"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168" w:type="dxa"/>
            <w:tcBorders>
              <w:left w:val="nil"/>
              <w:right w:val="nil"/>
            </w:tcBorders>
            <w:shd w:val="clear" w:color="auto" w:fill="595959" w:themeFill="text1" w:themeFillTint="A6"/>
            <w:noWrap/>
            <w:vAlign w:val="center"/>
            <w:hideMark/>
          </w:tcPr>
          <w:p w14:paraId="4B095EE1"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311" w:type="dxa"/>
            <w:tcBorders>
              <w:left w:val="nil"/>
            </w:tcBorders>
            <w:shd w:val="clear" w:color="auto" w:fill="595959" w:themeFill="text1" w:themeFillTint="A6"/>
            <w:noWrap/>
            <w:vAlign w:val="center"/>
            <w:hideMark/>
          </w:tcPr>
          <w:p w14:paraId="4189C9B6"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495" w:type="dxa"/>
            <w:tcBorders>
              <w:right w:val="nil"/>
            </w:tcBorders>
            <w:shd w:val="clear" w:color="auto" w:fill="595959" w:themeFill="text1" w:themeFillTint="A6"/>
            <w:noWrap/>
            <w:vAlign w:val="center"/>
            <w:hideMark/>
          </w:tcPr>
          <w:p w14:paraId="5E0C1B24"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276" w:type="dxa"/>
            <w:tcBorders>
              <w:left w:val="nil"/>
              <w:right w:val="nil"/>
            </w:tcBorders>
            <w:shd w:val="clear" w:color="auto" w:fill="595959" w:themeFill="text1" w:themeFillTint="A6"/>
            <w:noWrap/>
            <w:vAlign w:val="center"/>
            <w:hideMark/>
          </w:tcPr>
          <w:p w14:paraId="117A0D9F"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276" w:type="dxa"/>
            <w:tcBorders>
              <w:left w:val="nil"/>
            </w:tcBorders>
            <w:shd w:val="clear" w:color="auto" w:fill="595959" w:themeFill="text1" w:themeFillTint="A6"/>
            <w:noWrap/>
            <w:vAlign w:val="center"/>
            <w:hideMark/>
          </w:tcPr>
          <w:p w14:paraId="12694290" w14:textId="77777777" w:rsidR="00975564" w:rsidRPr="00975564" w:rsidRDefault="00975564" w:rsidP="00975564">
            <w:pPr>
              <w:jc w:val="center"/>
              <w:rPr>
                <w:rFonts w:ascii="Times New Roman" w:hAnsi="Times New Roman" w:cs="Times New Roman"/>
                <w:b/>
                <w:color w:val="FFFFFF" w:themeColor="background1"/>
                <w:sz w:val="20"/>
                <w:szCs w:val="20"/>
              </w:rPr>
            </w:pPr>
          </w:p>
        </w:tc>
      </w:tr>
      <w:tr w:rsidR="00975564" w:rsidRPr="00975564" w14:paraId="4F09F01B" w14:textId="77777777" w:rsidTr="00975564">
        <w:trPr>
          <w:trHeight w:val="945"/>
        </w:trPr>
        <w:tc>
          <w:tcPr>
            <w:tcW w:w="5920" w:type="dxa"/>
            <w:hideMark/>
          </w:tcPr>
          <w:p w14:paraId="77EED860"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lastRenderedPageBreak/>
              <w:t>41. The public health agency has a workforce professional development plan for training its staff that is specific to emergency management topics; for example, content of emergency plans/protocols, incident management systems, communications.</w:t>
            </w:r>
          </w:p>
        </w:tc>
        <w:tc>
          <w:tcPr>
            <w:tcW w:w="1663" w:type="dxa"/>
            <w:tcBorders>
              <w:right w:val="nil"/>
            </w:tcBorders>
            <w:noWrap/>
            <w:vAlign w:val="center"/>
          </w:tcPr>
          <w:p w14:paraId="20EFDB14"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2CB46004"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30</w:t>
            </w:r>
          </w:p>
        </w:tc>
        <w:tc>
          <w:tcPr>
            <w:tcW w:w="1311" w:type="dxa"/>
            <w:tcBorders>
              <w:left w:val="nil"/>
            </w:tcBorders>
            <w:noWrap/>
            <w:vAlign w:val="center"/>
          </w:tcPr>
          <w:p w14:paraId="1ED43373"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90.9</w:t>
            </w:r>
          </w:p>
        </w:tc>
        <w:tc>
          <w:tcPr>
            <w:tcW w:w="1495" w:type="dxa"/>
            <w:tcBorders>
              <w:right w:val="nil"/>
            </w:tcBorders>
            <w:noWrap/>
            <w:vAlign w:val="center"/>
          </w:tcPr>
          <w:p w14:paraId="4DC68CE2"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276" w:type="dxa"/>
            <w:tcBorders>
              <w:left w:val="nil"/>
              <w:right w:val="nil"/>
            </w:tcBorders>
            <w:noWrap/>
            <w:vAlign w:val="center"/>
          </w:tcPr>
          <w:p w14:paraId="5517863A"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25</w:t>
            </w:r>
          </w:p>
        </w:tc>
        <w:tc>
          <w:tcPr>
            <w:tcW w:w="1276" w:type="dxa"/>
            <w:tcBorders>
              <w:left w:val="nil"/>
            </w:tcBorders>
            <w:noWrap/>
            <w:vAlign w:val="center"/>
          </w:tcPr>
          <w:p w14:paraId="02854DE5"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75.8</w:t>
            </w:r>
          </w:p>
        </w:tc>
      </w:tr>
      <w:tr w:rsidR="00975564" w:rsidRPr="00975564" w14:paraId="5A4EDB41" w14:textId="77777777" w:rsidTr="00975564">
        <w:trPr>
          <w:trHeight w:val="630"/>
        </w:trPr>
        <w:tc>
          <w:tcPr>
            <w:tcW w:w="5920" w:type="dxa"/>
            <w:hideMark/>
          </w:tcPr>
          <w:p w14:paraId="4B4D1234"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42. The public health agency conducts needs assessments regularly to determine the emergency management training needs of its workers.</w:t>
            </w:r>
          </w:p>
        </w:tc>
        <w:tc>
          <w:tcPr>
            <w:tcW w:w="1663" w:type="dxa"/>
            <w:tcBorders>
              <w:right w:val="nil"/>
            </w:tcBorders>
            <w:noWrap/>
            <w:vAlign w:val="center"/>
          </w:tcPr>
          <w:p w14:paraId="66C02FED"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168" w:type="dxa"/>
            <w:tcBorders>
              <w:left w:val="nil"/>
              <w:right w:val="nil"/>
            </w:tcBorders>
            <w:noWrap/>
            <w:vAlign w:val="center"/>
          </w:tcPr>
          <w:p w14:paraId="75FB8B89"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26</w:t>
            </w:r>
          </w:p>
        </w:tc>
        <w:tc>
          <w:tcPr>
            <w:tcW w:w="1311" w:type="dxa"/>
            <w:tcBorders>
              <w:left w:val="nil"/>
            </w:tcBorders>
            <w:noWrap/>
            <w:vAlign w:val="center"/>
          </w:tcPr>
          <w:p w14:paraId="4E24EAF3"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78.8</w:t>
            </w:r>
          </w:p>
        </w:tc>
        <w:tc>
          <w:tcPr>
            <w:tcW w:w="1495" w:type="dxa"/>
            <w:tcBorders>
              <w:right w:val="nil"/>
            </w:tcBorders>
            <w:noWrap/>
            <w:vAlign w:val="center"/>
          </w:tcPr>
          <w:p w14:paraId="79564092"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(2)</w:t>
            </w:r>
          </w:p>
        </w:tc>
        <w:tc>
          <w:tcPr>
            <w:tcW w:w="1276" w:type="dxa"/>
            <w:tcBorders>
              <w:left w:val="nil"/>
              <w:right w:val="nil"/>
            </w:tcBorders>
            <w:noWrap/>
            <w:vAlign w:val="center"/>
          </w:tcPr>
          <w:p w14:paraId="7CF80823"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24</w:t>
            </w:r>
          </w:p>
        </w:tc>
        <w:tc>
          <w:tcPr>
            <w:tcW w:w="1276" w:type="dxa"/>
            <w:tcBorders>
              <w:left w:val="nil"/>
            </w:tcBorders>
            <w:noWrap/>
            <w:vAlign w:val="center"/>
          </w:tcPr>
          <w:p w14:paraId="525D2485"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72.7</w:t>
            </w:r>
          </w:p>
        </w:tc>
      </w:tr>
      <w:tr w:rsidR="00975564" w:rsidRPr="00975564" w14:paraId="00F23403" w14:textId="77777777" w:rsidTr="00975564">
        <w:trPr>
          <w:trHeight w:val="945"/>
        </w:trPr>
        <w:tc>
          <w:tcPr>
            <w:tcW w:w="5920" w:type="dxa"/>
            <w:hideMark/>
          </w:tcPr>
          <w:p w14:paraId="1E3E3DC2"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43. The public health agency has an up-to-date inventory of staff trained in emergency management topics; for example, content of emergency plans/protocols, incident management systems, communications.</w:t>
            </w:r>
          </w:p>
        </w:tc>
        <w:tc>
          <w:tcPr>
            <w:tcW w:w="1663" w:type="dxa"/>
            <w:tcBorders>
              <w:right w:val="nil"/>
            </w:tcBorders>
            <w:noWrap/>
            <w:vAlign w:val="center"/>
          </w:tcPr>
          <w:p w14:paraId="54D3F997"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168" w:type="dxa"/>
            <w:tcBorders>
              <w:left w:val="nil"/>
              <w:right w:val="nil"/>
            </w:tcBorders>
            <w:noWrap/>
            <w:vAlign w:val="center"/>
          </w:tcPr>
          <w:p w14:paraId="631B05F2"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27</w:t>
            </w:r>
          </w:p>
        </w:tc>
        <w:tc>
          <w:tcPr>
            <w:tcW w:w="1311" w:type="dxa"/>
            <w:tcBorders>
              <w:left w:val="nil"/>
            </w:tcBorders>
            <w:noWrap/>
            <w:vAlign w:val="center"/>
          </w:tcPr>
          <w:p w14:paraId="1EC00AEE"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81.8</w:t>
            </w:r>
          </w:p>
        </w:tc>
        <w:tc>
          <w:tcPr>
            <w:tcW w:w="1495" w:type="dxa"/>
            <w:tcBorders>
              <w:right w:val="nil"/>
            </w:tcBorders>
            <w:noWrap/>
            <w:vAlign w:val="center"/>
          </w:tcPr>
          <w:p w14:paraId="48700329"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276" w:type="dxa"/>
            <w:tcBorders>
              <w:left w:val="nil"/>
              <w:right w:val="nil"/>
            </w:tcBorders>
            <w:noWrap/>
            <w:vAlign w:val="center"/>
          </w:tcPr>
          <w:p w14:paraId="0C36064D"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28</w:t>
            </w:r>
          </w:p>
        </w:tc>
        <w:tc>
          <w:tcPr>
            <w:tcW w:w="1276" w:type="dxa"/>
            <w:tcBorders>
              <w:left w:val="nil"/>
            </w:tcBorders>
            <w:noWrap/>
            <w:vAlign w:val="center"/>
          </w:tcPr>
          <w:p w14:paraId="0F9C799D"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84.8</w:t>
            </w:r>
          </w:p>
        </w:tc>
      </w:tr>
      <w:tr w:rsidR="00975564" w:rsidRPr="00975564" w14:paraId="3AE00671" w14:textId="77777777" w:rsidTr="00975564">
        <w:trPr>
          <w:trHeight w:val="945"/>
        </w:trPr>
        <w:tc>
          <w:tcPr>
            <w:tcW w:w="5920" w:type="dxa"/>
            <w:hideMark/>
          </w:tcPr>
          <w:p w14:paraId="66C1FE80"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45. The public health agency workforce has demonstrated the ability to perform cooperative activities as an organization in the context of emergencies. This may be demonstrated, for instance, during exercises or activations.</w:t>
            </w:r>
          </w:p>
        </w:tc>
        <w:tc>
          <w:tcPr>
            <w:tcW w:w="1663" w:type="dxa"/>
            <w:tcBorders>
              <w:right w:val="nil"/>
            </w:tcBorders>
            <w:noWrap/>
            <w:vAlign w:val="center"/>
          </w:tcPr>
          <w:p w14:paraId="3B4D632C"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22E258CA"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30</w:t>
            </w:r>
          </w:p>
        </w:tc>
        <w:tc>
          <w:tcPr>
            <w:tcW w:w="1311" w:type="dxa"/>
            <w:tcBorders>
              <w:left w:val="nil"/>
            </w:tcBorders>
            <w:noWrap/>
            <w:vAlign w:val="center"/>
          </w:tcPr>
          <w:p w14:paraId="60751400"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90.9</w:t>
            </w:r>
          </w:p>
        </w:tc>
        <w:tc>
          <w:tcPr>
            <w:tcW w:w="1495" w:type="dxa"/>
            <w:tcBorders>
              <w:right w:val="nil"/>
            </w:tcBorders>
            <w:noWrap/>
            <w:vAlign w:val="center"/>
          </w:tcPr>
          <w:p w14:paraId="068D1CF2"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(1)</w:t>
            </w:r>
          </w:p>
        </w:tc>
        <w:tc>
          <w:tcPr>
            <w:tcW w:w="1276" w:type="dxa"/>
            <w:tcBorders>
              <w:left w:val="nil"/>
              <w:right w:val="nil"/>
            </w:tcBorders>
            <w:noWrap/>
            <w:vAlign w:val="center"/>
          </w:tcPr>
          <w:p w14:paraId="6E9C1454"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25</w:t>
            </w:r>
          </w:p>
        </w:tc>
        <w:tc>
          <w:tcPr>
            <w:tcW w:w="1276" w:type="dxa"/>
            <w:tcBorders>
              <w:left w:val="nil"/>
            </w:tcBorders>
            <w:noWrap/>
            <w:vAlign w:val="center"/>
          </w:tcPr>
          <w:p w14:paraId="74C4BEFE"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75.8</w:t>
            </w:r>
          </w:p>
        </w:tc>
      </w:tr>
      <w:tr w:rsidR="00975564" w:rsidRPr="00975564" w14:paraId="15AE92EA" w14:textId="77777777" w:rsidTr="00975564">
        <w:trPr>
          <w:trHeight w:val="945"/>
        </w:trPr>
        <w:tc>
          <w:tcPr>
            <w:tcW w:w="5920" w:type="dxa"/>
            <w:hideMark/>
          </w:tcPr>
          <w:p w14:paraId="3F63F3BE"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46. The public health agency has established policies and procedures for supporting staff during an emergency with respect to their health and wellbeing; for example, on personal safety, mental well-being, family commitments.</w:t>
            </w:r>
          </w:p>
        </w:tc>
        <w:tc>
          <w:tcPr>
            <w:tcW w:w="1663" w:type="dxa"/>
            <w:tcBorders>
              <w:right w:val="nil"/>
            </w:tcBorders>
            <w:noWrap/>
            <w:vAlign w:val="center"/>
          </w:tcPr>
          <w:p w14:paraId="788A9FEE"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 (1)</w:t>
            </w:r>
          </w:p>
        </w:tc>
        <w:tc>
          <w:tcPr>
            <w:tcW w:w="1168" w:type="dxa"/>
            <w:tcBorders>
              <w:left w:val="nil"/>
              <w:right w:val="nil"/>
            </w:tcBorders>
            <w:noWrap/>
            <w:vAlign w:val="center"/>
          </w:tcPr>
          <w:p w14:paraId="79265A7A"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30</w:t>
            </w:r>
          </w:p>
        </w:tc>
        <w:tc>
          <w:tcPr>
            <w:tcW w:w="1311" w:type="dxa"/>
            <w:tcBorders>
              <w:left w:val="nil"/>
            </w:tcBorders>
            <w:noWrap/>
            <w:vAlign w:val="center"/>
          </w:tcPr>
          <w:p w14:paraId="4F6A059D"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90.9</w:t>
            </w:r>
          </w:p>
        </w:tc>
        <w:tc>
          <w:tcPr>
            <w:tcW w:w="1495" w:type="dxa"/>
            <w:tcBorders>
              <w:right w:val="nil"/>
            </w:tcBorders>
            <w:noWrap/>
            <w:vAlign w:val="center"/>
          </w:tcPr>
          <w:p w14:paraId="3166254A"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276" w:type="dxa"/>
            <w:tcBorders>
              <w:left w:val="nil"/>
              <w:right w:val="nil"/>
            </w:tcBorders>
            <w:noWrap/>
            <w:vAlign w:val="center"/>
          </w:tcPr>
          <w:p w14:paraId="36B145C6"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29</w:t>
            </w:r>
          </w:p>
        </w:tc>
        <w:tc>
          <w:tcPr>
            <w:tcW w:w="1276" w:type="dxa"/>
            <w:tcBorders>
              <w:left w:val="nil"/>
            </w:tcBorders>
            <w:noWrap/>
            <w:vAlign w:val="center"/>
          </w:tcPr>
          <w:p w14:paraId="49CE981E"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87.9</w:t>
            </w:r>
          </w:p>
        </w:tc>
      </w:tr>
      <w:tr w:rsidR="00975564" w:rsidRPr="00975564" w14:paraId="4074B551" w14:textId="77777777" w:rsidTr="00975564">
        <w:trPr>
          <w:trHeight w:val="283"/>
        </w:trPr>
        <w:tc>
          <w:tcPr>
            <w:tcW w:w="5920" w:type="dxa"/>
            <w:shd w:val="clear" w:color="auto" w:fill="595959" w:themeFill="text1" w:themeFillTint="A6"/>
            <w:hideMark/>
          </w:tcPr>
          <w:p w14:paraId="6546D094" w14:textId="77777777" w:rsidR="00975564" w:rsidRPr="00975564" w:rsidRDefault="00975564" w:rsidP="00975564">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Surveillance and Monitoring</w:t>
            </w:r>
          </w:p>
        </w:tc>
        <w:tc>
          <w:tcPr>
            <w:tcW w:w="1663" w:type="dxa"/>
            <w:tcBorders>
              <w:right w:val="nil"/>
            </w:tcBorders>
            <w:shd w:val="clear" w:color="auto" w:fill="595959" w:themeFill="text1" w:themeFillTint="A6"/>
            <w:noWrap/>
            <w:vAlign w:val="center"/>
            <w:hideMark/>
          </w:tcPr>
          <w:p w14:paraId="68BCB918"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168" w:type="dxa"/>
            <w:tcBorders>
              <w:left w:val="nil"/>
              <w:right w:val="nil"/>
            </w:tcBorders>
            <w:shd w:val="clear" w:color="auto" w:fill="595959" w:themeFill="text1" w:themeFillTint="A6"/>
            <w:noWrap/>
            <w:vAlign w:val="center"/>
            <w:hideMark/>
          </w:tcPr>
          <w:p w14:paraId="2B15CD2C"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311" w:type="dxa"/>
            <w:tcBorders>
              <w:left w:val="nil"/>
            </w:tcBorders>
            <w:shd w:val="clear" w:color="auto" w:fill="595959" w:themeFill="text1" w:themeFillTint="A6"/>
            <w:noWrap/>
            <w:vAlign w:val="center"/>
            <w:hideMark/>
          </w:tcPr>
          <w:p w14:paraId="7E6CE9B2"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495" w:type="dxa"/>
            <w:tcBorders>
              <w:right w:val="nil"/>
            </w:tcBorders>
            <w:shd w:val="clear" w:color="auto" w:fill="595959" w:themeFill="text1" w:themeFillTint="A6"/>
            <w:noWrap/>
            <w:vAlign w:val="center"/>
            <w:hideMark/>
          </w:tcPr>
          <w:p w14:paraId="334E5444"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276" w:type="dxa"/>
            <w:tcBorders>
              <w:left w:val="nil"/>
              <w:right w:val="nil"/>
            </w:tcBorders>
            <w:shd w:val="clear" w:color="auto" w:fill="595959" w:themeFill="text1" w:themeFillTint="A6"/>
            <w:noWrap/>
            <w:vAlign w:val="center"/>
            <w:hideMark/>
          </w:tcPr>
          <w:p w14:paraId="5F037F41"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276" w:type="dxa"/>
            <w:tcBorders>
              <w:left w:val="nil"/>
            </w:tcBorders>
            <w:shd w:val="clear" w:color="auto" w:fill="595959" w:themeFill="text1" w:themeFillTint="A6"/>
            <w:noWrap/>
            <w:vAlign w:val="center"/>
            <w:hideMark/>
          </w:tcPr>
          <w:p w14:paraId="2435D68D" w14:textId="77777777" w:rsidR="00975564" w:rsidRPr="00975564" w:rsidRDefault="00975564" w:rsidP="00975564">
            <w:pPr>
              <w:jc w:val="center"/>
              <w:rPr>
                <w:rFonts w:ascii="Times New Roman" w:hAnsi="Times New Roman" w:cs="Times New Roman"/>
                <w:b/>
                <w:color w:val="FFFFFF" w:themeColor="background1"/>
                <w:sz w:val="20"/>
                <w:szCs w:val="20"/>
              </w:rPr>
            </w:pPr>
          </w:p>
        </w:tc>
      </w:tr>
      <w:tr w:rsidR="00975564" w:rsidRPr="00975564" w14:paraId="08978448" w14:textId="77777777" w:rsidTr="00975564">
        <w:trPr>
          <w:trHeight w:val="630"/>
        </w:trPr>
        <w:tc>
          <w:tcPr>
            <w:tcW w:w="5920" w:type="dxa"/>
            <w:hideMark/>
          </w:tcPr>
          <w:p w14:paraId="585CB2F3"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49. The public health agency uses a syndromic surveillance and/or other early warning systems to detect potential public health emergencies in a timely manner.</w:t>
            </w:r>
          </w:p>
        </w:tc>
        <w:tc>
          <w:tcPr>
            <w:tcW w:w="1663" w:type="dxa"/>
            <w:tcBorders>
              <w:right w:val="nil"/>
            </w:tcBorders>
            <w:noWrap/>
            <w:vAlign w:val="center"/>
          </w:tcPr>
          <w:p w14:paraId="7749FBE6"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6C51AEC6"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30</w:t>
            </w:r>
          </w:p>
        </w:tc>
        <w:tc>
          <w:tcPr>
            <w:tcW w:w="1311" w:type="dxa"/>
            <w:tcBorders>
              <w:left w:val="nil"/>
            </w:tcBorders>
            <w:noWrap/>
            <w:vAlign w:val="center"/>
          </w:tcPr>
          <w:p w14:paraId="14AAC477"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90.9</w:t>
            </w:r>
          </w:p>
        </w:tc>
        <w:tc>
          <w:tcPr>
            <w:tcW w:w="1495" w:type="dxa"/>
            <w:tcBorders>
              <w:right w:val="nil"/>
            </w:tcBorders>
            <w:noWrap/>
            <w:vAlign w:val="center"/>
          </w:tcPr>
          <w:p w14:paraId="763FB74F"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(3)</w:t>
            </w:r>
          </w:p>
        </w:tc>
        <w:tc>
          <w:tcPr>
            <w:tcW w:w="1276" w:type="dxa"/>
            <w:tcBorders>
              <w:left w:val="nil"/>
              <w:right w:val="nil"/>
            </w:tcBorders>
            <w:noWrap/>
            <w:vAlign w:val="center"/>
          </w:tcPr>
          <w:p w14:paraId="056846BE"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24</w:t>
            </w:r>
          </w:p>
        </w:tc>
        <w:tc>
          <w:tcPr>
            <w:tcW w:w="1276" w:type="dxa"/>
            <w:tcBorders>
              <w:left w:val="nil"/>
            </w:tcBorders>
            <w:noWrap/>
            <w:vAlign w:val="center"/>
          </w:tcPr>
          <w:p w14:paraId="0C6E9003"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72.7</w:t>
            </w:r>
          </w:p>
        </w:tc>
      </w:tr>
      <w:tr w:rsidR="00975564" w:rsidRPr="00975564" w14:paraId="5327F29E" w14:textId="77777777" w:rsidTr="00975564">
        <w:trPr>
          <w:trHeight w:val="630"/>
        </w:trPr>
        <w:tc>
          <w:tcPr>
            <w:tcW w:w="5920" w:type="dxa"/>
            <w:hideMark/>
          </w:tcPr>
          <w:p w14:paraId="37BA72AF"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51. The public health agency has the capability to conduct rapid health risks and/or needs assessments for communities recently impacted by emergencies.</w:t>
            </w:r>
          </w:p>
        </w:tc>
        <w:tc>
          <w:tcPr>
            <w:tcW w:w="1663" w:type="dxa"/>
            <w:tcBorders>
              <w:right w:val="nil"/>
            </w:tcBorders>
            <w:noWrap/>
            <w:vAlign w:val="center"/>
          </w:tcPr>
          <w:p w14:paraId="06CE63B7"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168" w:type="dxa"/>
            <w:tcBorders>
              <w:left w:val="nil"/>
              <w:right w:val="nil"/>
            </w:tcBorders>
            <w:noWrap/>
            <w:vAlign w:val="center"/>
          </w:tcPr>
          <w:p w14:paraId="36D4298A"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29</w:t>
            </w:r>
          </w:p>
        </w:tc>
        <w:tc>
          <w:tcPr>
            <w:tcW w:w="1311" w:type="dxa"/>
            <w:tcBorders>
              <w:left w:val="nil"/>
            </w:tcBorders>
            <w:noWrap/>
            <w:vAlign w:val="center"/>
          </w:tcPr>
          <w:p w14:paraId="044A669B"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87.9</w:t>
            </w:r>
          </w:p>
        </w:tc>
        <w:tc>
          <w:tcPr>
            <w:tcW w:w="1495" w:type="dxa"/>
            <w:tcBorders>
              <w:right w:val="nil"/>
            </w:tcBorders>
            <w:noWrap/>
            <w:vAlign w:val="center"/>
          </w:tcPr>
          <w:p w14:paraId="354F091F"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(2)</w:t>
            </w:r>
          </w:p>
        </w:tc>
        <w:tc>
          <w:tcPr>
            <w:tcW w:w="1276" w:type="dxa"/>
            <w:tcBorders>
              <w:left w:val="nil"/>
              <w:bottom w:val="single" w:sz="4" w:space="0" w:color="auto"/>
              <w:right w:val="nil"/>
            </w:tcBorders>
            <w:noWrap/>
            <w:vAlign w:val="center"/>
          </w:tcPr>
          <w:p w14:paraId="341DC8AC"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24</w:t>
            </w:r>
          </w:p>
        </w:tc>
        <w:tc>
          <w:tcPr>
            <w:tcW w:w="1276" w:type="dxa"/>
            <w:tcBorders>
              <w:left w:val="nil"/>
            </w:tcBorders>
            <w:noWrap/>
            <w:vAlign w:val="center"/>
          </w:tcPr>
          <w:p w14:paraId="75A8433A"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72.7</w:t>
            </w:r>
          </w:p>
        </w:tc>
      </w:tr>
      <w:tr w:rsidR="00975564" w:rsidRPr="00975564" w14:paraId="70CEB676" w14:textId="77777777" w:rsidTr="00975564">
        <w:trPr>
          <w:trHeight w:val="283"/>
        </w:trPr>
        <w:tc>
          <w:tcPr>
            <w:tcW w:w="5920" w:type="dxa"/>
            <w:shd w:val="clear" w:color="auto" w:fill="595959" w:themeFill="text1" w:themeFillTint="A6"/>
            <w:hideMark/>
          </w:tcPr>
          <w:p w14:paraId="3E937CA1" w14:textId="77777777" w:rsidR="00975564" w:rsidRPr="00975564" w:rsidRDefault="00975564" w:rsidP="00975564">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Learning and Evaluation</w:t>
            </w:r>
          </w:p>
        </w:tc>
        <w:tc>
          <w:tcPr>
            <w:tcW w:w="1663" w:type="dxa"/>
            <w:tcBorders>
              <w:right w:val="nil"/>
            </w:tcBorders>
            <w:shd w:val="clear" w:color="auto" w:fill="595959" w:themeFill="text1" w:themeFillTint="A6"/>
            <w:noWrap/>
            <w:vAlign w:val="center"/>
            <w:hideMark/>
          </w:tcPr>
          <w:p w14:paraId="3B20EF2D"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168" w:type="dxa"/>
            <w:tcBorders>
              <w:left w:val="nil"/>
              <w:right w:val="nil"/>
            </w:tcBorders>
            <w:shd w:val="clear" w:color="auto" w:fill="595959" w:themeFill="text1" w:themeFillTint="A6"/>
            <w:noWrap/>
            <w:vAlign w:val="center"/>
            <w:hideMark/>
          </w:tcPr>
          <w:p w14:paraId="79845E25"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311" w:type="dxa"/>
            <w:tcBorders>
              <w:left w:val="nil"/>
            </w:tcBorders>
            <w:shd w:val="clear" w:color="auto" w:fill="595959" w:themeFill="text1" w:themeFillTint="A6"/>
            <w:noWrap/>
            <w:vAlign w:val="center"/>
            <w:hideMark/>
          </w:tcPr>
          <w:p w14:paraId="661CB89C"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495" w:type="dxa"/>
            <w:tcBorders>
              <w:right w:val="nil"/>
            </w:tcBorders>
            <w:shd w:val="clear" w:color="auto" w:fill="595959" w:themeFill="text1" w:themeFillTint="A6"/>
            <w:noWrap/>
            <w:vAlign w:val="center"/>
            <w:hideMark/>
          </w:tcPr>
          <w:p w14:paraId="76E32C95"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276" w:type="dxa"/>
            <w:tcBorders>
              <w:left w:val="nil"/>
              <w:bottom w:val="single" w:sz="4" w:space="0" w:color="auto"/>
              <w:right w:val="nil"/>
            </w:tcBorders>
            <w:shd w:val="clear" w:color="auto" w:fill="595959" w:themeFill="text1" w:themeFillTint="A6"/>
            <w:noWrap/>
            <w:vAlign w:val="center"/>
            <w:hideMark/>
          </w:tcPr>
          <w:p w14:paraId="04325043"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276" w:type="dxa"/>
            <w:tcBorders>
              <w:left w:val="nil"/>
            </w:tcBorders>
            <w:shd w:val="clear" w:color="auto" w:fill="595959" w:themeFill="text1" w:themeFillTint="A6"/>
            <w:noWrap/>
            <w:vAlign w:val="center"/>
            <w:hideMark/>
          </w:tcPr>
          <w:p w14:paraId="193DBED5" w14:textId="77777777" w:rsidR="00975564" w:rsidRPr="00975564" w:rsidRDefault="00975564" w:rsidP="00975564">
            <w:pPr>
              <w:jc w:val="center"/>
              <w:rPr>
                <w:rFonts w:ascii="Times New Roman" w:hAnsi="Times New Roman" w:cs="Times New Roman"/>
                <w:b/>
                <w:color w:val="FFFFFF" w:themeColor="background1"/>
                <w:sz w:val="20"/>
                <w:szCs w:val="20"/>
              </w:rPr>
            </w:pPr>
          </w:p>
        </w:tc>
      </w:tr>
      <w:tr w:rsidR="00975564" w:rsidRPr="00975564" w14:paraId="4524C095" w14:textId="77777777" w:rsidTr="00975564">
        <w:trPr>
          <w:trHeight w:val="945"/>
        </w:trPr>
        <w:tc>
          <w:tcPr>
            <w:tcW w:w="5920" w:type="dxa"/>
            <w:hideMark/>
          </w:tcPr>
          <w:p w14:paraId="453AB8D7"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 xml:space="preserve">53. The public health agency applies a self-assessment process to emergency management. This process may be applied to tests, exercises, simulations and/or emergency plan activations and agency responses. </w:t>
            </w:r>
          </w:p>
        </w:tc>
        <w:tc>
          <w:tcPr>
            <w:tcW w:w="1663" w:type="dxa"/>
            <w:tcBorders>
              <w:right w:val="nil"/>
            </w:tcBorders>
            <w:noWrap/>
            <w:vAlign w:val="center"/>
          </w:tcPr>
          <w:p w14:paraId="78D1E033"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26930B66"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28</w:t>
            </w:r>
          </w:p>
        </w:tc>
        <w:tc>
          <w:tcPr>
            <w:tcW w:w="1311" w:type="dxa"/>
            <w:tcBorders>
              <w:left w:val="nil"/>
            </w:tcBorders>
            <w:noWrap/>
            <w:vAlign w:val="center"/>
          </w:tcPr>
          <w:p w14:paraId="72292018"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84.8</w:t>
            </w:r>
          </w:p>
        </w:tc>
        <w:tc>
          <w:tcPr>
            <w:tcW w:w="1495" w:type="dxa"/>
            <w:tcBorders>
              <w:right w:val="nil"/>
            </w:tcBorders>
            <w:noWrap/>
            <w:vAlign w:val="center"/>
          </w:tcPr>
          <w:p w14:paraId="2EC122F8"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276" w:type="dxa"/>
            <w:tcBorders>
              <w:left w:val="nil"/>
              <w:right w:val="nil"/>
            </w:tcBorders>
            <w:noWrap/>
            <w:vAlign w:val="center"/>
          </w:tcPr>
          <w:p w14:paraId="42674D73"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28</w:t>
            </w:r>
          </w:p>
        </w:tc>
        <w:tc>
          <w:tcPr>
            <w:tcW w:w="1276" w:type="dxa"/>
            <w:tcBorders>
              <w:left w:val="nil"/>
            </w:tcBorders>
            <w:noWrap/>
            <w:vAlign w:val="center"/>
          </w:tcPr>
          <w:p w14:paraId="101307F3"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84.8</w:t>
            </w:r>
          </w:p>
        </w:tc>
      </w:tr>
      <w:tr w:rsidR="00975564" w:rsidRPr="00975564" w14:paraId="25FD1163" w14:textId="77777777" w:rsidTr="00975564">
        <w:trPr>
          <w:trHeight w:val="630"/>
        </w:trPr>
        <w:tc>
          <w:tcPr>
            <w:tcW w:w="5920" w:type="dxa"/>
            <w:hideMark/>
          </w:tcPr>
          <w:p w14:paraId="2DFCDCA9"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54. The public health agency’s self-assessment process is used to identify capabilities, strengths and/or assets to describe successes relevant to emergency management.</w:t>
            </w:r>
          </w:p>
        </w:tc>
        <w:tc>
          <w:tcPr>
            <w:tcW w:w="1663" w:type="dxa"/>
            <w:tcBorders>
              <w:right w:val="nil"/>
            </w:tcBorders>
            <w:noWrap/>
            <w:vAlign w:val="center"/>
          </w:tcPr>
          <w:p w14:paraId="58AA12A4"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168" w:type="dxa"/>
            <w:tcBorders>
              <w:left w:val="nil"/>
              <w:right w:val="nil"/>
            </w:tcBorders>
            <w:noWrap/>
            <w:vAlign w:val="center"/>
          </w:tcPr>
          <w:p w14:paraId="0F99EFDA"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28</w:t>
            </w:r>
          </w:p>
        </w:tc>
        <w:tc>
          <w:tcPr>
            <w:tcW w:w="1311" w:type="dxa"/>
            <w:tcBorders>
              <w:left w:val="nil"/>
            </w:tcBorders>
            <w:noWrap/>
            <w:vAlign w:val="center"/>
          </w:tcPr>
          <w:p w14:paraId="1F93429B"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84.8</w:t>
            </w:r>
          </w:p>
        </w:tc>
        <w:tc>
          <w:tcPr>
            <w:tcW w:w="1495" w:type="dxa"/>
            <w:tcBorders>
              <w:right w:val="nil"/>
            </w:tcBorders>
            <w:noWrap/>
            <w:vAlign w:val="center"/>
          </w:tcPr>
          <w:p w14:paraId="6F6F07ED"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276" w:type="dxa"/>
            <w:tcBorders>
              <w:left w:val="nil"/>
              <w:right w:val="nil"/>
            </w:tcBorders>
            <w:noWrap/>
            <w:vAlign w:val="center"/>
          </w:tcPr>
          <w:p w14:paraId="11900437"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27</w:t>
            </w:r>
          </w:p>
        </w:tc>
        <w:tc>
          <w:tcPr>
            <w:tcW w:w="1276" w:type="dxa"/>
            <w:tcBorders>
              <w:left w:val="nil"/>
            </w:tcBorders>
            <w:noWrap/>
            <w:vAlign w:val="center"/>
          </w:tcPr>
          <w:p w14:paraId="5CFE61DC"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81.8</w:t>
            </w:r>
          </w:p>
        </w:tc>
      </w:tr>
      <w:tr w:rsidR="00975564" w:rsidRPr="00975564" w14:paraId="6A23FFFC" w14:textId="77777777" w:rsidTr="00975564">
        <w:trPr>
          <w:trHeight w:val="945"/>
        </w:trPr>
        <w:tc>
          <w:tcPr>
            <w:tcW w:w="5920" w:type="dxa"/>
            <w:hideMark/>
          </w:tcPr>
          <w:p w14:paraId="7890BBFB" w14:textId="77777777" w:rsidR="00975564" w:rsidRPr="00975564" w:rsidRDefault="00975564" w:rsidP="00975564">
            <w:pPr>
              <w:rPr>
                <w:rFonts w:ascii="Times New Roman" w:hAnsi="Times New Roman" w:cs="Times New Roman"/>
                <w:sz w:val="20"/>
                <w:szCs w:val="20"/>
              </w:rPr>
            </w:pPr>
            <w:r w:rsidRPr="00975564">
              <w:rPr>
                <w:rFonts w:ascii="Times New Roman" w:hAnsi="Times New Roman" w:cs="Times New Roman"/>
                <w:color w:val="000000"/>
                <w:sz w:val="20"/>
                <w:szCs w:val="20"/>
              </w:rPr>
              <w:lastRenderedPageBreak/>
              <w:t>55. The public health agency’s self-assessment process is used to inform improvement actions; for example, identifying responsible groups for corrective actions and establishing timelines for change.</w:t>
            </w:r>
          </w:p>
        </w:tc>
        <w:tc>
          <w:tcPr>
            <w:tcW w:w="1663" w:type="dxa"/>
            <w:tcBorders>
              <w:right w:val="nil"/>
            </w:tcBorders>
            <w:noWrap/>
            <w:vAlign w:val="center"/>
          </w:tcPr>
          <w:p w14:paraId="63889527"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09CED482"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28</w:t>
            </w:r>
          </w:p>
        </w:tc>
        <w:tc>
          <w:tcPr>
            <w:tcW w:w="1311" w:type="dxa"/>
            <w:tcBorders>
              <w:left w:val="nil"/>
            </w:tcBorders>
            <w:noWrap/>
            <w:vAlign w:val="center"/>
          </w:tcPr>
          <w:p w14:paraId="5EBB42CF"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84.8</w:t>
            </w:r>
          </w:p>
        </w:tc>
        <w:tc>
          <w:tcPr>
            <w:tcW w:w="1495" w:type="dxa"/>
            <w:tcBorders>
              <w:right w:val="nil"/>
            </w:tcBorders>
            <w:noWrap/>
            <w:vAlign w:val="center"/>
          </w:tcPr>
          <w:p w14:paraId="50FEF942"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276" w:type="dxa"/>
            <w:tcBorders>
              <w:left w:val="nil"/>
              <w:right w:val="nil"/>
            </w:tcBorders>
            <w:noWrap/>
            <w:vAlign w:val="center"/>
          </w:tcPr>
          <w:p w14:paraId="60AD2EB1"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26</w:t>
            </w:r>
          </w:p>
        </w:tc>
        <w:tc>
          <w:tcPr>
            <w:tcW w:w="1276" w:type="dxa"/>
            <w:tcBorders>
              <w:left w:val="nil"/>
            </w:tcBorders>
            <w:noWrap/>
            <w:vAlign w:val="center"/>
          </w:tcPr>
          <w:p w14:paraId="6EE534B5"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78.8</w:t>
            </w:r>
          </w:p>
        </w:tc>
      </w:tr>
    </w:tbl>
    <w:p w14:paraId="022046AF" w14:textId="77777777" w:rsidR="00975564" w:rsidRPr="00975564" w:rsidRDefault="00975564" w:rsidP="00975564">
      <w:pPr>
        <w:rPr>
          <w:rFonts w:ascii="Times New Roman" w:eastAsiaTheme="minorEastAsia" w:hAnsi="Times New Roman" w:cs="Times New Roman"/>
          <w:sz w:val="20"/>
          <w:szCs w:val="20"/>
          <w:lang w:eastAsia="en-CA"/>
        </w:rPr>
      </w:pPr>
    </w:p>
    <w:p w14:paraId="2B445CC6" w14:textId="77777777" w:rsidR="00975564" w:rsidRPr="00975564" w:rsidRDefault="00975564" w:rsidP="00975564">
      <w:pPr>
        <w:outlineLvl w:val="0"/>
        <w:rPr>
          <w:rFonts w:ascii="Times New Roman" w:eastAsiaTheme="minorEastAsia" w:hAnsi="Times New Roman" w:cs="Times New Roman"/>
          <w:sz w:val="20"/>
          <w:szCs w:val="20"/>
          <w:lang w:eastAsia="en-CA"/>
        </w:rPr>
      </w:pPr>
    </w:p>
    <w:tbl>
      <w:tblPr>
        <w:tblStyle w:val="TableGrid1"/>
        <w:tblW w:w="14109" w:type="dxa"/>
        <w:tblLayout w:type="fixed"/>
        <w:tblLook w:val="04A0" w:firstRow="1" w:lastRow="0" w:firstColumn="1" w:lastColumn="0" w:noHBand="0" w:noVBand="1"/>
      </w:tblPr>
      <w:tblGrid>
        <w:gridCol w:w="5920"/>
        <w:gridCol w:w="1663"/>
        <w:gridCol w:w="1168"/>
        <w:gridCol w:w="1311"/>
        <w:gridCol w:w="1495"/>
        <w:gridCol w:w="1276"/>
        <w:gridCol w:w="1276"/>
      </w:tblGrid>
      <w:tr w:rsidR="00975564" w:rsidRPr="00975564" w14:paraId="1E4756A1" w14:textId="77777777" w:rsidTr="00975564">
        <w:trPr>
          <w:tblHeader/>
        </w:trPr>
        <w:tc>
          <w:tcPr>
            <w:tcW w:w="5920" w:type="dxa"/>
            <w:tcBorders>
              <w:top w:val="nil"/>
              <w:left w:val="nil"/>
            </w:tcBorders>
          </w:tcPr>
          <w:p w14:paraId="78A7F06B" w14:textId="77777777" w:rsidR="00975564" w:rsidRPr="00975564" w:rsidRDefault="00975564" w:rsidP="00975564">
            <w:pPr>
              <w:rPr>
                <w:rFonts w:ascii="Times New Roman" w:hAnsi="Times New Roman" w:cs="Times New Roman"/>
                <w:sz w:val="20"/>
                <w:szCs w:val="20"/>
              </w:rPr>
            </w:pPr>
          </w:p>
        </w:tc>
        <w:tc>
          <w:tcPr>
            <w:tcW w:w="4142" w:type="dxa"/>
            <w:gridSpan w:val="3"/>
          </w:tcPr>
          <w:p w14:paraId="5DBF3D91" w14:textId="77777777" w:rsidR="00975564" w:rsidRPr="00975564" w:rsidRDefault="00975564" w:rsidP="00975564">
            <w:pPr>
              <w:jc w:val="center"/>
              <w:rPr>
                <w:rFonts w:ascii="Times New Roman" w:hAnsi="Times New Roman" w:cs="Times New Roman"/>
                <w:b/>
                <w:sz w:val="20"/>
                <w:szCs w:val="20"/>
              </w:rPr>
            </w:pPr>
          </w:p>
          <w:p w14:paraId="0CA9D7E5" w14:textId="77777777" w:rsidR="00975564" w:rsidRPr="00975564" w:rsidRDefault="00975564" w:rsidP="00975564">
            <w:pPr>
              <w:jc w:val="center"/>
              <w:rPr>
                <w:rFonts w:ascii="Times New Roman" w:hAnsi="Times New Roman" w:cs="Times New Roman"/>
                <w:b/>
                <w:sz w:val="20"/>
                <w:szCs w:val="20"/>
              </w:rPr>
            </w:pPr>
            <w:r w:rsidRPr="00975564">
              <w:rPr>
                <w:rFonts w:ascii="Times New Roman" w:hAnsi="Times New Roman" w:cs="Times New Roman"/>
                <w:b/>
                <w:sz w:val="20"/>
                <w:szCs w:val="20"/>
              </w:rPr>
              <w:t>Important</w:t>
            </w:r>
          </w:p>
        </w:tc>
        <w:tc>
          <w:tcPr>
            <w:tcW w:w="4047" w:type="dxa"/>
            <w:gridSpan w:val="3"/>
          </w:tcPr>
          <w:p w14:paraId="6ACC151A" w14:textId="77777777" w:rsidR="00975564" w:rsidRPr="00975564" w:rsidRDefault="00975564" w:rsidP="00975564">
            <w:pPr>
              <w:jc w:val="center"/>
              <w:rPr>
                <w:rFonts w:ascii="Times New Roman" w:hAnsi="Times New Roman" w:cs="Times New Roman"/>
                <w:b/>
                <w:sz w:val="20"/>
                <w:szCs w:val="20"/>
              </w:rPr>
            </w:pPr>
          </w:p>
          <w:p w14:paraId="32526707" w14:textId="77777777" w:rsidR="00975564" w:rsidRPr="00975564" w:rsidRDefault="00975564" w:rsidP="00975564">
            <w:pPr>
              <w:jc w:val="center"/>
              <w:rPr>
                <w:rFonts w:ascii="Times New Roman" w:hAnsi="Times New Roman" w:cs="Times New Roman"/>
                <w:b/>
                <w:sz w:val="20"/>
                <w:szCs w:val="20"/>
              </w:rPr>
            </w:pPr>
            <w:r w:rsidRPr="00975564">
              <w:rPr>
                <w:rFonts w:ascii="Times New Roman" w:hAnsi="Times New Roman" w:cs="Times New Roman"/>
                <w:b/>
                <w:sz w:val="20"/>
                <w:szCs w:val="20"/>
              </w:rPr>
              <w:t xml:space="preserve"> Actionable</w:t>
            </w:r>
          </w:p>
        </w:tc>
      </w:tr>
      <w:tr w:rsidR="00975564" w:rsidRPr="00975564" w14:paraId="3C7778CD" w14:textId="77777777" w:rsidTr="00975564">
        <w:trPr>
          <w:tblHeader/>
        </w:trPr>
        <w:tc>
          <w:tcPr>
            <w:tcW w:w="5920" w:type="dxa"/>
            <w:tcBorders>
              <w:bottom w:val="single" w:sz="4" w:space="0" w:color="auto"/>
            </w:tcBorders>
            <w:vAlign w:val="center"/>
          </w:tcPr>
          <w:p w14:paraId="31D32539" w14:textId="77777777" w:rsidR="00975564" w:rsidRPr="00975564" w:rsidRDefault="00975564" w:rsidP="00975564">
            <w:pPr>
              <w:jc w:val="center"/>
              <w:rPr>
                <w:rFonts w:ascii="Times New Roman" w:hAnsi="Times New Roman" w:cs="Times New Roman"/>
                <w:b/>
                <w:sz w:val="20"/>
                <w:szCs w:val="20"/>
              </w:rPr>
            </w:pPr>
            <w:r w:rsidRPr="00975564">
              <w:rPr>
                <w:rFonts w:ascii="Times New Roman" w:hAnsi="Times New Roman" w:cs="Times New Roman"/>
                <w:b/>
                <w:sz w:val="20"/>
                <w:szCs w:val="20"/>
              </w:rPr>
              <w:t>Indicators (n=41)</w:t>
            </w:r>
          </w:p>
        </w:tc>
        <w:tc>
          <w:tcPr>
            <w:tcW w:w="1663" w:type="dxa"/>
            <w:tcBorders>
              <w:right w:val="nil"/>
            </w:tcBorders>
            <w:vAlign w:val="center"/>
          </w:tcPr>
          <w:p w14:paraId="0C47C12B" w14:textId="77777777" w:rsidR="00975564" w:rsidRPr="00975564" w:rsidRDefault="00975564" w:rsidP="00975564">
            <w:pPr>
              <w:jc w:val="center"/>
              <w:rPr>
                <w:rFonts w:ascii="Times New Roman" w:hAnsi="Times New Roman" w:cs="Times New Roman"/>
                <w:b/>
                <w:sz w:val="20"/>
                <w:szCs w:val="20"/>
              </w:rPr>
            </w:pPr>
            <w:r w:rsidRPr="00975564">
              <w:rPr>
                <w:rFonts w:ascii="Times New Roman" w:hAnsi="Times New Roman" w:cs="Times New Roman"/>
                <w:b/>
                <w:sz w:val="20"/>
                <w:szCs w:val="20"/>
              </w:rPr>
              <w:t>Median (IQR)</w:t>
            </w:r>
          </w:p>
        </w:tc>
        <w:tc>
          <w:tcPr>
            <w:tcW w:w="1168" w:type="dxa"/>
            <w:tcBorders>
              <w:left w:val="nil"/>
              <w:right w:val="nil"/>
            </w:tcBorders>
            <w:vAlign w:val="center"/>
          </w:tcPr>
          <w:p w14:paraId="37CA50B5" w14:textId="77777777" w:rsidR="00975564" w:rsidRPr="00975564" w:rsidRDefault="00975564" w:rsidP="00975564">
            <w:pPr>
              <w:jc w:val="center"/>
              <w:rPr>
                <w:rFonts w:ascii="Times New Roman" w:hAnsi="Times New Roman" w:cs="Times New Roman"/>
                <w:b/>
                <w:sz w:val="20"/>
                <w:szCs w:val="20"/>
              </w:rPr>
            </w:pPr>
            <w:r w:rsidRPr="00975564">
              <w:rPr>
                <w:rFonts w:ascii="Times New Roman" w:hAnsi="Times New Roman" w:cs="Times New Roman"/>
                <w:b/>
                <w:sz w:val="20"/>
                <w:szCs w:val="20"/>
              </w:rPr>
              <w:t>No. (n=33)</w:t>
            </w:r>
          </w:p>
        </w:tc>
        <w:tc>
          <w:tcPr>
            <w:tcW w:w="1311" w:type="dxa"/>
            <w:tcBorders>
              <w:left w:val="nil"/>
            </w:tcBorders>
            <w:vAlign w:val="center"/>
          </w:tcPr>
          <w:p w14:paraId="67871189" w14:textId="77777777" w:rsidR="00975564" w:rsidRPr="00975564" w:rsidRDefault="00975564" w:rsidP="00975564">
            <w:pPr>
              <w:jc w:val="center"/>
              <w:rPr>
                <w:rFonts w:ascii="Times New Roman" w:hAnsi="Times New Roman" w:cs="Times New Roman"/>
                <w:b/>
                <w:sz w:val="20"/>
                <w:szCs w:val="20"/>
              </w:rPr>
            </w:pPr>
            <w:r w:rsidRPr="00975564">
              <w:rPr>
                <w:rFonts w:ascii="Times New Roman" w:hAnsi="Times New Roman" w:cs="Times New Roman"/>
                <w:b/>
                <w:sz w:val="20"/>
                <w:szCs w:val="20"/>
              </w:rPr>
              <w:t>Consensus</w:t>
            </w:r>
          </w:p>
          <w:p w14:paraId="43B8902F" w14:textId="77777777" w:rsidR="00975564" w:rsidRPr="00975564" w:rsidRDefault="00975564" w:rsidP="00975564">
            <w:pPr>
              <w:jc w:val="center"/>
              <w:rPr>
                <w:rFonts w:ascii="Times New Roman" w:hAnsi="Times New Roman" w:cs="Times New Roman"/>
                <w:b/>
                <w:sz w:val="20"/>
                <w:szCs w:val="20"/>
              </w:rPr>
            </w:pPr>
            <w:r w:rsidRPr="00975564">
              <w:rPr>
                <w:rFonts w:ascii="Times New Roman" w:hAnsi="Times New Roman" w:cs="Times New Roman"/>
                <w:b/>
                <w:sz w:val="20"/>
                <w:szCs w:val="20"/>
              </w:rPr>
              <w:t xml:space="preserve"> Level (%)</w:t>
            </w:r>
          </w:p>
        </w:tc>
        <w:tc>
          <w:tcPr>
            <w:tcW w:w="1495" w:type="dxa"/>
            <w:tcBorders>
              <w:right w:val="nil"/>
            </w:tcBorders>
            <w:vAlign w:val="center"/>
          </w:tcPr>
          <w:p w14:paraId="1A8025A1" w14:textId="77777777" w:rsidR="00975564" w:rsidRPr="00975564" w:rsidRDefault="00975564" w:rsidP="00975564">
            <w:pPr>
              <w:jc w:val="center"/>
              <w:rPr>
                <w:rFonts w:ascii="Times New Roman" w:hAnsi="Times New Roman" w:cs="Times New Roman"/>
                <w:b/>
                <w:sz w:val="20"/>
                <w:szCs w:val="20"/>
              </w:rPr>
            </w:pPr>
            <w:r w:rsidRPr="00975564">
              <w:rPr>
                <w:rFonts w:ascii="Times New Roman" w:hAnsi="Times New Roman" w:cs="Times New Roman"/>
                <w:b/>
                <w:sz w:val="20"/>
                <w:szCs w:val="20"/>
              </w:rPr>
              <w:t>Median (IQR)</w:t>
            </w:r>
          </w:p>
        </w:tc>
        <w:tc>
          <w:tcPr>
            <w:tcW w:w="1276" w:type="dxa"/>
            <w:tcBorders>
              <w:left w:val="nil"/>
              <w:right w:val="nil"/>
            </w:tcBorders>
            <w:vAlign w:val="center"/>
          </w:tcPr>
          <w:p w14:paraId="41306110" w14:textId="77777777" w:rsidR="00975564" w:rsidRPr="00975564" w:rsidRDefault="00975564" w:rsidP="00975564">
            <w:pPr>
              <w:jc w:val="center"/>
              <w:rPr>
                <w:rFonts w:ascii="Times New Roman" w:hAnsi="Times New Roman" w:cs="Times New Roman"/>
                <w:b/>
                <w:sz w:val="20"/>
                <w:szCs w:val="20"/>
              </w:rPr>
            </w:pPr>
            <w:r w:rsidRPr="00975564">
              <w:rPr>
                <w:rFonts w:ascii="Times New Roman" w:hAnsi="Times New Roman" w:cs="Times New Roman"/>
                <w:b/>
                <w:sz w:val="20"/>
                <w:szCs w:val="20"/>
              </w:rPr>
              <w:t xml:space="preserve">No. </w:t>
            </w:r>
          </w:p>
          <w:p w14:paraId="780878E7" w14:textId="77777777" w:rsidR="00975564" w:rsidRPr="00975564" w:rsidRDefault="00975564" w:rsidP="00975564">
            <w:pPr>
              <w:jc w:val="center"/>
              <w:rPr>
                <w:rFonts w:ascii="Times New Roman" w:hAnsi="Times New Roman" w:cs="Times New Roman"/>
                <w:b/>
                <w:sz w:val="20"/>
                <w:szCs w:val="20"/>
              </w:rPr>
            </w:pPr>
            <w:r w:rsidRPr="00975564">
              <w:rPr>
                <w:rFonts w:ascii="Times New Roman" w:hAnsi="Times New Roman" w:cs="Times New Roman"/>
                <w:b/>
                <w:sz w:val="20"/>
                <w:szCs w:val="20"/>
              </w:rPr>
              <w:t>(n=33)</w:t>
            </w:r>
          </w:p>
        </w:tc>
        <w:tc>
          <w:tcPr>
            <w:tcW w:w="1276" w:type="dxa"/>
            <w:tcBorders>
              <w:left w:val="nil"/>
            </w:tcBorders>
            <w:vAlign w:val="center"/>
          </w:tcPr>
          <w:p w14:paraId="78132ACE" w14:textId="77777777" w:rsidR="00975564" w:rsidRPr="00975564" w:rsidRDefault="00975564" w:rsidP="00975564">
            <w:pPr>
              <w:jc w:val="center"/>
              <w:rPr>
                <w:rFonts w:ascii="Times New Roman" w:hAnsi="Times New Roman" w:cs="Times New Roman"/>
                <w:b/>
                <w:sz w:val="20"/>
                <w:szCs w:val="20"/>
              </w:rPr>
            </w:pPr>
            <w:r w:rsidRPr="00975564">
              <w:rPr>
                <w:rFonts w:ascii="Times New Roman" w:hAnsi="Times New Roman" w:cs="Times New Roman"/>
                <w:b/>
                <w:sz w:val="20"/>
                <w:szCs w:val="20"/>
              </w:rPr>
              <w:t>Consensus</w:t>
            </w:r>
          </w:p>
          <w:p w14:paraId="125E0877" w14:textId="77777777" w:rsidR="00975564" w:rsidRPr="00975564" w:rsidRDefault="00975564" w:rsidP="00975564">
            <w:pPr>
              <w:jc w:val="center"/>
              <w:rPr>
                <w:rFonts w:ascii="Times New Roman" w:hAnsi="Times New Roman" w:cs="Times New Roman"/>
                <w:b/>
                <w:sz w:val="20"/>
                <w:szCs w:val="20"/>
              </w:rPr>
            </w:pPr>
            <w:r w:rsidRPr="00975564">
              <w:rPr>
                <w:rFonts w:ascii="Times New Roman" w:hAnsi="Times New Roman" w:cs="Times New Roman"/>
                <w:b/>
                <w:sz w:val="20"/>
                <w:szCs w:val="20"/>
              </w:rPr>
              <w:t xml:space="preserve">  Level (%)</w:t>
            </w:r>
          </w:p>
        </w:tc>
      </w:tr>
      <w:tr w:rsidR="00975564" w:rsidRPr="00975564" w14:paraId="1D5F506D" w14:textId="77777777" w:rsidTr="00975564">
        <w:trPr>
          <w:trHeight w:val="283"/>
        </w:trPr>
        <w:tc>
          <w:tcPr>
            <w:tcW w:w="5920" w:type="dxa"/>
            <w:shd w:val="clear" w:color="auto" w:fill="595959" w:themeFill="text1" w:themeFillTint="A6"/>
            <w:hideMark/>
          </w:tcPr>
          <w:p w14:paraId="4E621375" w14:textId="77777777" w:rsidR="00975564" w:rsidRPr="00975564" w:rsidRDefault="00975564" w:rsidP="00975564">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Practice and Experience</w:t>
            </w:r>
          </w:p>
        </w:tc>
        <w:tc>
          <w:tcPr>
            <w:tcW w:w="1663" w:type="dxa"/>
            <w:tcBorders>
              <w:right w:val="nil"/>
            </w:tcBorders>
            <w:shd w:val="clear" w:color="auto" w:fill="595959" w:themeFill="text1" w:themeFillTint="A6"/>
            <w:noWrap/>
            <w:vAlign w:val="center"/>
            <w:hideMark/>
          </w:tcPr>
          <w:p w14:paraId="2391582E"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168" w:type="dxa"/>
            <w:tcBorders>
              <w:left w:val="nil"/>
              <w:right w:val="nil"/>
            </w:tcBorders>
            <w:shd w:val="clear" w:color="auto" w:fill="595959" w:themeFill="text1" w:themeFillTint="A6"/>
            <w:noWrap/>
            <w:vAlign w:val="center"/>
            <w:hideMark/>
          </w:tcPr>
          <w:p w14:paraId="19F0AD09"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311" w:type="dxa"/>
            <w:tcBorders>
              <w:left w:val="nil"/>
            </w:tcBorders>
            <w:shd w:val="clear" w:color="auto" w:fill="595959" w:themeFill="text1" w:themeFillTint="A6"/>
            <w:noWrap/>
            <w:vAlign w:val="center"/>
            <w:hideMark/>
          </w:tcPr>
          <w:p w14:paraId="412B0152"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495" w:type="dxa"/>
            <w:tcBorders>
              <w:right w:val="nil"/>
            </w:tcBorders>
            <w:shd w:val="clear" w:color="auto" w:fill="595959" w:themeFill="text1" w:themeFillTint="A6"/>
            <w:noWrap/>
            <w:vAlign w:val="center"/>
            <w:hideMark/>
          </w:tcPr>
          <w:p w14:paraId="29DE7278"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276" w:type="dxa"/>
            <w:tcBorders>
              <w:left w:val="nil"/>
              <w:right w:val="nil"/>
            </w:tcBorders>
            <w:shd w:val="clear" w:color="auto" w:fill="595959" w:themeFill="text1" w:themeFillTint="A6"/>
            <w:noWrap/>
            <w:vAlign w:val="center"/>
            <w:hideMark/>
          </w:tcPr>
          <w:p w14:paraId="55DA2A9A" w14:textId="77777777" w:rsidR="00975564" w:rsidRPr="00975564" w:rsidRDefault="00975564" w:rsidP="00975564">
            <w:pPr>
              <w:jc w:val="center"/>
              <w:rPr>
                <w:rFonts w:ascii="Times New Roman" w:hAnsi="Times New Roman" w:cs="Times New Roman"/>
                <w:b/>
                <w:color w:val="FFFFFF" w:themeColor="background1"/>
                <w:sz w:val="20"/>
                <w:szCs w:val="20"/>
              </w:rPr>
            </w:pPr>
          </w:p>
        </w:tc>
        <w:tc>
          <w:tcPr>
            <w:tcW w:w="1276" w:type="dxa"/>
            <w:tcBorders>
              <w:left w:val="nil"/>
            </w:tcBorders>
            <w:shd w:val="clear" w:color="auto" w:fill="595959" w:themeFill="text1" w:themeFillTint="A6"/>
            <w:noWrap/>
            <w:vAlign w:val="center"/>
            <w:hideMark/>
          </w:tcPr>
          <w:p w14:paraId="2DA13AF3" w14:textId="77777777" w:rsidR="00975564" w:rsidRPr="00975564" w:rsidRDefault="00975564" w:rsidP="00975564">
            <w:pPr>
              <w:jc w:val="center"/>
              <w:rPr>
                <w:rFonts w:ascii="Times New Roman" w:hAnsi="Times New Roman" w:cs="Times New Roman"/>
                <w:b/>
                <w:color w:val="FFFFFF" w:themeColor="background1"/>
                <w:sz w:val="20"/>
                <w:szCs w:val="20"/>
              </w:rPr>
            </w:pPr>
          </w:p>
        </w:tc>
      </w:tr>
      <w:tr w:rsidR="00975564" w:rsidRPr="00975564" w14:paraId="76E9478F" w14:textId="77777777" w:rsidTr="00975564">
        <w:trPr>
          <w:trHeight w:val="1260"/>
        </w:trPr>
        <w:tc>
          <w:tcPr>
            <w:tcW w:w="5920" w:type="dxa"/>
            <w:hideMark/>
          </w:tcPr>
          <w:p w14:paraId="6C9D1866"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58. The public health agency conducts regular needs assessments to determine the needs for organizational practice of emergency plans and/or protocols; for example, the emergency response plan, the business continuity plan. The assessment may consider recent table tops, exercises, simulations, or activations in response to emergencies.</w:t>
            </w:r>
          </w:p>
        </w:tc>
        <w:tc>
          <w:tcPr>
            <w:tcW w:w="1663" w:type="dxa"/>
            <w:tcBorders>
              <w:right w:val="nil"/>
            </w:tcBorders>
            <w:noWrap/>
            <w:vAlign w:val="center"/>
          </w:tcPr>
          <w:p w14:paraId="61BDE0BD"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168" w:type="dxa"/>
            <w:tcBorders>
              <w:left w:val="nil"/>
              <w:right w:val="nil"/>
            </w:tcBorders>
            <w:noWrap/>
            <w:vAlign w:val="center"/>
          </w:tcPr>
          <w:p w14:paraId="4C638ADA"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31</w:t>
            </w:r>
          </w:p>
        </w:tc>
        <w:tc>
          <w:tcPr>
            <w:tcW w:w="1311" w:type="dxa"/>
            <w:tcBorders>
              <w:left w:val="nil"/>
            </w:tcBorders>
            <w:noWrap/>
            <w:vAlign w:val="center"/>
          </w:tcPr>
          <w:p w14:paraId="21D29F05"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93.9</w:t>
            </w:r>
          </w:p>
        </w:tc>
        <w:tc>
          <w:tcPr>
            <w:tcW w:w="1495" w:type="dxa"/>
            <w:tcBorders>
              <w:right w:val="nil"/>
            </w:tcBorders>
            <w:noWrap/>
            <w:vAlign w:val="center"/>
          </w:tcPr>
          <w:p w14:paraId="282B43C8"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276" w:type="dxa"/>
            <w:tcBorders>
              <w:left w:val="nil"/>
              <w:right w:val="nil"/>
            </w:tcBorders>
            <w:noWrap/>
            <w:vAlign w:val="center"/>
          </w:tcPr>
          <w:p w14:paraId="1ED415A4"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27</w:t>
            </w:r>
          </w:p>
        </w:tc>
        <w:tc>
          <w:tcPr>
            <w:tcW w:w="1276" w:type="dxa"/>
            <w:tcBorders>
              <w:left w:val="nil"/>
            </w:tcBorders>
            <w:noWrap/>
            <w:vAlign w:val="center"/>
          </w:tcPr>
          <w:p w14:paraId="494F0114"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81.8</w:t>
            </w:r>
          </w:p>
        </w:tc>
      </w:tr>
      <w:tr w:rsidR="00975564" w:rsidRPr="00975564" w14:paraId="00C7BD70" w14:textId="77777777" w:rsidTr="00975564">
        <w:trPr>
          <w:trHeight w:val="945"/>
        </w:trPr>
        <w:tc>
          <w:tcPr>
            <w:tcW w:w="5920" w:type="dxa"/>
            <w:hideMark/>
          </w:tcPr>
          <w:p w14:paraId="6E6B3D58"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60. The public health agency practices its plans and/or protocols that are relevant to emergency management; for example, the agency emergency response plan, the business continuity plan. Practice may include table tops, exercises, simulations, or activations for emergencies.</w:t>
            </w:r>
          </w:p>
        </w:tc>
        <w:tc>
          <w:tcPr>
            <w:tcW w:w="1663" w:type="dxa"/>
            <w:tcBorders>
              <w:right w:val="nil"/>
            </w:tcBorders>
            <w:noWrap/>
            <w:vAlign w:val="center"/>
          </w:tcPr>
          <w:p w14:paraId="231D57AD"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 (1)</w:t>
            </w:r>
          </w:p>
        </w:tc>
        <w:tc>
          <w:tcPr>
            <w:tcW w:w="1168" w:type="dxa"/>
            <w:tcBorders>
              <w:left w:val="nil"/>
              <w:right w:val="nil"/>
            </w:tcBorders>
            <w:noWrap/>
            <w:vAlign w:val="center"/>
          </w:tcPr>
          <w:p w14:paraId="37B94152"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31</w:t>
            </w:r>
          </w:p>
        </w:tc>
        <w:tc>
          <w:tcPr>
            <w:tcW w:w="1311" w:type="dxa"/>
            <w:tcBorders>
              <w:left w:val="nil"/>
            </w:tcBorders>
            <w:noWrap/>
            <w:vAlign w:val="center"/>
          </w:tcPr>
          <w:p w14:paraId="590BA67A"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93.9</w:t>
            </w:r>
          </w:p>
        </w:tc>
        <w:tc>
          <w:tcPr>
            <w:tcW w:w="1495" w:type="dxa"/>
            <w:tcBorders>
              <w:right w:val="nil"/>
            </w:tcBorders>
            <w:noWrap/>
            <w:vAlign w:val="center"/>
          </w:tcPr>
          <w:p w14:paraId="2EFE7F4C"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276" w:type="dxa"/>
            <w:tcBorders>
              <w:left w:val="nil"/>
              <w:right w:val="nil"/>
            </w:tcBorders>
            <w:noWrap/>
            <w:vAlign w:val="center"/>
          </w:tcPr>
          <w:p w14:paraId="74664C71"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28</w:t>
            </w:r>
          </w:p>
        </w:tc>
        <w:tc>
          <w:tcPr>
            <w:tcW w:w="1276" w:type="dxa"/>
            <w:tcBorders>
              <w:left w:val="nil"/>
            </w:tcBorders>
            <w:noWrap/>
            <w:vAlign w:val="center"/>
          </w:tcPr>
          <w:p w14:paraId="138F6FFB"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84.8</w:t>
            </w:r>
          </w:p>
        </w:tc>
      </w:tr>
      <w:tr w:rsidR="00975564" w:rsidRPr="00975564" w14:paraId="63E69DFC" w14:textId="77777777" w:rsidTr="00975564">
        <w:trPr>
          <w:trHeight w:val="630"/>
        </w:trPr>
        <w:tc>
          <w:tcPr>
            <w:tcW w:w="5920" w:type="dxa"/>
            <w:hideMark/>
          </w:tcPr>
          <w:p w14:paraId="09BB2F95"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61. Public health agency practice of emergency management activities (e.g., table tops, exercises, simulations) includes the regular attendance of both management and staff.</w:t>
            </w:r>
          </w:p>
        </w:tc>
        <w:tc>
          <w:tcPr>
            <w:tcW w:w="1663" w:type="dxa"/>
            <w:tcBorders>
              <w:right w:val="nil"/>
            </w:tcBorders>
            <w:noWrap/>
            <w:vAlign w:val="center"/>
          </w:tcPr>
          <w:p w14:paraId="6D1D1BF4"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168" w:type="dxa"/>
            <w:tcBorders>
              <w:left w:val="nil"/>
              <w:bottom w:val="single" w:sz="4" w:space="0" w:color="auto"/>
              <w:right w:val="nil"/>
            </w:tcBorders>
            <w:noWrap/>
            <w:vAlign w:val="center"/>
          </w:tcPr>
          <w:p w14:paraId="10C64728"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28</w:t>
            </w:r>
          </w:p>
        </w:tc>
        <w:tc>
          <w:tcPr>
            <w:tcW w:w="1311" w:type="dxa"/>
            <w:tcBorders>
              <w:left w:val="nil"/>
            </w:tcBorders>
            <w:noWrap/>
            <w:vAlign w:val="center"/>
          </w:tcPr>
          <w:p w14:paraId="21A48DCB"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84.8</w:t>
            </w:r>
          </w:p>
        </w:tc>
        <w:tc>
          <w:tcPr>
            <w:tcW w:w="1495" w:type="dxa"/>
            <w:tcBorders>
              <w:right w:val="nil"/>
            </w:tcBorders>
            <w:noWrap/>
            <w:vAlign w:val="center"/>
          </w:tcPr>
          <w:p w14:paraId="40E06A6E"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276" w:type="dxa"/>
            <w:tcBorders>
              <w:left w:val="nil"/>
              <w:bottom w:val="single" w:sz="4" w:space="0" w:color="auto"/>
              <w:right w:val="nil"/>
            </w:tcBorders>
            <w:noWrap/>
            <w:vAlign w:val="center"/>
          </w:tcPr>
          <w:p w14:paraId="7C5FD4F3"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27</w:t>
            </w:r>
          </w:p>
        </w:tc>
        <w:tc>
          <w:tcPr>
            <w:tcW w:w="1276" w:type="dxa"/>
            <w:tcBorders>
              <w:left w:val="nil"/>
            </w:tcBorders>
            <w:noWrap/>
            <w:vAlign w:val="center"/>
          </w:tcPr>
          <w:p w14:paraId="03796A10"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81.8</w:t>
            </w:r>
          </w:p>
        </w:tc>
      </w:tr>
      <w:tr w:rsidR="00975564" w:rsidRPr="00975564" w14:paraId="34E32EB0" w14:textId="77777777" w:rsidTr="00975564">
        <w:trPr>
          <w:trHeight w:val="1260"/>
        </w:trPr>
        <w:tc>
          <w:tcPr>
            <w:tcW w:w="5920" w:type="dxa"/>
            <w:hideMark/>
          </w:tcPr>
          <w:p w14:paraId="2147B2E7" w14:textId="77777777" w:rsidR="00975564" w:rsidRPr="00975564" w:rsidRDefault="00975564" w:rsidP="00975564">
            <w:pPr>
              <w:rPr>
                <w:rFonts w:ascii="Times New Roman" w:hAnsi="Times New Roman" w:cs="Times New Roman"/>
                <w:color w:val="000000"/>
                <w:sz w:val="20"/>
                <w:szCs w:val="20"/>
              </w:rPr>
            </w:pPr>
            <w:r w:rsidRPr="00975564">
              <w:rPr>
                <w:rFonts w:ascii="Times New Roman" w:hAnsi="Times New Roman" w:cs="Times New Roman"/>
                <w:color w:val="000000"/>
                <w:sz w:val="20"/>
                <w:szCs w:val="20"/>
              </w:rPr>
              <w:t>62. Public health agency management and staff have demonstrated the ability to adjust plans and/or protocols for emergencies in the context of new knowledge, uncertain science, and/or differences in professional opinions. This ability may be demonstrated during real or simulated emergencies.</w:t>
            </w:r>
          </w:p>
        </w:tc>
        <w:tc>
          <w:tcPr>
            <w:tcW w:w="1663" w:type="dxa"/>
            <w:tcBorders>
              <w:right w:val="nil"/>
            </w:tcBorders>
            <w:noWrap/>
            <w:vAlign w:val="center"/>
          </w:tcPr>
          <w:p w14:paraId="56A7000A"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168" w:type="dxa"/>
            <w:tcBorders>
              <w:left w:val="nil"/>
              <w:right w:val="nil"/>
            </w:tcBorders>
            <w:noWrap/>
            <w:vAlign w:val="center"/>
          </w:tcPr>
          <w:p w14:paraId="5FB95B58"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31</w:t>
            </w:r>
          </w:p>
        </w:tc>
        <w:tc>
          <w:tcPr>
            <w:tcW w:w="1311" w:type="dxa"/>
            <w:tcBorders>
              <w:left w:val="nil"/>
            </w:tcBorders>
            <w:noWrap/>
            <w:vAlign w:val="center"/>
          </w:tcPr>
          <w:p w14:paraId="64F22565"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93.9</w:t>
            </w:r>
          </w:p>
        </w:tc>
        <w:tc>
          <w:tcPr>
            <w:tcW w:w="1495" w:type="dxa"/>
            <w:tcBorders>
              <w:right w:val="nil"/>
            </w:tcBorders>
            <w:noWrap/>
            <w:vAlign w:val="center"/>
          </w:tcPr>
          <w:p w14:paraId="38917925"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276" w:type="dxa"/>
            <w:tcBorders>
              <w:left w:val="nil"/>
              <w:right w:val="nil"/>
            </w:tcBorders>
            <w:noWrap/>
            <w:vAlign w:val="center"/>
          </w:tcPr>
          <w:p w14:paraId="3FE15808"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25</w:t>
            </w:r>
          </w:p>
        </w:tc>
        <w:tc>
          <w:tcPr>
            <w:tcW w:w="1276" w:type="dxa"/>
            <w:tcBorders>
              <w:left w:val="nil"/>
            </w:tcBorders>
            <w:noWrap/>
            <w:vAlign w:val="center"/>
          </w:tcPr>
          <w:p w14:paraId="42FB11B5" w14:textId="77777777" w:rsidR="00975564" w:rsidRPr="00975564" w:rsidRDefault="00975564" w:rsidP="00975564">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75.8</w:t>
            </w:r>
          </w:p>
        </w:tc>
      </w:tr>
    </w:tbl>
    <w:p w14:paraId="0A82D8ED" w14:textId="77777777" w:rsidR="00975564" w:rsidRDefault="00975564" w:rsidP="00975564">
      <w:pPr>
        <w:rPr>
          <w:rFonts w:ascii="Times New Roman" w:eastAsiaTheme="minorEastAsia" w:hAnsi="Times New Roman" w:cs="Times New Roman"/>
          <w:sz w:val="20"/>
          <w:szCs w:val="20"/>
          <w:lang w:eastAsia="en-CA"/>
        </w:rPr>
      </w:pPr>
    </w:p>
    <w:p w14:paraId="33425112" w14:textId="77777777" w:rsidR="00B24196" w:rsidRDefault="00B24196" w:rsidP="00975564">
      <w:pPr>
        <w:rPr>
          <w:rFonts w:ascii="Times New Roman" w:eastAsiaTheme="minorEastAsia" w:hAnsi="Times New Roman" w:cs="Times New Roman"/>
          <w:sz w:val="20"/>
          <w:szCs w:val="20"/>
          <w:lang w:eastAsia="en-CA"/>
        </w:rPr>
      </w:pPr>
    </w:p>
    <w:p w14:paraId="23BB1FBD" w14:textId="37946183" w:rsidR="00B24196" w:rsidRPr="00C20892" w:rsidRDefault="00B24196" w:rsidP="00B24196">
      <w:pPr>
        <w:pStyle w:val="Heading1"/>
        <w:rPr>
          <w:rFonts w:ascii="Times New Roman" w:hAnsi="Times New Roman" w:cs="Times New Roman"/>
          <w:color w:val="auto"/>
          <w:sz w:val="20"/>
          <w:szCs w:val="20"/>
        </w:rPr>
      </w:pPr>
      <w:bookmarkStart w:id="2" w:name="_Toc535852481"/>
      <w:bookmarkStart w:id="3" w:name="_Toc535852608"/>
      <w:bookmarkStart w:id="4" w:name="_Toc535853107"/>
      <w:r>
        <w:rPr>
          <w:rFonts w:ascii="Times New Roman" w:hAnsi="Times New Roman" w:cs="Times New Roman"/>
          <w:color w:val="auto"/>
          <w:sz w:val="20"/>
          <w:szCs w:val="20"/>
        </w:rPr>
        <w:lastRenderedPageBreak/>
        <w:t>S</w:t>
      </w:r>
      <w:r w:rsidR="00B067A4">
        <w:rPr>
          <w:rFonts w:ascii="Times New Roman" w:hAnsi="Times New Roman" w:cs="Times New Roman"/>
          <w:color w:val="auto"/>
          <w:sz w:val="20"/>
          <w:szCs w:val="20"/>
        </w:rPr>
        <w:t>4</w:t>
      </w:r>
      <w:r>
        <w:rPr>
          <w:rFonts w:ascii="Times New Roman" w:hAnsi="Times New Roman" w:cs="Times New Roman"/>
          <w:color w:val="auto"/>
          <w:sz w:val="20"/>
          <w:szCs w:val="20"/>
        </w:rPr>
        <w:t xml:space="preserve"> Table 2</w:t>
      </w:r>
      <w:r w:rsidRPr="00C20892">
        <w:rPr>
          <w:rFonts w:ascii="Times New Roman" w:hAnsi="Times New Roman" w:cs="Times New Roman"/>
          <w:color w:val="auto"/>
          <w:sz w:val="20"/>
          <w:szCs w:val="20"/>
        </w:rPr>
        <w:t>. Round one survey indicators with unclear consensus (≤ 70%) on one or both criteria</w:t>
      </w:r>
      <w:bookmarkEnd w:id="2"/>
      <w:bookmarkEnd w:id="3"/>
      <w:bookmarkEnd w:id="4"/>
    </w:p>
    <w:tbl>
      <w:tblPr>
        <w:tblStyle w:val="TableGrid1"/>
        <w:tblW w:w="14000" w:type="dxa"/>
        <w:tblLayout w:type="fixed"/>
        <w:tblLook w:val="04A0" w:firstRow="1" w:lastRow="0" w:firstColumn="1" w:lastColumn="0" w:noHBand="0" w:noVBand="1"/>
      </w:tblPr>
      <w:tblGrid>
        <w:gridCol w:w="5920"/>
        <w:gridCol w:w="1663"/>
        <w:gridCol w:w="1168"/>
        <w:gridCol w:w="1202"/>
        <w:gridCol w:w="1495"/>
        <w:gridCol w:w="1276"/>
        <w:gridCol w:w="1276"/>
      </w:tblGrid>
      <w:tr w:rsidR="00B24196" w:rsidRPr="00975564" w14:paraId="4FD0182F" w14:textId="77777777" w:rsidTr="00D65FE6">
        <w:trPr>
          <w:tblHeader/>
        </w:trPr>
        <w:tc>
          <w:tcPr>
            <w:tcW w:w="5920" w:type="dxa"/>
            <w:tcBorders>
              <w:top w:val="nil"/>
              <w:left w:val="nil"/>
            </w:tcBorders>
          </w:tcPr>
          <w:p w14:paraId="5CBD5486" w14:textId="77777777" w:rsidR="00B24196" w:rsidRPr="00975564" w:rsidRDefault="00B24196" w:rsidP="00D65FE6">
            <w:pPr>
              <w:rPr>
                <w:rFonts w:ascii="Times New Roman" w:hAnsi="Times New Roman" w:cs="Times New Roman"/>
                <w:sz w:val="20"/>
                <w:szCs w:val="20"/>
              </w:rPr>
            </w:pPr>
          </w:p>
        </w:tc>
        <w:tc>
          <w:tcPr>
            <w:tcW w:w="4033" w:type="dxa"/>
            <w:gridSpan w:val="3"/>
          </w:tcPr>
          <w:p w14:paraId="666081BA" w14:textId="77777777" w:rsidR="00B24196" w:rsidRPr="00975564" w:rsidRDefault="00B24196" w:rsidP="00D65FE6">
            <w:pPr>
              <w:jc w:val="center"/>
              <w:rPr>
                <w:rFonts w:ascii="Times New Roman" w:hAnsi="Times New Roman" w:cs="Times New Roman"/>
                <w:b/>
                <w:sz w:val="20"/>
                <w:szCs w:val="20"/>
              </w:rPr>
            </w:pPr>
          </w:p>
          <w:p w14:paraId="1F5DAFBD"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Important</w:t>
            </w:r>
          </w:p>
        </w:tc>
        <w:tc>
          <w:tcPr>
            <w:tcW w:w="4047" w:type="dxa"/>
            <w:gridSpan w:val="3"/>
          </w:tcPr>
          <w:p w14:paraId="682BA01A" w14:textId="77777777" w:rsidR="00B24196" w:rsidRPr="00975564" w:rsidRDefault="00B24196" w:rsidP="00D65FE6">
            <w:pPr>
              <w:jc w:val="center"/>
              <w:rPr>
                <w:rFonts w:ascii="Times New Roman" w:hAnsi="Times New Roman" w:cs="Times New Roman"/>
                <w:b/>
                <w:sz w:val="20"/>
                <w:szCs w:val="20"/>
              </w:rPr>
            </w:pPr>
          </w:p>
          <w:p w14:paraId="6CA9F95B"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 xml:space="preserve"> Actionable</w:t>
            </w:r>
          </w:p>
        </w:tc>
      </w:tr>
      <w:tr w:rsidR="00B24196" w:rsidRPr="00975564" w14:paraId="3ADDCE4A" w14:textId="77777777" w:rsidTr="00D65FE6">
        <w:trPr>
          <w:tblHeader/>
        </w:trPr>
        <w:tc>
          <w:tcPr>
            <w:tcW w:w="5920" w:type="dxa"/>
            <w:tcBorders>
              <w:bottom w:val="single" w:sz="4" w:space="0" w:color="auto"/>
            </w:tcBorders>
            <w:vAlign w:val="center"/>
          </w:tcPr>
          <w:p w14:paraId="7D3CB44A"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Indicators (n=21)</w:t>
            </w:r>
          </w:p>
        </w:tc>
        <w:tc>
          <w:tcPr>
            <w:tcW w:w="1663" w:type="dxa"/>
            <w:tcBorders>
              <w:right w:val="nil"/>
            </w:tcBorders>
            <w:vAlign w:val="center"/>
          </w:tcPr>
          <w:p w14:paraId="1CDD6655"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Median (IQR)</w:t>
            </w:r>
          </w:p>
        </w:tc>
        <w:tc>
          <w:tcPr>
            <w:tcW w:w="1168" w:type="dxa"/>
            <w:tcBorders>
              <w:left w:val="nil"/>
              <w:right w:val="nil"/>
            </w:tcBorders>
            <w:vAlign w:val="center"/>
          </w:tcPr>
          <w:p w14:paraId="74AB90A2"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No. (n=33)</w:t>
            </w:r>
          </w:p>
        </w:tc>
        <w:tc>
          <w:tcPr>
            <w:tcW w:w="1202" w:type="dxa"/>
            <w:tcBorders>
              <w:left w:val="nil"/>
            </w:tcBorders>
            <w:vAlign w:val="center"/>
          </w:tcPr>
          <w:p w14:paraId="74D89B2C"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Consensus</w:t>
            </w:r>
          </w:p>
          <w:p w14:paraId="34C5DECC"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 xml:space="preserve"> Level (%)</w:t>
            </w:r>
          </w:p>
        </w:tc>
        <w:tc>
          <w:tcPr>
            <w:tcW w:w="1495" w:type="dxa"/>
            <w:tcBorders>
              <w:right w:val="nil"/>
            </w:tcBorders>
            <w:vAlign w:val="center"/>
          </w:tcPr>
          <w:p w14:paraId="2600FCAC"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Median (IQR)</w:t>
            </w:r>
          </w:p>
        </w:tc>
        <w:tc>
          <w:tcPr>
            <w:tcW w:w="1276" w:type="dxa"/>
            <w:tcBorders>
              <w:left w:val="nil"/>
              <w:right w:val="nil"/>
            </w:tcBorders>
            <w:vAlign w:val="center"/>
          </w:tcPr>
          <w:p w14:paraId="0EEA0DAE"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No.    (n=33)</w:t>
            </w:r>
          </w:p>
        </w:tc>
        <w:tc>
          <w:tcPr>
            <w:tcW w:w="1276" w:type="dxa"/>
            <w:tcBorders>
              <w:left w:val="nil"/>
            </w:tcBorders>
            <w:vAlign w:val="center"/>
          </w:tcPr>
          <w:p w14:paraId="441B92B8"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Consensus</w:t>
            </w:r>
          </w:p>
          <w:p w14:paraId="70D873C2"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 xml:space="preserve">  Level (%)</w:t>
            </w:r>
          </w:p>
        </w:tc>
      </w:tr>
      <w:tr w:rsidR="00B24196" w:rsidRPr="00975564" w14:paraId="36A67640" w14:textId="77777777" w:rsidTr="00D65FE6">
        <w:trPr>
          <w:trHeight w:val="283"/>
        </w:trPr>
        <w:tc>
          <w:tcPr>
            <w:tcW w:w="5920" w:type="dxa"/>
            <w:tcBorders>
              <w:bottom w:val="single" w:sz="4" w:space="0" w:color="auto"/>
            </w:tcBorders>
            <w:shd w:val="clear" w:color="auto" w:fill="595959" w:themeFill="text1" w:themeFillTint="A6"/>
            <w:vAlign w:val="center"/>
          </w:tcPr>
          <w:p w14:paraId="6A3FCD9D"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Governance and Leadership</w:t>
            </w:r>
          </w:p>
        </w:tc>
        <w:tc>
          <w:tcPr>
            <w:tcW w:w="1663" w:type="dxa"/>
            <w:tcBorders>
              <w:bottom w:val="single" w:sz="4" w:space="0" w:color="auto"/>
              <w:right w:val="nil"/>
            </w:tcBorders>
            <w:shd w:val="clear" w:color="auto" w:fill="595959" w:themeFill="text1" w:themeFillTint="A6"/>
          </w:tcPr>
          <w:p w14:paraId="2CBFECFB"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168" w:type="dxa"/>
            <w:tcBorders>
              <w:left w:val="nil"/>
              <w:bottom w:val="single" w:sz="4" w:space="0" w:color="auto"/>
              <w:right w:val="nil"/>
            </w:tcBorders>
            <w:shd w:val="clear" w:color="auto" w:fill="595959" w:themeFill="text1" w:themeFillTint="A6"/>
          </w:tcPr>
          <w:p w14:paraId="59F33711"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02" w:type="dxa"/>
            <w:tcBorders>
              <w:left w:val="nil"/>
              <w:bottom w:val="single" w:sz="4" w:space="0" w:color="auto"/>
            </w:tcBorders>
            <w:shd w:val="clear" w:color="auto" w:fill="595959" w:themeFill="text1" w:themeFillTint="A6"/>
          </w:tcPr>
          <w:p w14:paraId="629477DE"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495" w:type="dxa"/>
            <w:tcBorders>
              <w:bottom w:val="single" w:sz="4" w:space="0" w:color="auto"/>
              <w:right w:val="nil"/>
            </w:tcBorders>
            <w:shd w:val="clear" w:color="auto" w:fill="595959" w:themeFill="text1" w:themeFillTint="A6"/>
          </w:tcPr>
          <w:p w14:paraId="74C760AD"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bottom w:val="single" w:sz="4" w:space="0" w:color="auto"/>
              <w:right w:val="nil"/>
            </w:tcBorders>
            <w:shd w:val="clear" w:color="auto" w:fill="595959" w:themeFill="text1" w:themeFillTint="A6"/>
          </w:tcPr>
          <w:p w14:paraId="1FD4D5AB"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bottom w:val="single" w:sz="4" w:space="0" w:color="auto"/>
            </w:tcBorders>
            <w:shd w:val="clear" w:color="auto" w:fill="595959" w:themeFill="text1" w:themeFillTint="A6"/>
          </w:tcPr>
          <w:p w14:paraId="4315CEAC" w14:textId="77777777" w:rsidR="00B24196" w:rsidRPr="00975564" w:rsidRDefault="00B24196" w:rsidP="00D65FE6">
            <w:pPr>
              <w:jc w:val="center"/>
              <w:rPr>
                <w:rFonts w:ascii="Times New Roman" w:hAnsi="Times New Roman" w:cs="Times New Roman"/>
                <w:b/>
                <w:color w:val="FFFFFF" w:themeColor="background1"/>
                <w:sz w:val="20"/>
                <w:szCs w:val="20"/>
              </w:rPr>
            </w:pPr>
          </w:p>
        </w:tc>
      </w:tr>
      <w:tr w:rsidR="00B24196" w:rsidRPr="00975564" w14:paraId="46589A96" w14:textId="77777777" w:rsidTr="00D65FE6">
        <w:trPr>
          <w:trHeight w:val="945"/>
        </w:trPr>
        <w:tc>
          <w:tcPr>
            <w:tcW w:w="5920" w:type="dxa"/>
            <w:hideMark/>
          </w:tcPr>
          <w:p w14:paraId="2B133FF5" w14:textId="77777777" w:rsidR="00B24196" w:rsidRPr="00975564" w:rsidRDefault="00B24196" w:rsidP="00D65FE6">
            <w:pPr>
              <w:rPr>
                <w:rFonts w:ascii="Times New Roman" w:hAnsi="Times New Roman" w:cs="Times New Roman"/>
                <w:color w:val="000000"/>
                <w:sz w:val="20"/>
                <w:szCs w:val="20"/>
              </w:rPr>
            </w:pPr>
            <w:r w:rsidRPr="00975564">
              <w:rPr>
                <w:rFonts w:ascii="Times New Roman" w:hAnsi="Times New Roman" w:cs="Times New Roman"/>
                <w:color w:val="000000"/>
                <w:sz w:val="20"/>
                <w:szCs w:val="20"/>
              </w:rPr>
              <w:t>7. The public health agency’s policies define requirements for reporting to the provincial/territorial and/or federal public health authority on community health risks in the context of an emergency; for example, radio-nuclear, chemical or biosecurity events.</w:t>
            </w:r>
          </w:p>
        </w:tc>
        <w:tc>
          <w:tcPr>
            <w:tcW w:w="1663" w:type="dxa"/>
            <w:tcBorders>
              <w:right w:val="nil"/>
            </w:tcBorders>
            <w:noWrap/>
            <w:vAlign w:val="center"/>
          </w:tcPr>
          <w:p w14:paraId="1C895127"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5AFB1304"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29</w:t>
            </w:r>
          </w:p>
        </w:tc>
        <w:tc>
          <w:tcPr>
            <w:tcW w:w="1202" w:type="dxa"/>
            <w:tcBorders>
              <w:left w:val="nil"/>
            </w:tcBorders>
            <w:noWrap/>
            <w:vAlign w:val="center"/>
          </w:tcPr>
          <w:p w14:paraId="6D157617"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87.9</w:t>
            </w:r>
          </w:p>
        </w:tc>
        <w:tc>
          <w:tcPr>
            <w:tcW w:w="1495" w:type="dxa"/>
            <w:tcBorders>
              <w:right w:val="nil"/>
            </w:tcBorders>
            <w:noWrap/>
            <w:vAlign w:val="center"/>
          </w:tcPr>
          <w:p w14:paraId="6B6030F0"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(3)</w:t>
            </w:r>
          </w:p>
        </w:tc>
        <w:tc>
          <w:tcPr>
            <w:tcW w:w="1276" w:type="dxa"/>
            <w:tcBorders>
              <w:left w:val="nil"/>
              <w:right w:val="nil"/>
            </w:tcBorders>
            <w:noWrap/>
            <w:vAlign w:val="center"/>
          </w:tcPr>
          <w:p w14:paraId="64424645"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19</w:t>
            </w:r>
          </w:p>
        </w:tc>
        <w:tc>
          <w:tcPr>
            <w:tcW w:w="1276" w:type="dxa"/>
            <w:tcBorders>
              <w:left w:val="nil"/>
            </w:tcBorders>
            <w:noWrap/>
            <w:vAlign w:val="center"/>
          </w:tcPr>
          <w:p w14:paraId="5D8EB23C"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57.6</w:t>
            </w:r>
          </w:p>
        </w:tc>
      </w:tr>
      <w:tr w:rsidR="00B24196" w:rsidRPr="00975564" w14:paraId="5897BE9D" w14:textId="77777777" w:rsidTr="00D65FE6">
        <w:trPr>
          <w:trHeight w:val="283"/>
        </w:trPr>
        <w:tc>
          <w:tcPr>
            <w:tcW w:w="5920" w:type="dxa"/>
            <w:shd w:val="clear" w:color="auto" w:fill="595959" w:themeFill="text1" w:themeFillTint="A6"/>
            <w:hideMark/>
          </w:tcPr>
          <w:p w14:paraId="502F50D2"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Resources</w:t>
            </w:r>
          </w:p>
        </w:tc>
        <w:tc>
          <w:tcPr>
            <w:tcW w:w="1663" w:type="dxa"/>
            <w:tcBorders>
              <w:right w:val="nil"/>
            </w:tcBorders>
            <w:shd w:val="clear" w:color="auto" w:fill="595959" w:themeFill="text1" w:themeFillTint="A6"/>
            <w:noWrap/>
            <w:vAlign w:val="center"/>
          </w:tcPr>
          <w:p w14:paraId="423C6A72"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168" w:type="dxa"/>
            <w:tcBorders>
              <w:left w:val="nil"/>
              <w:right w:val="nil"/>
            </w:tcBorders>
            <w:shd w:val="clear" w:color="auto" w:fill="595959" w:themeFill="text1" w:themeFillTint="A6"/>
            <w:noWrap/>
            <w:vAlign w:val="center"/>
          </w:tcPr>
          <w:p w14:paraId="22CC6F4F"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02" w:type="dxa"/>
            <w:tcBorders>
              <w:left w:val="nil"/>
            </w:tcBorders>
            <w:shd w:val="clear" w:color="auto" w:fill="595959" w:themeFill="text1" w:themeFillTint="A6"/>
            <w:noWrap/>
            <w:vAlign w:val="center"/>
          </w:tcPr>
          <w:p w14:paraId="17D6DFA6"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495" w:type="dxa"/>
            <w:tcBorders>
              <w:right w:val="nil"/>
            </w:tcBorders>
            <w:shd w:val="clear" w:color="auto" w:fill="595959" w:themeFill="text1" w:themeFillTint="A6"/>
            <w:noWrap/>
            <w:vAlign w:val="center"/>
          </w:tcPr>
          <w:p w14:paraId="294EB4C1"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right w:val="nil"/>
            </w:tcBorders>
            <w:shd w:val="clear" w:color="auto" w:fill="595959" w:themeFill="text1" w:themeFillTint="A6"/>
            <w:noWrap/>
            <w:vAlign w:val="center"/>
            <w:hideMark/>
          </w:tcPr>
          <w:p w14:paraId="4B791499"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tcBorders>
            <w:shd w:val="clear" w:color="auto" w:fill="595959" w:themeFill="text1" w:themeFillTint="A6"/>
            <w:noWrap/>
            <w:vAlign w:val="center"/>
            <w:hideMark/>
          </w:tcPr>
          <w:p w14:paraId="7F180C2B" w14:textId="77777777" w:rsidR="00B24196" w:rsidRPr="00975564" w:rsidRDefault="00B24196" w:rsidP="00D65FE6">
            <w:pPr>
              <w:jc w:val="center"/>
              <w:rPr>
                <w:rFonts w:ascii="Times New Roman" w:hAnsi="Times New Roman" w:cs="Times New Roman"/>
                <w:b/>
                <w:color w:val="FFFFFF" w:themeColor="background1"/>
                <w:sz w:val="20"/>
                <w:szCs w:val="20"/>
              </w:rPr>
            </w:pPr>
          </w:p>
        </w:tc>
      </w:tr>
      <w:tr w:rsidR="00B24196" w:rsidRPr="00975564" w14:paraId="04E3C4E9" w14:textId="77777777" w:rsidTr="00D65FE6">
        <w:trPr>
          <w:trHeight w:val="630"/>
        </w:trPr>
        <w:tc>
          <w:tcPr>
            <w:tcW w:w="5920" w:type="dxa"/>
            <w:hideMark/>
          </w:tcPr>
          <w:p w14:paraId="50786394" w14:textId="77777777" w:rsidR="00B24196" w:rsidRPr="00975564" w:rsidRDefault="00B24196" w:rsidP="00D65FE6">
            <w:pPr>
              <w:rPr>
                <w:rFonts w:ascii="Times New Roman" w:hAnsi="Times New Roman" w:cs="Times New Roman"/>
                <w:color w:val="000000"/>
                <w:sz w:val="20"/>
                <w:szCs w:val="20"/>
              </w:rPr>
            </w:pPr>
            <w:r w:rsidRPr="00975564">
              <w:rPr>
                <w:rFonts w:ascii="Times New Roman" w:hAnsi="Times New Roman" w:cs="Times New Roman"/>
                <w:color w:val="000000"/>
                <w:sz w:val="20"/>
                <w:szCs w:val="20"/>
              </w:rPr>
              <w:t>19. The public health agency has a dedicated emergency preparedness coordinator, or similar position, led by an individual that has completed a training program in emergency management.</w:t>
            </w:r>
          </w:p>
        </w:tc>
        <w:tc>
          <w:tcPr>
            <w:tcW w:w="1663" w:type="dxa"/>
            <w:tcBorders>
              <w:right w:val="nil"/>
            </w:tcBorders>
            <w:noWrap/>
            <w:vAlign w:val="center"/>
          </w:tcPr>
          <w:p w14:paraId="3590F6BD"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 (1)</w:t>
            </w:r>
          </w:p>
        </w:tc>
        <w:tc>
          <w:tcPr>
            <w:tcW w:w="1168" w:type="dxa"/>
            <w:tcBorders>
              <w:left w:val="nil"/>
              <w:right w:val="nil"/>
            </w:tcBorders>
            <w:noWrap/>
            <w:vAlign w:val="center"/>
          </w:tcPr>
          <w:p w14:paraId="15567F90"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29</w:t>
            </w:r>
          </w:p>
        </w:tc>
        <w:tc>
          <w:tcPr>
            <w:tcW w:w="1202" w:type="dxa"/>
            <w:tcBorders>
              <w:left w:val="nil"/>
            </w:tcBorders>
            <w:noWrap/>
            <w:vAlign w:val="center"/>
          </w:tcPr>
          <w:p w14:paraId="3268750E"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87.9</w:t>
            </w:r>
          </w:p>
        </w:tc>
        <w:tc>
          <w:tcPr>
            <w:tcW w:w="1495" w:type="dxa"/>
            <w:tcBorders>
              <w:right w:val="nil"/>
            </w:tcBorders>
            <w:noWrap/>
            <w:vAlign w:val="center"/>
          </w:tcPr>
          <w:p w14:paraId="6C5F6756"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(3)</w:t>
            </w:r>
          </w:p>
        </w:tc>
        <w:tc>
          <w:tcPr>
            <w:tcW w:w="1276" w:type="dxa"/>
            <w:tcBorders>
              <w:left w:val="nil"/>
              <w:right w:val="nil"/>
            </w:tcBorders>
            <w:noWrap/>
            <w:vAlign w:val="center"/>
          </w:tcPr>
          <w:p w14:paraId="230C3280"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23</w:t>
            </w:r>
          </w:p>
        </w:tc>
        <w:tc>
          <w:tcPr>
            <w:tcW w:w="1276" w:type="dxa"/>
            <w:tcBorders>
              <w:left w:val="nil"/>
            </w:tcBorders>
            <w:noWrap/>
            <w:vAlign w:val="center"/>
          </w:tcPr>
          <w:p w14:paraId="25FA0D7A"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69.7</w:t>
            </w:r>
          </w:p>
        </w:tc>
      </w:tr>
      <w:tr w:rsidR="00B24196" w:rsidRPr="00975564" w14:paraId="15030126" w14:textId="77777777" w:rsidTr="00D65FE6">
        <w:trPr>
          <w:trHeight w:val="945"/>
        </w:trPr>
        <w:tc>
          <w:tcPr>
            <w:tcW w:w="5920" w:type="dxa"/>
            <w:hideMark/>
          </w:tcPr>
          <w:p w14:paraId="3105CBFA" w14:textId="77777777" w:rsidR="00B24196" w:rsidRPr="00975564" w:rsidRDefault="00B24196" w:rsidP="00D65FE6">
            <w:pPr>
              <w:rPr>
                <w:rFonts w:ascii="Times New Roman" w:hAnsi="Times New Roman" w:cs="Times New Roman"/>
                <w:color w:val="000000"/>
                <w:sz w:val="20"/>
                <w:szCs w:val="20"/>
              </w:rPr>
            </w:pPr>
            <w:r w:rsidRPr="00975564">
              <w:rPr>
                <w:rFonts w:ascii="Times New Roman" w:hAnsi="Times New Roman" w:cs="Times New Roman"/>
                <w:color w:val="000000"/>
                <w:sz w:val="20"/>
                <w:szCs w:val="20"/>
              </w:rPr>
              <w:t>21. The public health agency has a system in place to support management of physical resources relevant to emergencies; for example, equipment, supplies or medical prophylaxis and/or treatment (E.g. This may include tracking, monitoring and/or reporting components).</w:t>
            </w:r>
          </w:p>
        </w:tc>
        <w:tc>
          <w:tcPr>
            <w:tcW w:w="1663" w:type="dxa"/>
            <w:tcBorders>
              <w:right w:val="nil"/>
            </w:tcBorders>
            <w:noWrap/>
            <w:vAlign w:val="center"/>
          </w:tcPr>
          <w:p w14:paraId="466F0B8A"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168" w:type="dxa"/>
            <w:tcBorders>
              <w:left w:val="nil"/>
              <w:right w:val="nil"/>
            </w:tcBorders>
            <w:noWrap/>
            <w:vAlign w:val="center"/>
          </w:tcPr>
          <w:p w14:paraId="2D1A7F2E"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29</w:t>
            </w:r>
          </w:p>
        </w:tc>
        <w:tc>
          <w:tcPr>
            <w:tcW w:w="1202" w:type="dxa"/>
            <w:tcBorders>
              <w:left w:val="nil"/>
            </w:tcBorders>
            <w:noWrap/>
            <w:vAlign w:val="center"/>
          </w:tcPr>
          <w:p w14:paraId="6C8DDD94"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87.9</w:t>
            </w:r>
          </w:p>
        </w:tc>
        <w:tc>
          <w:tcPr>
            <w:tcW w:w="1495" w:type="dxa"/>
            <w:tcBorders>
              <w:right w:val="nil"/>
            </w:tcBorders>
            <w:noWrap/>
            <w:vAlign w:val="center"/>
          </w:tcPr>
          <w:p w14:paraId="197A56C0"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276" w:type="dxa"/>
            <w:tcBorders>
              <w:left w:val="nil"/>
              <w:right w:val="nil"/>
            </w:tcBorders>
            <w:noWrap/>
            <w:vAlign w:val="center"/>
          </w:tcPr>
          <w:p w14:paraId="055ED174"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23</w:t>
            </w:r>
          </w:p>
        </w:tc>
        <w:tc>
          <w:tcPr>
            <w:tcW w:w="1276" w:type="dxa"/>
            <w:tcBorders>
              <w:left w:val="nil"/>
            </w:tcBorders>
            <w:noWrap/>
            <w:vAlign w:val="center"/>
          </w:tcPr>
          <w:p w14:paraId="2196107B"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69.7</w:t>
            </w:r>
          </w:p>
        </w:tc>
      </w:tr>
      <w:tr w:rsidR="00B24196" w:rsidRPr="00975564" w14:paraId="510C2FC6" w14:textId="77777777" w:rsidTr="00D65FE6">
        <w:trPr>
          <w:trHeight w:val="945"/>
        </w:trPr>
        <w:tc>
          <w:tcPr>
            <w:tcW w:w="5920" w:type="dxa"/>
            <w:hideMark/>
          </w:tcPr>
          <w:p w14:paraId="2F4FC6B4" w14:textId="77777777" w:rsidR="00B24196" w:rsidRPr="00975564" w:rsidRDefault="00B24196" w:rsidP="00D65FE6">
            <w:pPr>
              <w:rPr>
                <w:rFonts w:ascii="Times New Roman" w:hAnsi="Times New Roman" w:cs="Times New Roman"/>
                <w:color w:val="000000"/>
                <w:sz w:val="20"/>
                <w:szCs w:val="20"/>
              </w:rPr>
            </w:pPr>
            <w:r w:rsidRPr="00975564">
              <w:rPr>
                <w:rFonts w:ascii="Times New Roman" w:hAnsi="Times New Roman" w:cs="Times New Roman"/>
                <w:color w:val="000000"/>
                <w:sz w:val="20"/>
                <w:szCs w:val="20"/>
              </w:rPr>
              <w:t>23. The public health agency has established procedures for the exceptional procurement of physical resources relevant to the emergency context; for example, equipment, supplies or medical prophylaxis and/or treatment from the provincial, territorial or federal government.</w:t>
            </w:r>
          </w:p>
        </w:tc>
        <w:tc>
          <w:tcPr>
            <w:tcW w:w="1663" w:type="dxa"/>
            <w:tcBorders>
              <w:right w:val="nil"/>
            </w:tcBorders>
            <w:noWrap/>
            <w:vAlign w:val="center"/>
          </w:tcPr>
          <w:p w14:paraId="2286AE33"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23D5A6F5"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29</w:t>
            </w:r>
          </w:p>
        </w:tc>
        <w:tc>
          <w:tcPr>
            <w:tcW w:w="1202" w:type="dxa"/>
            <w:tcBorders>
              <w:left w:val="nil"/>
            </w:tcBorders>
            <w:noWrap/>
            <w:vAlign w:val="center"/>
          </w:tcPr>
          <w:p w14:paraId="5672C2F8"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87.9</w:t>
            </w:r>
          </w:p>
        </w:tc>
        <w:tc>
          <w:tcPr>
            <w:tcW w:w="1495" w:type="dxa"/>
            <w:tcBorders>
              <w:right w:val="nil"/>
            </w:tcBorders>
            <w:noWrap/>
            <w:vAlign w:val="center"/>
          </w:tcPr>
          <w:p w14:paraId="0BAE8641"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(3)</w:t>
            </w:r>
          </w:p>
        </w:tc>
        <w:tc>
          <w:tcPr>
            <w:tcW w:w="1276" w:type="dxa"/>
            <w:tcBorders>
              <w:left w:val="nil"/>
              <w:right w:val="nil"/>
            </w:tcBorders>
            <w:noWrap/>
            <w:vAlign w:val="center"/>
          </w:tcPr>
          <w:p w14:paraId="41611D24"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20</w:t>
            </w:r>
          </w:p>
        </w:tc>
        <w:tc>
          <w:tcPr>
            <w:tcW w:w="1276" w:type="dxa"/>
            <w:tcBorders>
              <w:left w:val="nil"/>
            </w:tcBorders>
            <w:noWrap/>
            <w:vAlign w:val="center"/>
          </w:tcPr>
          <w:p w14:paraId="45A7CA64"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60.6</w:t>
            </w:r>
          </w:p>
        </w:tc>
      </w:tr>
      <w:tr w:rsidR="00B24196" w:rsidRPr="00975564" w14:paraId="25F9A9E5" w14:textId="77777777" w:rsidTr="00D65FE6">
        <w:trPr>
          <w:trHeight w:val="283"/>
        </w:trPr>
        <w:tc>
          <w:tcPr>
            <w:tcW w:w="5920" w:type="dxa"/>
            <w:shd w:val="clear" w:color="auto" w:fill="595959" w:themeFill="text1" w:themeFillTint="A6"/>
            <w:hideMark/>
          </w:tcPr>
          <w:p w14:paraId="5B91A9C7"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Collaborative Networks</w:t>
            </w:r>
          </w:p>
        </w:tc>
        <w:tc>
          <w:tcPr>
            <w:tcW w:w="1663" w:type="dxa"/>
            <w:tcBorders>
              <w:right w:val="nil"/>
            </w:tcBorders>
            <w:shd w:val="clear" w:color="auto" w:fill="595959" w:themeFill="text1" w:themeFillTint="A6"/>
            <w:noWrap/>
            <w:vAlign w:val="center"/>
            <w:hideMark/>
          </w:tcPr>
          <w:p w14:paraId="7E2B11E1"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168" w:type="dxa"/>
            <w:tcBorders>
              <w:left w:val="nil"/>
              <w:right w:val="nil"/>
            </w:tcBorders>
            <w:shd w:val="clear" w:color="auto" w:fill="595959" w:themeFill="text1" w:themeFillTint="A6"/>
            <w:noWrap/>
            <w:vAlign w:val="center"/>
            <w:hideMark/>
          </w:tcPr>
          <w:p w14:paraId="5559D5BB"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02" w:type="dxa"/>
            <w:tcBorders>
              <w:left w:val="nil"/>
            </w:tcBorders>
            <w:shd w:val="clear" w:color="auto" w:fill="595959" w:themeFill="text1" w:themeFillTint="A6"/>
            <w:noWrap/>
            <w:vAlign w:val="center"/>
            <w:hideMark/>
          </w:tcPr>
          <w:p w14:paraId="72693D79"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495" w:type="dxa"/>
            <w:tcBorders>
              <w:right w:val="nil"/>
            </w:tcBorders>
            <w:shd w:val="clear" w:color="auto" w:fill="595959" w:themeFill="text1" w:themeFillTint="A6"/>
            <w:noWrap/>
            <w:vAlign w:val="center"/>
            <w:hideMark/>
          </w:tcPr>
          <w:p w14:paraId="4A68434B"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right w:val="nil"/>
            </w:tcBorders>
            <w:shd w:val="clear" w:color="auto" w:fill="595959" w:themeFill="text1" w:themeFillTint="A6"/>
            <w:noWrap/>
            <w:vAlign w:val="center"/>
            <w:hideMark/>
          </w:tcPr>
          <w:p w14:paraId="1CEA634C"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tcBorders>
            <w:shd w:val="clear" w:color="auto" w:fill="595959" w:themeFill="text1" w:themeFillTint="A6"/>
            <w:noWrap/>
            <w:vAlign w:val="center"/>
            <w:hideMark/>
          </w:tcPr>
          <w:p w14:paraId="66F02649" w14:textId="77777777" w:rsidR="00B24196" w:rsidRPr="00975564" w:rsidRDefault="00B24196" w:rsidP="00D65FE6">
            <w:pPr>
              <w:jc w:val="center"/>
              <w:rPr>
                <w:rFonts w:ascii="Times New Roman" w:hAnsi="Times New Roman" w:cs="Times New Roman"/>
                <w:b/>
                <w:color w:val="FFFFFF" w:themeColor="background1"/>
                <w:sz w:val="20"/>
                <w:szCs w:val="20"/>
              </w:rPr>
            </w:pPr>
          </w:p>
        </w:tc>
      </w:tr>
      <w:tr w:rsidR="00B24196" w:rsidRPr="00975564" w14:paraId="06BC902F" w14:textId="77777777" w:rsidTr="00D65FE6">
        <w:trPr>
          <w:trHeight w:val="318"/>
        </w:trPr>
        <w:tc>
          <w:tcPr>
            <w:tcW w:w="5920" w:type="dxa"/>
            <w:hideMark/>
          </w:tcPr>
          <w:p w14:paraId="75F774D4" w14:textId="77777777" w:rsidR="00B24196" w:rsidRPr="00975564" w:rsidRDefault="00B24196" w:rsidP="00D65FE6">
            <w:pPr>
              <w:rPr>
                <w:rFonts w:ascii="Times New Roman" w:hAnsi="Times New Roman" w:cs="Times New Roman"/>
                <w:color w:val="000000"/>
                <w:sz w:val="20"/>
                <w:szCs w:val="20"/>
              </w:rPr>
            </w:pPr>
            <w:r w:rsidRPr="00975564">
              <w:rPr>
                <w:rFonts w:ascii="Times New Roman" w:hAnsi="Times New Roman" w:cs="Times New Roman"/>
                <w:color w:val="000000"/>
                <w:sz w:val="20"/>
                <w:szCs w:val="20"/>
              </w:rPr>
              <w:t>25. The public health agency has mutual aid agreements in place with network partners that describe how resources and/or services will be shared during an emergency, including meeting demands for surge capacity.</w:t>
            </w:r>
          </w:p>
        </w:tc>
        <w:tc>
          <w:tcPr>
            <w:tcW w:w="1663" w:type="dxa"/>
            <w:tcBorders>
              <w:right w:val="nil"/>
            </w:tcBorders>
            <w:noWrap/>
            <w:vAlign w:val="center"/>
          </w:tcPr>
          <w:p w14:paraId="3149E386"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7AAA64EB"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27</w:t>
            </w:r>
          </w:p>
        </w:tc>
        <w:tc>
          <w:tcPr>
            <w:tcW w:w="1202" w:type="dxa"/>
            <w:tcBorders>
              <w:left w:val="nil"/>
            </w:tcBorders>
            <w:noWrap/>
            <w:vAlign w:val="center"/>
          </w:tcPr>
          <w:p w14:paraId="75EE7205"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81.8</w:t>
            </w:r>
          </w:p>
        </w:tc>
        <w:tc>
          <w:tcPr>
            <w:tcW w:w="1495" w:type="dxa"/>
            <w:tcBorders>
              <w:right w:val="nil"/>
            </w:tcBorders>
            <w:noWrap/>
            <w:vAlign w:val="center"/>
          </w:tcPr>
          <w:p w14:paraId="57992453"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(2)</w:t>
            </w:r>
          </w:p>
        </w:tc>
        <w:tc>
          <w:tcPr>
            <w:tcW w:w="1276" w:type="dxa"/>
            <w:tcBorders>
              <w:left w:val="nil"/>
              <w:right w:val="nil"/>
            </w:tcBorders>
            <w:noWrap/>
            <w:vAlign w:val="center"/>
          </w:tcPr>
          <w:p w14:paraId="29135D65"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20</w:t>
            </w:r>
          </w:p>
        </w:tc>
        <w:tc>
          <w:tcPr>
            <w:tcW w:w="1276" w:type="dxa"/>
            <w:tcBorders>
              <w:left w:val="nil"/>
            </w:tcBorders>
            <w:noWrap/>
            <w:vAlign w:val="center"/>
          </w:tcPr>
          <w:p w14:paraId="66F2ABFA"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60.6</w:t>
            </w:r>
          </w:p>
        </w:tc>
      </w:tr>
      <w:tr w:rsidR="00B24196" w:rsidRPr="00975564" w14:paraId="3F0229F8" w14:textId="77777777" w:rsidTr="00D65FE6">
        <w:trPr>
          <w:trHeight w:val="945"/>
        </w:trPr>
        <w:tc>
          <w:tcPr>
            <w:tcW w:w="5920" w:type="dxa"/>
            <w:hideMark/>
          </w:tcPr>
          <w:p w14:paraId="0AF3FFF1" w14:textId="77777777" w:rsidR="00B24196" w:rsidRPr="00975564" w:rsidRDefault="00B24196" w:rsidP="00D65FE6">
            <w:pPr>
              <w:rPr>
                <w:rFonts w:ascii="Times New Roman" w:hAnsi="Times New Roman" w:cs="Times New Roman"/>
                <w:color w:val="000000"/>
                <w:sz w:val="20"/>
                <w:szCs w:val="20"/>
              </w:rPr>
            </w:pPr>
            <w:r w:rsidRPr="00975564">
              <w:rPr>
                <w:rFonts w:ascii="Times New Roman" w:hAnsi="Times New Roman" w:cs="Times New Roman"/>
                <w:color w:val="000000"/>
                <w:sz w:val="20"/>
                <w:szCs w:val="20"/>
              </w:rPr>
              <w:t>26. The public health agency has partnerships to access specialized expertise relevant to community risks; for example, environmental health, biosecurity, toxicology, transportation companies, legal advice.</w:t>
            </w:r>
          </w:p>
        </w:tc>
        <w:tc>
          <w:tcPr>
            <w:tcW w:w="1663" w:type="dxa"/>
            <w:tcBorders>
              <w:right w:val="nil"/>
            </w:tcBorders>
            <w:noWrap/>
            <w:vAlign w:val="center"/>
          </w:tcPr>
          <w:p w14:paraId="4DAE821D"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3AC269E7"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30</w:t>
            </w:r>
          </w:p>
        </w:tc>
        <w:tc>
          <w:tcPr>
            <w:tcW w:w="1202" w:type="dxa"/>
            <w:tcBorders>
              <w:left w:val="nil"/>
            </w:tcBorders>
            <w:noWrap/>
            <w:vAlign w:val="center"/>
          </w:tcPr>
          <w:p w14:paraId="4F6594D0"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90.9</w:t>
            </w:r>
          </w:p>
        </w:tc>
        <w:tc>
          <w:tcPr>
            <w:tcW w:w="1495" w:type="dxa"/>
            <w:tcBorders>
              <w:right w:val="nil"/>
            </w:tcBorders>
            <w:noWrap/>
            <w:vAlign w:val="center"/>
          </w:tcPr>
          <w:p w14:paraId="070ADDDC"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(3)</w:t>
            </w:r>
          </w:p>
        </w:tc>
        <w:tc>
          <w:tcPr>
            <w:tcW w:w="1276" w:type="dxa"/>
            <w:tcBorders>
              <w:left w:val="nil"/>
              <w:right w:val="nil"/>
            </w:tcBorders>
            <w:noWrap/>
            <w:vAlign w:val="center"/>
          </w:tcPr>
          <w:p w14:paraId="46EE02C9"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22</w:t>
            </w:r>
          </w:p>
        </w:tc>
        <w:tc>
          <w:tcPr>
            <w:tcW w:w="1276" w:type="dxa"/>
            <w:tcBorders>
              <w:left w:val="nil"/>
            </w:tcBorders>
            <w:noWrap/>
            <w:vAlign w:val="center"/>
          </w:tcPr>
          <w:p w14:paraId="33EDA5E6"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66.7</w:t>
            </w:r>
          </w:p>
        </w:tc>
      </w:tr>
      <w:tr w:rsidR="00B24196" w:rsidRPr="00975564" w14:paraId="65EB29E8" w14:textId="77777777" w:rsidTr="00D65FE6">
        <w:trPr>
          <w:trHeight w:val="630"/>
        </w:trPr>
        <w:tc>
          <w:tcPr>
            <w:tcW w:w="5920" w:type="dxa"/>
            <w:hideMark/>
          </w:tcPr>
          <w:p w14:paraId="5110D886" w14:textId="77777777" w:rsidR="00B24196" w:rsidRPr="00975564" w:rsidRDefault="00B24196" w:rsidP="00D65FE6">
            <w:pPr>
              <w:rPr>
                <w:rFonts w:ascii="Times New Roman" w:hAnsi="Times New Roman" w:cs="Times New Roman"/>
                <w:color w:val="000000"/>
                <w:sz w:val="20"/>
                <w:szCs w:val="20"/>
              </w:rPr>
            </w:pPr>
            <w:r w:rsidRPr="00975564">
              <w:rPr>
                <w:rFonts w:ascii="Times New Roman" w:hAnsi="Times New Roman" w:cs="Times New Roman"/>
                <w:color w:val="000000"/>
                <w:sz w:val="20"/>
                <w:szCs w:val="20"/>
              </w:rPr>
              <w:t>28. The public health agency has established processes to effectively manage differences and disputes with network partners in the context of an emergency.</w:t>
            </w:r>
          </w:p>
          <w:p w14:paraId="0E4F66D2" w14:textId="77777777" w:rsidR="00B24196" w:rsidRPr="00975564" w:rsidRDefault="00B24196" w:rsidP="00D65FE6">
            <w:pPr>
              <w:rPr>
                <w:rFonts w:ascii="Times New Roman" w:hAnsi="Times New Roman" w:cs="Times New Roman"/>
                <w:color w:val="000000"/>
                <w:sz w:val="20"/>
                <w:szCs w:val="20"/>
              </w:rPr>
            </w:pPr>
          </w:p>
        </w:tc>
        <w:tc>
          <w:tcPr>
            <w:tcW w:w="1663" w:type="dxa"/>
            <w:tcBorders>
              <w:right w:val="nil"/>
            </w:tcBorders>
            <w:noWrap/>
            <w:vAlign w:val="center"/>
          </w:tcPr>
          <w:p w14:paraId="17284D79"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168" w:type="dxa"/>
            <w:tcBorders>
              <w:left w:val="nil"/>
              <w:right w:val="nil"/>
            </w:tcBorders>
            <w:noWrap/>
            <w:vAlign w:val="center"/>
          </w:tcPr>
          <w:p w14:paraId="0030E3DE"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26</w:t>
            </w:r>
          </w:p>
        </w:tc>
        <w:tc>
          <w:tcPr>
            <w:tcW w:w="1202" w:type="dxa"/>
            <w:tcBorders>
              <w:left w:val="nil"/>
            </w:tcBorders>
            <w:noWrap/>
            <w:vAlign w:val="center"/>
          </w:tcPr>
          <w:p w14:paraId="6EA26502"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78.8</w:t>
            </w:r>
          </w:p>
        </w:tc>
        <w:tc>
          <w:tcPr>
            <w:tcW w:w="1495" w:type="dxa"/>
            <w:tcBorders>
              <w:right w:val="nil"/>
            </w:tcBorders>
            <w:noWrap/>
            <w:vAlign w:val="center"/>
          </w:tcPr>
          <w:p w14:paraId="6709E1C1"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(2)</w:t>
            </w:r>
          </w:p>
        </w:tc>
        <w:tc>
          <w:tcPr>
            <w:tcW w:w="1276" w:type="dxa"/>
            <w:tcBorders>
              <w:left w:val="nil"/>
              <w:right w:val="nil"/>
            </w:tcBorders>
            <w:noWrap/>
            <w:vAlign w:val="center"/>
          </w:tcPr>
          <w:p w14:paraId="0126A43A"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18</w:t>
            </w:r>
          </w:p>
        </w:tc>
        <w:tc>
          <w:tcPr>
            <w:tcW w:w="1276" w:type="dxa"/>
            <w:tcBorders>
              <w:left w:val="nil"/>
            </w:tcBorders>
            <w:noWrap/>
            <w:vAlign w:val="center"/>
          </w:tcPr>
          <w:p w14:paraId="4276E2E4"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54.5</w:t>
            </w:r>
          </w:p>
        </w:tc>
      </w:tr>
      <w:tr w:rsidR="00B24196" w:rsidRPr="00975564" w14:paraId="584FBEC4" w14:textId="77777777" w:rsidTr="00D65FE6">
        <w:trPr>
          <w:trHeight w:val="283"/>
        </w:trPr>
        <w:tc>
          <w:tcPr>
            <w:tcW w:w="5920" w:type="dxa"/>
            <w:shd w:val="clear" w:color="auto" w:fill="595959" w:themeFill="text1" w:themeFillTint="A6"/>
            <w:hideMark/>
          </w:tcPr>
          <w:p w14:paraId="09B38FDD"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Community Engagement</w:t>
            </w:r>
          </w:p>
        </w:tc>
        <w:tc>
          <w:tcPr>
            <w:tcW w:w="1663" w:type="dxa"/>
            <w:tcBorders>
              <w:right w:val="nil"/>
            </w:tcBorders>
            <w:shd w:val="clear" w:color="auto" w:fill="595959" w:themeFill="text1" w:themeFillTint="A6"/>
            <w:noWrap/>
            <w:vAlign w:val="center"/>
            <w:hideMark/>
          </w:tcPr>
          <w:p w14:paraId="48A2B7F3"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168" w:type="dxa"/>
            <w:tcBorders>
              <w:left w:val="nil"/>
              <w:right w:val="nil"/>
            </w:tcBorders>
            <w:shd w:val="clear" w:color="auto" w:fill="595959" w:themeFill="text1" w:themeFillTint="A6"/>
            <w:noWrap/>
            <w:vAlign w:val="center"/>
            <w:hideMark/>
          </w:tcPr>
          <w:p w14:paraId="2577B4A1"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02" w:type="dxa"/>
            <w:tcBorders>
              <w:left w:val="nil"/>
            </w:tcBorders>
            <w:shd w:val="clear" w:color="auto" w:fill="595959" w:themeFill="text1" w:themeFillTint="A6"/>
            <w:noWrap/>
            <w:vAlign w:val="center"/>
            <w:hideMark/>
          </w:tcPr>
          <w:p w14:paraId="7C5945AC"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495" w:type="dxa"/>
            <w:tcBorders>
              <w:right w:val="nil"/>
            </w:tcBorders>
            <w:shd w:val="clear" w:color="auto" w:fill="595959" w:themeFill="text1" w:themeFillTint="A6"/>
            <w:noWrap/>
            <w:vAlign w:val="center"/>
            <w:hideMark/>
          </w:tcPr>
          <w:p w14:paraId="07D2D8BD"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right w:val="nil"/>
            </w:tcBorders>
            <w:shd w:val="clear" w:color="auto" w:fill="595959" w:themeFill="text1" w:themeFillTint="A6"/>
            <w:noWrap/>
            <w:vAlign w:val="center"/>
            <w:hideMark/>
          </w:tcPr>
          <w:p w14:paraId="3ED18AE0"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tcBorders>
            <w:shd w:val="clear" w:color="auto" w:fill="595959" w:themeFill="text1" w:themeFillTint="A6"/>
            <w:noWrap/>
            <w:vAlign w:val="center"/>
            <w:hideMark/>
          </w:tcPr>
          <w:p w14:paraId="07C98068" w14:textId="77777777" w:rsidR="00B24196" w:rsidRPr="00975564" w:rsidRDefault="00B24196" w:rsidP="00D65FE6">
            <w:pPr>
              <w:jc w:val="center"/>
              <w:rPr>
                <w:rFonts w:ascii="Times New Roman" w:hAnsi="Times New Roman" w:cs="Times New Roman"/>
                <w:b/>
                <w:color w:val="FFFFFF" w:themeColor="background1"/>
                <w:sz w:val="20"/>
                <w:szCs w:val="20"/>
              </w:rPr>
            </w:pPr>
          </w:p>
        </w:tc>
      </w:tr>
      <w:tr w:rsidR="00B24196" w:rsidRPr="00975564" w14:paraId="6D2C5B3C" w14:textId="77777777" w:rsidTr="00D65FE6">
        <w:trPr>
          <w:trHeight w:val="630"/>
        </w:trPr>
        <w:tc>
          <w:tcPr>
            <w:tcW w:w="5920" w:type="dxa"/>
            <w:hideMark/>
          </w:tcPr>
          <w:p w14:paraId="06564CC2" w14:textId="77777777" w:rsidR="00B24196" w:rsidRPr="00975564" w:rsidRDefault="00B24196" w:rsidP="00D65FE6">
            <w:pPr>
              <w:rPr>
                <w:rFonts w:ascii="Times New Roman" w:hAnsi="Times New Roman" w:cs="Times New Roman"/>
                <w:color w:val="000000"/>
                <w:sz w:val="20"/>
                <w:szCs w:val="20"/>
              </w:rPr>
            </w:pPr>
            <w:r w:rsidRPr="00975564">
              <w:rPr>
                <w:rFonts w:ascii="Times New Roman" w:hAnsi="Times New Roman" w:cs="Times New Roman"/>
                <w:color w:val="000000"/>
                <w:sz w:val="20"/>
                <w:szCs w:val="20"/>
              </w:rPr>
              <w:lastRenderedPageBreak/>
              <w:t>29. The public health agency provides education programs directed at the public to raise awareness about preparedness for relevant community risks.</w:t>
            </w:r>
          </w:p>
        </w:tc>
        <w:tc>
          <w:tcPr>
            <w:tcW w:w="1663" w:type="dxa"/>
            <w:tcBorders>
              <w:right w:val="nil"/>
            </w:tcBorders>
            <w:noWrap/>
            <w:vAlign w:val="center"/>
          </w:tcPr>
          <w:p w14:paraId="37CB6301"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168" w:type="dxa"/>
            <w:tcBorders>
              <w:left w:val="nil"/>
              <w:right w:val="nil"/>
            </w:tcBorders>
            <w:noWrap/>
            <w:vAlign w:val="center"/>
          </w:tcPr>
          <w:p w14:paraId="10A1DD81"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26</w:t>
            </w:r>
          </w:p>
        </w:tc>
        <w:tc>
          <w:tcPr>
            <w:tcW w:w="1202" w:type="dxa"/>
            <w:tcBorders>
              <w:left w:val="nil"/>
            </w:tcBorders>
            <w:noWrap/>
            <w:vAlign w:val="center"/>
          </w:tcPr>
          <w:p w14:paraId="2CBB63EC"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78.8</w:t>
            </w:r>
          </w:p>
        </w:tc>
        <w:tc>
          <w:tcPr>
            <w:tcW w:w="1495" w:type="dxa"/>
            <w:tcBorders>
              <w:right w:val="nil"/>
            </w:tcBorders>
            <w:noWrap/>
            <w:vAlign w:val="center"/>
          </w:tcPr>
          <w:p w14:paraId="2BF52835"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(2)</w:t>
            </w:r>
          </w:p>
        </w:tc>
        <w:tc>
          <w:tcPr>
            <w:tcW w:w="1276" w:type="dxa"/>
            <w:tcBorders>
              <w:left w:val="nil"/>
              <w:right w:val="nil"/>
            </w:tcBorders>
            <w:noWrap/>
            <w:vAlign w:val="center"/>
          </w:tcPr>
          <w:p w14:paraId="77143A10"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21</w:t>
            </w:r>
          </w:p>
        </w:tc>
        <w:tc>
          <w:tcPr>
            <w:tcW w:w="1276" w:type="dxa"/>
            <w:tcBorders>
              <w:left w:val="nil"/>
            </w:tcBorders>
            <w:noWrap/>
            <w:vAlign w:val="center"/>
          </w:tcPr>
          <w:p w14:paraId="5E047C95"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63.6</w:t>
            </w:r>
          </w:p>
        </w:tc>
      </w:tr>
      <w:tr w:rsidR="00B24196" w:rsidRPr="00975564" w14:paraId="4E4487F0" w14:textId="77777777" w:rsidTr="00D65FE6">
        <w:trPr>
          <w:trHeight w:val="945"/>
        </w:trPr>
        <w:tc>
          <w:tcPr>
            <w:tcW w:w="5920" w:type="dxa"/>
            <w:hideMark/>
          </w:tcPr>
          <w:p w14:paraId="59B4F758" w14:textId="77777777" w:rsidR="00B24196" w:rsidRPr="00975564" w:rsidRDefault="00B24196" w:rsidP="00D65FE6">
            <w:pPr>
              <w:rPr>
                <w:rFonts w:ascii="Times New Roman" w:hAnsi="Times New Roman" w:cs="Times New Roman"/>
                <w:color w:val="000000"/>
                <w:sz w:val="20"/>
                <w:szCs w:val="20"/>
              </w:rPr>
            </w:pPr>
            <w:r w:rsidRPr="00975564">
              <w:rPr>
                <w:rFonts w:ascii="Times New Roman" w:hAnsi="Times New Roman" w:cs="Times New Roman"/>
                <w:color w:val="000000"/>
                <w:sz w:val="20"/>
                <w:szCs w:val="20"/>
              </w:rPr>
              <w:t>30. The public health agency has an established structure to facilitate inclusion of community considerations in public health emergency management; for example, a community advisory committee that includes members of the public and/or advocacy groups that represent the public.</w:t>
            </w:r>
          </w:p>
        </w:tc>
        <w:tc>
          <w:tcPr>
            <w:tcW w:w="1663" w:type="dxa"/>
            <w:tcBorders>
              <w:right w:val="nil"/>
            </w:tcBorders>
            <w:noWrap/>
            <w:vAlign w:val="center"/>
          </w:tcPr>
          <w:p w14:paraId="0E81D033"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(3)</w:t>
            </w:r>
          </w:p>
        </w:tc>
        <w:tc>
          <w:tcPr>
            <w:tcW w:w="1168" w:type="dxa"/>
            <w:tcBorders>
              <w:left w:val="nil"/>
              <w:right w:val="nil"/>
            </w:tcBorders>
            <w:noWrap/>
            <w:vAlign w:val="center"/>
          </w:tcPr>
          <w:p w14:paraId="251CF737"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20</w:t>
            </w:r>
          </w:p>
        </w:tc>
        <w:tc>
          <w:tcPr>
            <w:tcW w:w="1202" w:type="dxa"/>
            <w:tcBorders>
              <w:left w:val="nil"/>
            </w:tcBorders>
            <w:noWrap/>
            <w:vAlign w:val="center"/>
          </w:tcPr>
          <w:p w14:paraId="6344C5C8"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60.6</w:t>
            </w:r>
          </w:p>
        </w:tc>
        <w:tc>
          <w:tcPr>
            <w:tcW w:w="1495" w:type="dxa"/>
            <w:tcBorders>
              <w:right w:val="nil"/>
            </w:tcBorders>
            <w:noWrap/>
            <w:vAlign w:val="center"/>
          </w:tcPr>
          <w:p w14:paraId="60646A76"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(2)</w:t>
            </w:r>
          </w:p>
        </w:tc>
        <w:tc>
          <w:tcPr>
            <w:tcW w:w="1276" w:type="dxa"/>
            <w:tcBorders>
              <w:left w:val="nil"/>
              <w:right w:val="nil"/>
            </w:tcBorders>
            <w:noWrap/>
            <w:vAlign w:val="center"/>
          </w:tcPr>
          <w:p w14:paraId="075524C9"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23</w:t>
            </w:r>
          </w:p>
        </w:tc>
        <w:tc>
          <w:tcPr>
            <w:tcW w:w="1276" w:type="dxa"/>
            <w:tcBorders>
              <w:left w:val="nil"/>
            </w:tcBorders>
            <w:noWrap/>
            <w:vAlign w:val="center"/>
          </w:tcPr>
          <w:p w14:paraId="6870E66B"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69.7</w:t>
            </w:r>
          </w:p>
        </w:tc>
      </w:tr>
      <w:tr w:rsidR="00B24196" w:rsidRPr="00975564" w14:paraId="2D352AF4" w14:textId="77777777" w:rsidTr="00D65FE6">
        <w:trPr>
          <w:trHeight w:val="1471"/>
        </w:trPr>
        <w:tc>
          <w:tcPr>
            <w:tcW w:w="5920" w:type="dxa"/>
          </w:tcPr>
          <w:p w14:paraId="361FDFB3" w14:textId="77777777" w:rsidR="00B24196" w:rsidRPr="00975564" w:rsidRDefault="00B24196" w:rsidP="00D65FE6">
            <w:pPr>
              <w:rPr>
                <w:rFonts w:ascii="Times New Roman" w:hAnsi="Times New Roman" w:cs="Times New Roman"/>
                <w:color w:val="000000"/>
                <w:sz w:val="20"/>
                <w:szCs w:val="20"/>
              </w:rPr>
            </w:pPr>
            <w:r w:rsidRPr="00975564">
              <w:rPr>
                <w:rFonts w:ascii="Times New Roman" w:hAnsi="Times New Roman" w:cs="Times New Roman"/>
                <w:color w:val="000000"/>
                <w:sz w:val="20"/>
                <w:szCs w:val="20"/>
              </w:rPr>
              <w:t>31. The public health agency dedicates time for the continuous development of relationships with community organizations relevant to preparedness for local risks; for example, building relationships with members of the public and/or advocacy groups that represent the public.</w:t>
            </w:r>
          </w:p>
        </w:tc>
        <w:tc>
          <w:tcPr>
            <w:tcW w:w="1663" w:type="dxa"/>
            <w:tcBorders>
              <w:right w:val="nil"/>
            </w:tcBorders>
            <w:noWrap/>
            <w:vAlign w:val="center"/>
          </w:tcPr>
          <w:p w14:paraId="7FD5A3E0"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168" w:type="dxa"/>
            <w:tcBorders>
              <w:left w:val="nil"/>
              <w:right w:val="nil"/>
            </w:tcBorders>
            <w:noWrap/>
            <w:vAlign w:val="center"/>
          </w:tcPr>
          <w:p w14:paraId="41FCBE03"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24</w:t>
            </w:r>
          </w:p>
        </w:tc>
        <w:tc>
          <w:tcPr>
            <w:tcW w:w="1202" w:type="dxa"/>
            <w:tcBorders>
              <w:left w:val="nil"/>
            </w:tcBorders>
            <w:noWrap/>
            <w:vAlign w:val="center"/>
          </w:tcPr>
          <w:p w14:paraId="181259D3"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72.7</w:t>
            </w:r>
          </w:p>
        </w:tc>
        <w:tc>
          <w:tcPr>
            <w:tcW w:w="1495" w:type="dxa"/>
            <w:tcBorders>
              <w:right w:val="nil"/>
            </w:tcBorders>
            <w:noWrap/>
            <w:vAlign w:val="center"/>
          </w:tcPr>
          <w:p w14:paraId="130CBA3D"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276" w:type="dxa"/>
            <w:tcBorders>
              <w:left w:val="nil"/>
              <w:right w:val="nil"/>
            </w:tcBorders>
            <w:noWrap/>
            <w:vAlign w:val="center"/>
          </w:tcPr>
          <w:p w14:paraId="6A516DAE"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23</w:t>
            </w:r>
          </w:p>
        </w:tc>
        <w:tc>
          <w:tcPr>
            <w:tcW w:w="1276" w:type="dxa"/>
            <w:tcBorders>
              <w:left w:val="nil"/>
            </w:tcBorders>
            <w:noWrap/>
            <w:vAlign w:val="center"/>
          </w:tcPr>
          <w:p w14:paraId="50E99CE7"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69.7</w:t>
            </w:r>
          </w:p>
        </w:tc>
      </w:tr>
      <w:tr w:rsidR="00B24196" w:rsidRPr="00975564" w14:paraId="7896CAD1" w14:textId="77777777" w:rsidTr="00D65FE6">
        <w:trPr>
          <w:trHeight w:val="630"/>
        </w:trPr>
        <w:tc>
          <w:tcPr>
            <w:tcW w:w="5920" w:type="dxa"/>
            <w:hideMark/>
          </w:tcPr>
          <w:p w14:paraId="6BBD8EBB"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color w:val="000000"/>
                <w:sz w:val="20"/>
                <w:szCs w:val="20"/>
              </w:rPr>
              <w:t>32. The public health agency has a process to ensure transparency with the public in cases where there are genuine differences of professional opinion in the context of uncertain science.</w:t>
            </w:r>
          </w:p>
        </w:tc>
        <w:tc>
          <w:tcPr>
            <w:tcW w:w="1663" w:type="dxa"/>
            <w:tcBorders>
              <w:right w:val="nil"/>
            </w:tcBorders>
            <w:noWrap/>
            <w:vAlign w:val="center"/>
          </w:tcPr>
          <w:p w14:paraId="62198FB2"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168" w:type="dxa"/>
            <w:tcBorders>
              <w:left w:val="nil"/>
              <w:right w:val="nil"/>
            </w:tcBorders>
            <w:noWrap/>
            <w:vAlign w:val="center"/>
          </w:tcPr>
          <w:p w14:paraId="09AA91EF"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24</w:t>
            </w:r>
          </w:p>
        </w:tc>
        <w:tc>
          <w:tcPr>
            <w:tcW w:w="1202" w:type="dxa"/>
            <w:tcBorders>
              <w:left w:val="nil"/>
            </w:tcBorders>
            <w:noWrap/>
            <w:vAlign w:val="center"/>
          </w:tcPr>
          <w:p w14:paraId="6FAD315F"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72.7</w:t>
            </w:r>
          </w:p>
        </w:tc>
        <w:tc>
          <w:tcPr>
            <w:tcW w:w="1495" w:type="dxa"/>
            <w:tcBorders>
              <w:right w:val="nil"/>
            </w:tcBorders>
            <w:noWrap/>
            <w:vAlign w:val="center"/>
          </w:tcPr>
          <w:p w14:paraId="624C0883"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4 (1)</w:t>
            </w:r>
          </w:p>
        </w:tc>
        <w:tc>
          <w:tcPr>
            <w:tcW w:w="1276" w:type="dxa"/>
            <w:tcBorders>
              <w:left w:val="nil"/>
              <w:right w:val="nil"/>
            </w:tcBorders>
            <w:noWrap/>
            <w:vAlign w:val="center"/>
          </w:tcPr>
          <w:p w14:paraId="19EF854D"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16</w:t>
            </w:r>
          </w:p>
        </w:tc>
        <w:tc>
          <w:tcPr>
            <w:tcW w:w="1276" w:type="dxa"/>
            <w:tcBorders>
              <w:left w:val="nil"/>
            </w:tcBorders>
            <w:noWrap/>
            <w:vAlign w:val="center"/>
          </w:tcPr>
          <w:p w14:paraId="14D98A2E"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48.5</w:t>
            </w:r>
          </w:p>
        </w:tc>
      </w:tr>
      <w:tr w:rsidR="00B24196" w:rsidRPr="00975564" w14:paraId="1D2DA3BB" w14:textId="77777777" w:rsidTr="00D65FE6">
        <w:trPr>
          <w:trHeight w:val="283"/>
        </w:trPr>
        <w:tc>
          <w:tcPr>
            <w:tcW w:w="5920" w:type="dxa"/>
            <w:shd w:val="clear" w:color="auto" w:fill="595959" w:themeFill="text1" w:themeFillTint="A6"/>
            <w:hideMark/>
          </w:tcPr>
          <w:p w14:paraId="4BEFB866"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Communication</w:t>
            </w:r>
          </w:p>
        </w:tc>
        <w:tc>
          <w:tcPr>
            <w:tcW w:w="1663" w:type="dxa"/>
            <w:tcBorders>
              <w:right w:val="nil"/>
            </w:tcBorders>
            <w:shd w:val="clear" w:color="auto" w:fill="595959" w:themeFill="text1" w:themeFillTint="A6"/>
            <w:noWrap/>
            <w:vAlign w:val="center"/>
            <w:hideMark/>
          </w:tcPr>
          <w:p w14:paraId="4682004A"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168" w:type="dxa"/>
            <w:tcBorders>
              <w:left w:val="nil"/>
              <w:right w:val="nil"/>
            </w:tcBorders>
            <w:shd w:val="clear" w:color="auto" w:fill="595959" w:themeFill="text1" w:themeFillTint="A6"/>
            <w:noWrap/>
            <w:vAlign w:val="center"/>
            <w:hideMark/>
          </w:tcPr>
          <w:p w14:paraId="0451EB8E"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02" w:type="dxa"/>
            <w:tcBorders>
              <w:left w:val="nil"/>
            </w:tcBorders>
            <w:shd w:val="clear" w:color="auto" w:fill="595959" w:themeFill="text1" w:themeFillTint="A6"/>
            <w:noWrap/>
            <w:vAlign w:val="center"/>
            <w:hideMark/>
          </w:tcPr>
          <w:p w14:paraId="55C663CD"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495" w:type="dxa"/>
            <w:tcBorders>
              <w:right w:val="nil"/>
            </w:tcBorders>
            <w:shd w:val="clear" w:color="auto" w:fill="595959" w:themeFill="text1" w:themeFillTint="A6"/>
            <w:noWrap/>
            <w:vAlign w:val="center"/>
            <w:hideMark/>
          </w:tcPr>
          <w:p w14:paraId="36EF98AC"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right w:val="nil"/>
            </w:tcBorders>
            <w:shd w:val="clear" w:color="auto" w:fill="595959" w:themeFill="text1" w:themeFillTint="A6"/>
            <w:noWrap/>
            <w:vAlign w:val="center"/>
            <w:hideMark/>
          </w:tcPr>
          <w:p w14:paraId="20C0D93A"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tcBorders>
            <w:shd w:val="clear" w:color="auto" w:fill="595959" w:themeFill="text1" w:themeFillTint="A6"/>
            <w:noWrap/>
            <w:vAlign w:val="center"/>
            <w:hideMark/>
          </w:tcPr>
          <w:p w14:paraId="215A3846" w14:textId="77777777" w:rsidR="00B24196" w:rsidRPr="00975564" w:rsidRDefault="00B24196" w:rsidP="00D65FE6">
            <w:pPr>
              <w:jc w:val="center"/>
              <w:rPr>
                <w:rFonts w:ascii="Times New Roman" w:hAnsi="Times New Roman" w:cs="Times New Roman"/>
                <w:b/>
                <w:color w:val="FFFFFF" w:themeColor="background1"/>
                <w:sz w:val="20"/>
                <w:szCs w:val="20"/>
              </w:rPr>
            </w:pPr>
          </w:p>
        </w:tc>
      </w:tr>
      <w:tr w:rsidR="00B24196" w:rsidRPr="00975564" w14:paraId="4F10A04F" w14:textId="77777777" w:rsidTr="00D65FE6">
        <w:trPr>
          <w:trHeight w:val="600"/>
        </w:trPr>
        <w:tc>
          <w:tcPr>
            <w:tcW w:w="5920" w:type="dxa"/>
            <w:vAlign w:val="center"/>
            <w:hideMark/>
          </w:tcPr>
          <w:p w14:paraId="7AEF0FA7" w14:textId="77777777" w:rsidR="00B24196" w:rsidRPr="00975564" w:rsidRDefault="00B24196" w:rsidP="00D65FE6">
            <w:pPr>
              <w:rPr>
                <w:rFonts w:ascii="Times New Roman" w:hAnsi="Times New Roman" w:cs="Times New Roman"/>
                <w:color w:val="000000"/>
                <w:sz w:val="20"/>
                <w:szCs w:val="20"/>
              </w:rPr>
            </w:pPr>
            <w:r w:rsidRPr="00975564">
              <w:rPr>
                <w:rFonts w:ascii="Times New Roman" w:hAnsi="Times New Roman" w:cs="Times New Roman"/>
                <w:color w:val="000000"/>
                <w:sz w:val="20"/>
                <w:szCs w:val="20"/>
              </w:rPr>
              <w:t>39. The public health agency has access to dedicated communications personnel for emergencies.</w:t>
            </w:r>
          </w:p>
          <w:p w14:paraId="403867E3" w14:textId="77777777" w:rsidR="00B24196" w:rsidRPr="00975564" w:rsidRDefault="00B24196" w:rsidP="00D65FE6">
            <w:pPr>
              <w:outlineLvl w:val="0"/>
              <w:rPr>
                <w:rFonts w:ascii="Times New Roman" w:hAnsi="Times New Roman" w:cs="Times New Roman"/>
                <w:sz w:val="20"/>
                <w:szCs w:val="20"/>
              </w:rPr>
            </w:pPr>
          </w:p>
        </w:tc>
        <w:tc>
          <w:tcPr>
            <w:tcW w:w="1663" w:type="dxa"/>
            <w:tcBorders>
              <w:right w:val="nil"/>
            </w:tcBorders>
            <w:noWrap/>
            <w:vAlign w:val="center"/>
          </w:tcPr>
          <w:p w14:paraId="4EF650CC"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 (1)</w:t>
            </w:r>
          </w:p>
        </w:tc>
        <w:tc>
          <w:tcPr>
            <w:tcW w:w="1168" w:type="dxa"/>
            <w:tcBorders>
              <w:left w:val="nil"/>
              <w:right w:val="nil"/>
            </w:tcBorders>
            <w:noWrap/>
            <w:vAlign w:val="center"/>
          </w:tcPr>
          <w:p w14:paraId="5A867A13"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31</w:t>
            </w:r>
          </w:p>
        </w:tc>
        <w:tc>
          <w:tcPr>
            <w:tcW w:w="1202" w:type="dxa"/>
            <w:tcBorders>
              <w:left w:val="nil"/>
            </w:tcBorders>
            <w:noWrap/>
            <w:vAlign w:val="center"/>
          </w:tcPr>
          <w:p w14:paraId="74060E2E"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93.9</w:t>
            </w:r>
          </w:p>
        </w:tc>
        <w:tc>
          <w:tcPr>
            <w:tcW w:w="1495" w:type="dxa"/>
            <w:tcBorders>
              <w:right w:val="nil"/>
            </w:tcBorders>
            <w:noWrap/>
            <w:vAlign w:val="center"/>
          </w:tcPr>
          <w:p w14:paraId="275AEE67"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(4)</w:t>
            </w:r>
          </w:p>
        </w:tc>
        <w:tc>
          <w:tcPr>
            <w:tcW w:w="1276" w:type="dxa"/>
            <w:tcBorders>
              <w:left w:val="nil"/>
              <w:right w:val="nil"/>
            </w:tcBorders>
            <w:noWrap/>
            <w:vAlign w:val="center"/>
          </w:tcPr>
          <w:p w14:paraId="6678AA46"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22</w:t>
            </w:r>
          </w:p>
        </w:tc>
        <w:tc>
          <w:tcPr>
            <w:tcW w:w="1276" w:type="dxa"/>
            <w:tcBorders>
              <w:left w:val="nil"/>
            </w:tcBorders>
            <w:noWrap/>
            <w:vAlign w:val="center"/>
          </w:tcPr>
          <w:p w14:paraId="3E293CDC"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66.7</w:t>
            </w:r>
          </w:p>
        </w:tc>
      </w:tr>
      <w:tr w:rsidR="00B24196" w:rsidRPr="00975564" w14:paraId="62085963" w14:textId="77777777" w:rsidTr="00D65FE6">
        <w:trPr>
          <w:trHeight w:val="283"/>
        </w:trPr>
        <w:tc>
          <w:tcPr>
            <w:tcW w:w="5920" w:type="dxa"/>
            <w:shd w:val="clear" w:color="auto" w:fill="595959" w:themeFill="text1" w:themeFillTint="A6"/>
            <w:hideMark/>
          </w:tcPr>
          <w:p w14:paraId="4BE2CF1D"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Workforce Capacity</w:t>
            </w:r>
          </w:p>
        </w:tc>
        <w:tc>
          <w:tcPr>
            <w:tcW w:w="1663" w:type="dxa"/>
            <w:tcBorders>
              <w:right w:val="nil"/>
            </w:tcBorders>
            <w:shd w:val="clear" w:color="auto" w:fill="595959" w:themeFill="text1" w:themeFillTint="A6"/>
            <w:noWrap/>
            <w:vAlign w:val="center"/>
            <w:hideMark/>
          </w:tcPr>
          <w:p w14:paraId="57307243"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168" w:type="dxa"/>
            <w:tcBorders>
              <w:left w:val="nil"/>
              <w:right w:val="nil"/>
            </w:tcBorders>
            <w:shd w:val="clear" w:color="auto" w:fill="595959" w:themeFill="text1" w:themeFillTint="A6"/>
            <w:noWrap/>
            <w:vAlign w:val="center"/>
            <w:hideMark/>
          </w:tcPr>
          <w:p w14:paraId="789C4F4D"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02" w:type="dxa"/>
            <w:tcBorders>
              <w:left w:val="nil"/>
            </w:tcBorders>
            <w:shd w:val="clear" w:color="auto" w:fill="595959" w:themeFill="text1" w:themeFillTint="A6"/>
            <w:noWrap/>
            <w:vAlign w:val="center"/>
            <w:hideMark/>
          </w:tcPr>
          <w:p w14:paraId="1F9B2A72" w14:textId="77777777" w:rsidR="00B24196" w:rsidRPr="00975564" w:rsidRDefault="00B24196" w:rsidP="00D65FE6">
            <w:pPr>
              <w:rPr>
                <w:rFonts w:ascii="Times New Roman" w:hAnsi="Times New Roman" w:cs="Times New Roman"/>
                <w:b/>
                <w:color w:val="FFFFFF" w:themeColor="background1"/>
                <w:sz w:val="20"/>
                <w:szCs w:val="20"/>
              </w:rPr>
            </w:pPr>
          </w:p>
        </w:tc>
        <w:tc>
          <w:tcPr>
            <w:tcW w:w="1495" w:type="dxa"/>
            <w:tcBorders>
              <w:right w:val="nil"/>
            </w:tcBorders>
            <w:shd w:val="clear" w:color="auto" w:fill="595959" w:themeFill="text1" w:themeFillTint="A6"/>
            <w:noWrap/>
            <w:vAlign w:val="center"/>
            <w:hideMark/>
          </w:tcPr>
          <w:p w14:paraId="1EB8196E"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right w:val="nil"/>
            </w:tcBorders>
            <w:shd w:val="clear" w:color="auto" w:fill="595959" w:themeFill="text1" w:themeFillTint="A6"/>
            <w:noWrap/>
            <w:vAlign w:val="center"/>
            <w:hideMark/>
          </w:tcPr>
          <w:p w14:paraId="17B4456A"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tcBorders>
            <w:shd w:val="clear" w:color="auto" w:fill="595959" w:themeFill="text1" w:themeFillTint="A6"/>
            <w:noWrap/>
            <w:vAlign w:val="center"/>
            <w:hideMark/>
          </w:tcPr>
          <w:p w14:paraId="79D7ACAD" w14:textId="77777777" w:rsidR="00B24196" w:rsidRPr="00975564" w:rsidRDefault="00B24196" w:rsidP="00D65FE6">
            <w:pPr>
              <w:jc w:val="center"/>
              <w:rPr>
                <w:rFonts w:ascii="Times New Roman" w:hAnsi="Times New Roman" w:cs="Times New Roman"/>
                <w:b/>
                <w:color w:val="FFFFFF" w:themeColor="background1"/>
                <w:sz w:val="20"/>
                <w:szCs w:val="20"/>
              </w:rPr>
            </w:pPr>
          </w:p>
        </w:tc>
      </w:tr>
      <w:tr w:rsidR="00B24196" w:rsidRPr="00975564" w14:paraId="09911184" w14:textId="77777777" w:rsidTr="00D65FE6">
        <w:trPr>
          <w:trHeight w:val="630"/>
        </w:trPr>
        <w:tc>
          <w:tcPr>
            <w:tcW w:w="5920" w:type="dxa"/>
          </w:tcPr>
          <w:p w14:paraId="755A2492" w14:textId="77777777" w:rsidR="00B24196" w:rsidRPr="00975564" w:rsidRDefault="00B24196" w:rsidP="00D65FE6">
            <w:pPr>
              <w:rPr>
                <w:rFonts w:ascii="Times New Roman" w:hAnsi="Times New Roman" w:cs="Times New Roman"/>
                <w:color w:val="000000"/>
                <w:sz w:val="20"/>
                <w:szCs w:val="20"/>
              </w:rPr>
            </w:pPr>
            <w:r w:rsidRPr="00975564">
              <w:rPr>
                <w:rFonts w:ascii="Times New Roman" w:hAnsi="Times New Roman" w:cs="Times New Roman"/>
                <w:color w:val="000000"/>
                <w:sz w:val="20"/>
                <w:szCs w:val="20"/>
              </w:rPr>
              <w:t>40. The public health agency has a structure that supports multi-disciplinary emergency management across the agency; for example, a multi-disciplinary team of public health professionals, epidemiologists, environmental health officers.</w:t>
            </w:r>
          </w:p>
        </w:tc>
        <w:tc>
          <w:tcPr>
            <w:tcW w:w="1663" w:type="dxa"/>
            <w:tcBorders>
              <w:right w:val="nil"/>
            </w:tcBorders>
            <w:noWrap/>
            <w:vAlign w:val="center"/>
          </w:tcPr>
          <w:p w14:paraId="1E39EDAD"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2F5FCA69"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29</w:t>
            </w:r>
          </w:p>
        </w:tc>
        <w:tc>
          <w:tcPr>
            <w:tcW w:w="1202" w:type="dxa"/>
            <w:tcBorders>
              <w:left w:val="nil"/>
            </w:tcBorders>
            <w:noWrap/>
            <w:vAlign w:val="center"/>
          </w:tcPr>
          <w:p w14:paraId="08E4D957"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87.9</w:t>
            </w:r>
          </w:p>
        </w:tc>
        <w:tc>
          <w:tcPr>
            <w:tcW w:w="1495" w:type="dxa"/>
            <w:tcBorders>
              <w:right w:val="nil"/>
            </w:tcBorders>
            <w:noWrap/>
            <w:vAlign w:val="center"/>
          </w:tcPr>
          <w:p w14:paraId="4E72A51D"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(3)</w:t>
            </w:r>
          </w:p>
        </w:tc>
        <w:tc>
          <w:tcPr>
            <w:tcW w:w="1276" w:type="dxa"/>
            <w:tcBorders>
              <w:left w:val="nil"/>
              <w:right w:val="nil"/>
            </w:tcBorders>
            <w:noWrap/>
            <w:vAlign w:val="center"/>
          </w:tcPr>
          <w:p w14:paraId="1F352074"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23</w:t>
            </w:r>
          </w:p>
        </w:tc>
        <w:tc>
          <w:tcPr>
            <w:tcW w:w="1276" w:type="dxa"/>
            <w:tcBorders>
              <w:left w:val="nil"/>
            </w:tcBorders>
            <w:noWrap/>
            <w:vAlign w:val="center"/>
          </w:tcPr>
          <w:p w14:paraId="542AD097"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69.7</w:t>
            </w:r>
          </w:p>
        </w:tc>
      </w:tr>
      <w:tr w:rsidR="00B24196" w:rsidRPr="00975564" w14:paraId="42305DF9" w14:textId="77777777" w:rsidTr="00D65FE6">
        <w:trPr>
          <w:trHeight w:val="630"/>
        </w:trPr>
        <w:tc>
          <w:tcPr>
            <w:tcW w:w="5920" w:type="dxa"/>
            <w:hideMark/>
          </w:tcPr>
          <w:p w14:paraId="1D59B492" w14:textId="77777777" w:rsidR="00B24196" w:rsidRPr="00975564" w:rsidRDefault="00B24196" w:rsidP="00D65FE6">
            <w:pPr>
              <w:rPr>
                <w:rFonts w:ascii="Times New Roman" w:hAnsi="Times New Roman" w:cs="Times New Roman"/>
                <w:color w:val="000000"/>
                <w:sz w:val="20"/>
                <w:szCs w:val="20"/>
              </w:rPr>
            </w:pPr>
            <w:r w:rsidRPr="00975564">
              <w:rPr>
                <w:rFonts w:ascii="Times New Roman" w:hAnsi="Times New Roman" w:cs="Times New Roman"/>
                <w:color w:val="000000"/>
                <w:sz w:val="20"/>
                <w:szCs w:val="20"/>
              </w:rPr>
              <w:t>44. The public health agency workforce is available for the management of emergencies on a 24/7/365 basis.</w:t>
            </w:r>
          </w:p>
        </w:tc>
        <w:tc>
          <w:tcPr>
            <w:tcW w:w="1663" w:type="dxa"/>
            <w:tcBorders>
              <w:right w:val="nil"/>
            </w:tcBorders>
            <w:noWrap/>
            <w:vAlign w:val="center"/>
          </w:tcPr>
          <w:p w14:paraId="157100AF"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2B340388"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29</w:t>
            </w:r>
          </w:p>
        </w:tc>
        <w:tc>
          <w:tcPr>
            <w:tcW w:w="1202" w:type="dxa"/>
            <w:tcBorders>
              <w:left w:val="nil"/>
            </w:tcBorders>
            <w:noWrap/>
            <w:vAlign w:val="center"/>
          </w:tcPr>
          <w:p w14:paraId="0578369A"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87.9</w:t>
            </w:r>
          </w:p>
        </w:tc>
        <w:tc>
          <w:tcPr>
            <w:tcW w:w="1495" w:type="dxa"/>
            <w:tcBorders>
              <w:right w:val="nil"/>
            </w:tcBorders>
            <w:noWrap/>
            <w:vAlign w:val="center"/>
          </w:tcPr>
          <w:p w14:paraId="6FD35C47"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(4)</w:t>
            </w:r>
          </w:p>
        </w:tc>
        <w:tc>
          <w:tcPr>
            <w:tcW w:w="1276" w:type="dxa"/>
            <w:tcBorders>
              <w:left w:val="nil"/>
              <w:right w:val="nil"/>
            </w:tcBorders>
            <w:noWrap/>
            <w:vAlign w:val="center"/>
          </w:tcPr>
          <w:p w14:paraId="1A8801B0"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23</w:t>
            </w:r>
          </w:p>
        </w:tc>
        <w:tc>
          <w:tcPr>
            <w:tcW w:w="1276" w:type="dxa"/>
            <w:tcBorders>
              <w:left w:val="nil"/>
            </w:tcBorders>
            <w:noWrap/>
            <w:vAlign w:val="center"/>
          </w:tcPr>
          <w:p w14:paraId="6EB57402"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69.7</w:t>
            </w:r>
          </w:p>
        </w:tc>
      </w:tr>
      <w:tr w:rsidR="00B24196" w:rsidRPr="00975564" w14:paraId="3210E902" w14:textId="77777777" w:rsidTr="00D65FE6">
        <w:trPr>
          <w:trHeight w:val="630"/>
        </w:trPr>
        <w:tc>
          <w:tcPr>
            <w:tcW w:w="5920" w:type="dxa"/>
            <w:hideMark/>
          </w:tcPr>
          <w:p w14:paraId="5491ED00" w14:textId="77777777" w:rsidR="00B24196" w:rsidRPr="00975564" w:rsidRDefault="00B24196" w:rsidP="00D65FE6">
            <w:pPr>
              <w:rPr>
                <w:rFonts w:ascii="Times New Roman" w:hAnsi="Times New Roman" w:cs="Times New Roman"/>
                <w:color w:val="000000"/>
                <w:sz w:val="20"/>
                <w:szCs w:val="20"/>
              </w:rPr>
            </w:pPr>
            <w:r w:rsidRPr="00975564">
              <w:rPr>
                <w:rFonts w:ascii="Times New Roman" w:hAnsi="Times New Roman" w:cs="Times New Roman"/>
                <w:color w:val="000000"/>
                <w:sz w:val="20"/>
                <w:szCs w:val="20"/>
              </w:rPr>
              <w:t>47. The public health agency has a process for integrating volunteers into public health service delivery in emergency situations.</w:t>
            </w:r>
          </w:p>
          <w:p w14:paraId="7D3E0724" w14:textId="77777777" w:rsidR="00B24196" w:rsidRPr="00975564" w:rsidRDefault="00B24196" w:rsidP="00D65FE6">
            <w:pPr>
              <w:rPr>
                <w:rFonts w:ascii="Times New Roman" w:hAnsi="Times New Roman" w:cs="Times New Roman"/>
                <w:color w:val="000000"/>
                <w:sz w:val="20"/>
                <w:szCs w:val="20"/>
              </w:rPr>
            </w:pPr>
          </w:p>
          <w:p w14:paraId="4FA4F0BB" w14:textId="77777777" w:rsidR="00B24196" w:rsidRPr="00975564" w:rsidRDefault="00B24196" w:rsidP="00D65FE6">
            <w:pPr>
              <w:rPr>
                <w:rFonts w:ascii="Times New Roman" w:hAnsi="Times New Roman" w:cs="Times New Roman"/>
                <w:color w:val="000000"/>
                <w:sz w:val="20"/>
                <w:szCs w:val="20"/>
              </w:rPr>
            </w:pPr>
          </w:p>
        </w:tc>
        <w:tc>
          <w:tcPr>
            <w:tcW w:w="1663" w:type="dxa"/>
            <w:tcBorders>
              <w:right w:val="nil"/>
            </w:tcBorders>
            <w:noWrap/>
            <w:vAlign w:val="center"/>
          </w:tcPr>
          <w:p w14:paraId="05B40B22"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(2)</w:t>
            </w:r>
          </w:p>
        </w:tc>
        <w:tc>
          <w:tcPr>
            <w:tcW w:w="1168" w:type="dxa"/>
            <w:tcBorders>
              <w:left w:val="nil"/>
              <w:right w:val="nil"/>
            </w:tcBorders>
            <w:noWrap/>
            <w:vAlign w:val="center"/>
          </w:tcPr>
          <w:p w14:paraId="671BB89E"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24</w:t>
            </w:r>
          </w:p>
        </w:tc>
        <w:tc>
          <w:tcPr>
            <w:tcW w:w="1202" w:type="dxa"/>
            <w:tcBorders>
              <w:left w:val="nil"/>
            </w:tcBorders>
            <w:noWrap/>
            <w:vAlign w:val="center"/>
          </w:tcPr>
          <w:p w14:paraId="2D86781D"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72.7</w:t>
            </w:r>
          </w:p>
        </w:tc>
        <w:tc>
          <w:tcPr>
            <w:tcW w:w="1495" w:type="dxa"/>
            <w:tcBorders>
              <w:right w:val="nil"/>
            </w:tcBorders>
            <w:noWrap/>
            <w:vAlign w:val="center"/>
          </w:tcPr>
          <w:p w14:paraId="1ABACDE6"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(2)</w:t>
            </w:r>
          </w:p>
        </w:tc>
        <w:tc>
          <w:tcPr>
            <w:tcW w:w="1276" w:type="dxa"/>
            <w:tcBorders>
              <w:left w:val="nil"/>
              <w:right w:val="nil"/>
            </w:tcBorders>
            <w:noWrap/>
            <w:vAlign w:val="center"/>
          </w:tcPr>
          <w:p w14:paraId="0B79B079"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21</w:t>
            </w:r>
          </w:p>
        </w:tc>
        <w:tc>
          <w:tcPr>
            <w:tcW w:w="1276" w:type="dxa"/>
            <w:tcBorders>
              <w:left w:val="nil"/>
            </w:tcBorders>
            <w:noWrap/>
            <w:vAlign w:val="center"/>
          </w:tcPr>
          <w:p w14:paraId="5673C31C"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63.6</w:t>
            </w:r>
          </w:p>
        </w:tc>
      </w:tr>
      <w:tr w:rsidR="00B24196" w:rsidRPr="00975564" w14:paraId="08E2D02A" w14:textId="77777777" w:rsidTr="00D65FE6">
        <w:trPr>
          <w:trHeight w:val="283"/>
        </w:trPr>
        <w:tc>
          <w:tcPr>
            <w:tcW w:w="5920" w:type="dxa"/>
            <w:shd w:val="clear" w:color="auto" w:fill="595959" w:themeFill="text1" w:themeFillTint="A6"/>
            <w:hideMark/>
          </w:tcPr>
          <w:p w14:paraId="4DC7B16A"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Surveillance and Monitoring</w:t>
            </w:r>
          </w:p>
        </w:tc>
        <w:tc>
          <w:tcPr>
            <w:tcW w:w="1663" w:type="dxa"/>
            <w:tcBorders>
              <w:right w:val="nil"/>
            </w:tcBorders>
            <w:shd w:val="clear" w:color="auto" w:fill="595959" w:themeFill="text1" w:themeFillTint="A6"/>
            <w:noWrap/>
            <w:vAlign w:val="center"/>
            <w:hideMark/>
          </w:tcPr>
          <w:p w14:paraId="00EE187D"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168" w:type="dxa"/>
            <w:tcBorders>
              <w:left w:val="nil"/>
              <w:right w:val="nil"/>
            </w:tcBorders>
            <w:shd w:val="clear" w:color="auto" w:fill="595959" w:themeFill="text1" w:themeFillTint="A6"/>
            <w:noWrap/>
            <w:vAlign w:val="center"/>
            <w:hideMark/>
          </w:tcPr>
          <w:p w14:paraId="492E12E1"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02" w:type="dxa"/>
            <w:tcBorders>
              <w:left w:val="nil"/>
            </w:tcBorders>
            <w:shd w:val="clear" w:color="auto" w:fill="595959" w:themeFill="text1" w:themeFillTint="A6"/>
            <w:noWrap/>
            <w:vAlign w:val="center"/>
            <w:hideMark/>
          </w:tcPr>
          <w:p w14:paraId="079726AC"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495" w:type="dxa"/>
            <w:tcBorders>
              <w:right w:val="nil"/>
            </w:tcBorders>
            <w:shd w:val="clear" w:color="auto" w:fill="595959" w:themeFill="text1" w:themeFillTint="A6"/>
            <w:noWrap/>
            <w:vAlign w:val="center"/>
            <w:hideMark/>
          </w:tcPr>
          <w:p w14:paraId="4CB346C3"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right w:val="nil"/>
            </w:tcBorders>
            <w:shd w:val="clear" w:color="auto" w:fill="595959" w:themeFill="text1" w:themeFillTint="A6"/>
            <w:noWrap/>
            <w:vAlign w:val="center"/>
            <w:hideMark/>
          </w:tcPr>
          <w:p w14:paraId="14AE7C1C"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tcBorders>
            <w:shd w:val="clear" w:color="auto" w:fill="595959" w:themeFill="text1" w:themeFillTint="A6"/>
            <w:noWrap/>
            <w:vAlign w:val="center"/>
            <w:hideMark/>
          </w:tcPr>
          <w:p w14:paraId="04DC0CC7" w14:textId="77777777" w:rsidR="00B24196" w:rsidRPr="00975564" w:rsidRDefault="00B24196" w:rsidP="00D65FE6">
            <w:pPr>
              <w:jc w:val="center"/>
              <w:rPr>
                <w:rFonts w:ascii="Times New Roman" w:hAnsi="Times New Roman" w:cs="Times New Roman"/>
                <w:b/>
                <w:color w:val="FFFFFF" w:themeColor="background1"/>
                <w:sz w:val="20"/>
                <w:szCs w:val="20"/>
              </w:rPr>
            </w:pPr>
          </w:p>
        </w:tc>
      </w:tr>
      <w:tr w:rsidR="00B24196" w:rsidRPr="00975564" w14:paraId="67108DAD" w14:textId="77777777" w:rsidTr="00D65FE6">
        <w:trPr>
          <w:trHeight w:val="675"/>
        </w:trPr>
        <w:tc>
          <w:tcPr>
            <w:tcW w:w="5920" w:type="dxa"/>
          </w:tcPr>
          <w:p w14:paraId="005892A2" w14:textId="77777777" w:rsidR="00B24196" w:rsidRPr="00975564" w:rsidRDefault="00B24196" w:rsidP="00D65FE6">
            <w:pPr>
              <w:rPr>
                <w:rFonts w:ascii="Times New Roman" w:hAnsi="Times New Roman" w:cs="Times New Roman"/>
                <w:color w:val="000000"/>
                <w:sz w:val="20"/>
                <w:szCs w:val="20"/>
              </w:rPr>
            </w:pPr>
            <w:r w:rsidRPr="00975564">
              <w:rPr>
                <w:rFonts w:ascii="Times New Roman" w:hAnsi="Times New Roman" w:cs="Times New Roman"/>
                <w:color w:val="000000"/>
                <w:sz w:val="20"/>
                <w:szCs w:val="20"/>
              </w:rPr>
              <w:t>48. The public health agency has the capability for enhanced and/or event-based surveillance specific to local/regional risks.</w:t>
            </w:r>
          </w:p>
        </w:tc>
        <w:tc>
          <w:tcPr>
            <w:tcW w:w="1663" w:type="dxa"/>
            <w:tcBorders>
              <w:right w:val="nil"/>
            </w:tcBorders>
            <w:noWrap/>
            <w:vAlign w:val="center"/>
          </w:tcPr>
          <w:p w14:paraId="60FE0D3E"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 (1)</w:t>
            </w:r>
          </w:p>
        </w:tc>
        <w:tc>
          <w:tcPr>
            <w:tcW w:w="1168" w:type="dxa"/>
            <w:tcBorders>
              <w:left w:val="nil"/>
              <w:right w:val="nil"/>
            </w:tcBorders>
            <w:noWrap/>
            <w:vAlign w:val="center"/>
          </w:tcPr>
          <w:p w14:paraId="0D4EECCD"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29</w:t>
            </w:r>
          </w:p>
        </w:tc>
        <w:tc>
          <w:tcPr>
            <w:tcW w:w="1202" w:type="dxa"/>
            <w:tcBorders>
              <w:left w:val="nil"/>
            </w:tcBorders>
            <w:noWrap/>
            <w:vAlign w:val="center"/>
          </w:tcPr>
          <w:p w14:paraId="27DF3E34"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87.9</w:t>
            </w:r>
          </w:p>
        </w:tc>
        <w:tc>
          <w:tcPr>
            <w:tcW w:w="1495" w:type="dxa"/>
            <w:tcBorders>
              <w:right w:val="nil"/>
            </w:tcBorders>
            <w:noWrap/>
            <w:vAlign w:val="center"/>
          </w:tcPr>
          <w:p w14:paraId="3A62208A"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(2)</w:t>
            </w:r>
          </w:p>
        </w:tc>
        <w:tc>
          <w:tcPr>
            <w:tcW w:w="1276" w:type="dxa"/>
            <w:tcBorders>
              <w:left w:val="nil"/>
              <w:right w:val="nil"/>
            </w:tcBorders>
            <w:noWrap/>
            <w:vAlign w:val="center"/>
          </w:tcPr>
          <w:p w14:paraId="61872B31"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23</w:t>
            </w:r>
          </w:p>
        </w:tc>
        <w:tc>
          <w:tcPr>
            <w:tcW w:w="1276" w:type="dxa"/>
            <w:tcBorders>
              <w:left w:val="nil"/>
            </w:tcBorders>
            <w:noWrap/>
            <w:vAlign w:val="center"/>
          </w:tcPr>
          <w:p w14:paraId="1990E792"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69.7</w:t>
            </w:r>
          </w:p>
        </w:tc>
      </w:tr>
      <w:tr w:rsidR="00B24196" w:rsidRPr="00975564" w14:paraId="33934979" w14:textId="77777777" w:rsidTr="00D65FE6">
        <w:trPr>
          <w:trHeight w:val="945"/>
        </w:trPr>
        <w:tc>
          <w:tcPr>
            <w:tcW w:w="5920" w:type="dxa"/>
            <w:hideMark/>
          </w:tcPr>
          <w:p w14:paraId="01180430" w14:textId="77777777" w:rsidR="00B24196" w:rsidRPr="00975564" w:rsidRDefault="00B24196" w:rsidP="00D65FE6">
            <w:pPr>
              <w:rPr>
                <w:rFonts w:ascii="Times New Roman" w:hAnsi="Times New Roman" w:cs="Times New Roman"/>
                <w:color w:val="000000"/>
                <w:sz w:val="20"/>
                <w:szCs w:val="20"/>
              </w:rPr>
            </w:pPr>
            <w:r w:rsidRPr="00975564">
              <w:rPr>
                <w:rFonts w:ascii="Times New Roman" w:hAnsi="Times New Roman" w:cs="Times New Roman"/>
                <w:color w:val="000000"/>
                <w:sz w:val="20"/>
                <w:szCs w:val="20"/>
              </w:rPr>
              <w:lastRenderedPageBreak/>
              <w:t>50. The public health agency surveillance system has the capacity for data-sharing with other relevant surveillance systems; for example, with agricultural, veterinary or environmental surveillance systems.</w:t>
            </w:r>
          </w:p>
        </w:tc>
        <w:tc>
          <w:tcPr>
            <w:tcW w:w="1663" w:type="dxa"/>
            <w:tcBorders>
              <w:right w:val="nil"/>
            </w:tcBorders>
            <w:noWrap/>
            <w:vAlign w:val="center"/>
          </w:tcPr>
          <w:p w14:paraId="11654CDA"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76420F80"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26</w:t>
            </w:r>
          </w:p>
        </w:tc>
        <w:tc>
          <w:tcPr>
            <w:tcW w:w="1202" w:type="dxa"/>
            <w:tcBorders>
              <w:left w:val="nil"/>
            </w:tcBorders>
            <w:noWrap/>
            <w:vAlign w:val="center"/>
          </w:tcPr>
          <w:p w14:paraId="5F5991B4"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78.8</w:t>
            </w:r>
          </w:p>
        </w:tc>
        <w:tc>
          <w:tcPr>
            <w:tcW w:w="1495" w:type="dxa"/>
            <w:tcBorders>
              <w:right w:val="nil"/>
            </w:tcBorders>
            <w:noWrap/>
            <w:vAlign w:val="center"/>
          </w:tcPr>
          <w:p w14:paraId="0A3793B7"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4 (2)</w:t>
            </w:r>
          </w:p>
        </w:tc>
        <w:tc>
          <w:tcPr>
            <w:tcW w:w="1276" w:type="dxa"/>
            <w:tcBorders>
              <w:left w:val="nil"/>
              <w:right w:val="nil"/>
            </w:tcBorders>
            <w:noWrap/>
            <w:vAlign w:val="center"/>
          </w:tcPr>
          <w:p w14:paraId="112A877C"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15</w:t>
            </w:r>
          </w:p>
        </w:tc>
        <w:tc>
          <w:tcPr>
            <w:tcW w:w="1276" w:type="dxa"/>
            <w:tcBorders>
              <w:left w:val="nil"/>
            </w:tcBorders>
            <w:noWrap/>
            <w:vAlign w:val="center"/>
          </w:tcPr>
          <w:p w14:paraId="279C55C6"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45.5</w:t>
            </w:r>
          </w:p>
        </w:tc>
      </w:tr>
      <w:tr w:rsidR="00B24196" w:rsidRPr="00975564" w14:paraId="1C0EA35F" w14:textId="77777777" w:rsidTr="00D65FE6">
        <w:trPr>
          <w:trHeight w:val="945"/>
        </w:trPr>
        <w:tc>
          <w:tcPr>
            <w:tcW w:w="5920" w:type="dxa"/>
            <w:hideMark/>
          </w:tcPr>
          <w:p w14:paraId="347677CE" w14:textId="77777777" w:rsidR="00B24196" w:rsidRPr="00975564" w:rsidRDefault="00B24196" w:rsidP="00D65FE6">
            <w:pPr>
              <w:rPr>
                <w:rFonts w:ascii="Times New Roman" w:hAnsi="Times New Roman" w:cs="Times New Roman"/>
                <w:color w:val="000000"/>
                <w:sz w:val="20"/>
                <w:szCs w:val="20"/>
              </w:rPr>
            </w:pPr>
            <w:r w:rsidRPr="00975564">
              <w:rPr>
                <w:rFonts w:ascii="Times New Roman" w:hAnsi="Times New Roman" w:cs="Times New Roman"/>
                <w:color w:val="000000"/>
                <w:sz w:val="20"/>
                <w:szCs w:val="20"/>
              </w:rPr>
              <w:t>52. Local/regional laboratories (e.g., commercial and/or hospital) have the capability for timely reporting of results to the public health agency for surveillance relevant to public health emergencies.</w:t>
            </w:r>
          </w:p>
        </w:tc>
        <w:tc>
          <w:tcPr>
            <w:tcW w:w="1663" w:type="dxa"/>
            <w:tcBorders>
              <w:right w:val="nil"/>
            </w:tcBorders>
            <w:noWrap/>
            <w:vAlign w:val="center"/>
          </w:tcPr>
          <w:p w14:paraId="3FDEF34D"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6728A62A"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32</w:t>
            </w:r>
          </w:p>
        </w:tc>
        <w:tc>
          <w:tcPr>
            <w:tcW w:w="1202" w:type="dxa"/>
            <w:tcBorders>
              <w:left w:val="nil"/>
            </w:tcBorders>
            <w:noWrap/>
            <w:vAlign w:val="center"/>
          </w:tcPr>
          <w:p w14:paraId="1D7B8741"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97.0</w:t>
            </w:r>
          </w:p>
        </w:tc>
        <w:tc>
          <w:tcPr>
            <w:tcW w:w="1495" w:type="dxa"/>
            <w:tcBorders>
              <w:right w:val="nil"/>
            </w:tcBorders>
            <w:noWrap/>
            <w:vAlign w:val="center"/>
          </w:tcPr>
          <w:p w14:paraId="270094F8"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(3)</w:t>
            </w:r>
          </w:p>
        </w:tc>
        <w:tc>
          <w:tcPr>
            <w:tcW w:w="1276" w:type="dxa"/>
            <w:tcBorders>
              <w:left w:val="nil"/>
              <w:right w:val="nil"/>
            </w:tcBorders>
            <w:noWrap/>
            <w:vAlign w:val="center"/>
          </w:tcPr>
          <w:p w14:paraId="5C5FA517"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19</w:t>
            </w:r>
          </w:p>
        </w:tc>
        <w:tc>
          <w:tcPr>
            <w:tcW w:w="1276" w:type="dxa"/>
            <w:tcBorders>
              <w:left w:val="nil"/>
            </w:tcBorders>
            <w:noWrap/>
            <w:vAlign w:val="center"/>
          </w:tcPr>
          <w:p w14:paraId="5C4D49A2"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57.6</w:t>
            </w:r>
          </w:p>
        </w:tc>
      </w:tr>
      <w:tr w:rsidR="00B24196" w:rsidRPr="00975564" w14:paraId="162402D3" w14:textId="77777777" w:rsidTr="00D65FE6">
        <w:trPr>
          <w:trHeight w:val="283"/>
        </w:trPr>
        <w:tc>
          <w:tcPr>
            <w:tcW w:w="5920" w:type="dxa"/>
            <w:shd w:val="clear" w:color="auto" w:fill="595959" w:themeFill="text1" w:themeFillTint="A6"/>
            <w:hideMark/>
          </w:tcPr>
          <w:p w14:paraId="789E2CFB"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Learning and Evaluation</w:t>
            </w:r>
          </w:p>
        </w:tc>
        <w:tc>
          <w:tcPr>
            <w:tcW w:w="1663" w:type="dxa"/>
            <w:tcBorders>
              <w:right w:val="nil"/>
            </w:tcBorders>
            <w:shd w:val="clear" w:color="auto" w:fill="595959" w:themeFill="text1" w:themeFillTint="A6"/>
            <w:noWrap/>
            <w:vAlign w:val="center"/>
            <w:hideMark/>
          </w:tcPr>
          <w:p w14:paraId="67307F3C"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168" w:type="dxa"/>
            <w:tcBorders>
              <w:left w:val="nil"/>
              <w:right w:val="nil"/>
            </w:tcBorders>
            <w:shd w:val="clear" w:color="auto" w:fill="595959" w:themeFill="text1" w:themeFillTint="A6"/>
            <w:noWrap/>
            <w:vAlign w:val="center"/>
            <w:hideMark/>
          </w:tcPr>
          <w:p w14:paraId="4A8E09EC"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02" w:type="dxa"/>
            <w:tcBorders>
              <w:left w:val="nil"/>
            </w:tcBorders>
            <w:shd w:val="clear" w:color="auto" w:fill="595959" w:themeFill="text1" w:themeFillTint="A6"/>
            <w:noWrap/>
            <w:vAlign w:val="center"/>
            <w:hideMark/>
          </w:tcPr>
          <w:p w14:paraId="461F7681"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495" w:type="dxa"/>
            <w:tcBorders>
              <w:right w:val="nil"/>
            </w:tcBorders>
            <w:shd w:val="clear" w:color="auto" w:fill="595959" w:themeFill="text1" w:themeFillTint="A6"/>
            <w:noWrap/>
            <w:vAlign w:val="center"/>
            <w:hideMark/>
          </w:tcPr>
          <w:p w14:paraId="40120F8D"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right w:val="nil"/>
            </w:tcBorders>
            <w:shd w:val="clear" w:color="auto" w:fill="595959" w:themeFill="text1" w:themeFillTint="A6"/>
            <w:noWrap/>
            <w:vAlign w:val="center"/>
            <w:hideMark/>
          </w:tcPr>
          <w:p w14:paraId="0FEB6227"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tcBorders>
            <w:shd w:val="clear" w:color="auto" w:fill="595959" w:themeFill="text1" w:themeFillTint="A6"/>
            <w:noWrap/>
            <w:vAlign w:val="center"/>
            <w:hideMark/>
          </w:tcPr>
          <w:p w14:paraId="5421220C" w14:textId="77777777" w:rsidR="00B24196" w:rsidRPr="00975564" w:rsidRDefault="00B24196" w:rsidP="00D65FE6">
            <w:pPr>
              <w:jc w:val="center"/>
              <w:rPr>
                <w:rFonts w:ascii="Times New Roman" w:hAnsi="Times New Roman" w:cs="Times New Roman"/>
                <w:b/>
                <w:color w:val="FFFFFF" w:themeColor="background1"/>
                <w:sz w:val="20"/>
                <w:szCs w:val="20"/>
              </w:rPr>
            </w:pPr>
          </w:p>
        </w:tc>
      </w:tr>
      <w:tr w:rsidR="00B24196" w:rsidRPr="00975564" w14:paraId="3C8EC150" w14:textId="77777777" w:rsidTr="00D65FE6">
        <w:trPr>
          <w:trHeight w:val="630"/>
        </w:trPr>
        <w:tc>
          <w:tcPr>
            <w:tcW w:w="5920" w:type="dxa"/>
            <w:hideMark/>
          </w:tcPr>
          <w:p w14:paraId="7E8D11AB" w14:textId="77777777" w:rsidR="00B24196" w:rsidRPr="00975564" w:rsidRDefault="00B24196" w:rsidP="00D65FE6">
            <w:pPr>
              <w:rPr>
                <w:rFonts w:ascii="Times New Roman" w:hAnsi="Times New Roman" w:cs="Times New Roman"/>
                <w:color w:val="000000"/>
                <w:sz w:val="20"/>
                <w:szCs w:val="20"/>
              </w:rPr>
            </w:pPr>
            <w:r w:rsidRPr="00975564">
              <w:rPr>
                <w:rFonts w:ascii="Times New Roman" w:hAnsi="Times New Roman" w:cs="Times New Roman"/>
                <w:color w:val="000000"/>
                <w:sz w:val="20"/>
                <w:szCs w:val="20"/>
              </w:rPr>
              <w:t>56. The public health agency has defined a research and/or evaluation agenda that aims to address knowledge gaps relevant to emergency management.</w:t>
            </w:r>
          </w:p>
        </w:tc>
        <w:tc>
          <w:tcPr>
            <w:tcW w:w="1663" w:type="dxa"/>
            <w:tcBorders>
              <w:right w:val="nil"/>
            </w:tcBorders>
            <w:noWrap/>
            <w:vAlign w:val="center"/>
          </w:tcPr>
          <w:p w14:paraId="04EBD618"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168" w:type="dxa"/>
            <w:tcBorders>
              <w:left w:val="nil"/>
              <w:right w:val="nil"/>
            </w:tcBorders>
            <w:noWrap/>
            <w:vAlign w:val="center"/>
          </w:tcPr>
          <w:p w14:paraId="66810BB1"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24</w:t>
            </w:r>
          </w:p>
        </w:tc>
        <w:tc>
          <w:tcPr>
            <w:tcW w:w="1202" w:type="dxa"/>
            <w:tcBorders>
              <w:left w:val="nil"/>
            </w:tcBorders>
            <w:noWrap/>
            <w:vAlign w:val="center"/>
          </w:tcPr>
          <w:p w14:paraId="7FAA6F3F"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72.7</w:t>
            </w:r>
          </w:p>
        </w:tc>
        <w:tc>
          <w:tcPr>
            <w:tcW w:w="1495" w:type="dxa"/>
            <w:tcBorders>
              <w:right w:val="nil"/>
            </w:tcBorders>
            <w:noWrap/>
            <w:vAlign w:val="center"/>
          </w:tcPr>
          <w:p w14:paraId="487ABDF2"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(3)</w:t>
            </w:r>
          </w:p>
        </w:tc>
        <w:tc>
          <w:tcPr>
            <w:tcW w:w="1276" w:type="dxa"/>
            <w:tcBorders>
              <w:left w:val="nil"/>
              <w:right w:val="nil"/>
            </w:tcBorders>
            <w:noWrap/>
            <w:vAlign w:val="center"/>
          </w:tcPr>
          <w:p w14:paraId="27D5C2B5"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20</w:t>
            </w:r>
          </w:p>
        </w:tc>
        <w:tc>
          <w:tcPr>
            <w:tcW w:w="1276" w:type="dxa"/>
            <w:tcBorders>
              <w:left w:val="nil"/>
            </w:tcBorders>
            <w:noWrap/>
            <w:vAlign w:val="center"/>
          </w:tcPr>
          <w:p w14:paraId="4E9B72C5"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60.6</w:t>
            </w:r>
          </w:p>
        </w:tc>
      </w:tr>
      <w:tr w:rsidR="00B24196" w:rsidRPr="00975564" w14:paraId="442A291D" w14:textId="77777777" w:rsidTr="00D65FE6">
        <w:trPr>
          <w:trHeight w:val="630"/>
        </w:trPr>
        <w:tc>
          <w:tcPr>
            <w:tcW w:w="5920" w:type="dxa"/>
            <w:hideMark/>
          </w:tcPr>
          <w:p w14:paraId="4B9AFA6B" w14:textId="77777777" w:rsidR="00B24196" w:rsidRPr="00975564" w:rsidRDefault="00B24196" w:rsidP="00D65FE6">
            <w:pPr>
              <w:rPr>
                <w:rFonts w:ascii="Times New Roman" w:hAnsi="Times New Roman" w:cs="Times New Roman"/>
                <w:color w:val="000000"/>
                <w:sz w:val="20"/>
                <w:szCs w:val="20"/>
              </w:rPr>
            </w:pPr>
            <w:r w:rsidRPr="00975564">
              <w:rPr>
                <w:rFonts w:ascii="Times New Roman" w:hAnsi="Times New Roman" w:cs="Times New Roman"/>
                <w:color w:val="000000"/>
                <w:sz w:val="20"/>
                <w:szCs w:val="20"/>
              </w:rPr>
              <w:t>57. The public health agency has allocated resources for research and/or evaluation to address knowledge gaps relevant to emergency management.</w:t>
            </w:r>
          </w:p>
          <w:p w14:paraId="1385CB57" w14:textId="77777777" w:rsidR="00B24196" w:rsidRPr="00975564" w:rsidRDefault="00B24196" w:rsidP="00D65FE6">
            <w:pPr>
              <w:outlineLvl w:val="0"/>
              <w:rPr>
                <w:rFonts w:ascii="Times New Roman" w:hAnsi="Times New Roman" w:cs="Times New Roman"/>
                <w:sz w:val="20"/>
                <w:szCs w:val="20"/>
              </w:rPr>
            </w:pPr>
          </w:p>
        </w:tc>
        <w:tc>
          <w:tcPr>
            <w:tcW w:w="1663" w:type="dxa"/>
            <w:tcBorders>
              <w:right w:val="nil"/>
            </w:tcBorders>
            <w:noWrap/>
            <w:vAlign w:val="center"/>
          </w:tcPr>
          <w:p w14:paraId="0ED694BC"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(3)</w:t>
            </w:r>
          </w:p>
        </w:tc>
        <w:tc>
          <w:tcPr>
            <w:tcW w:w="1168" w:type="dxa"/>
            <w:tcBorders>
              <w:left w:val="nil"/>
              <w:right w:val="nil"/>
            </w:tcBorders>
            <w:noWrap/>
            <w:vAlign w:val="center"/>
          </w:tcPr>
          <w:p w14:paraId="5914B8C0"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22</w:t>
            </w:r>
          </w:p>
        </w:tc>
        <w:tc>
          <w:tcPr>
            <w:tcW w:w="1202" w:type="dxa"/>
            <w:tcBorders>
              <w:left w:val="nil"/>
            </w:tcBorders>
            <w:noWrap/>
            <w:vAlign w:val="center"/>
          </w:tcPr>
          <w:p w14:paraId="0B009065"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66.7</w:t>
            </w:r>
          </w:p>
        </w:tc>
        <w:tc>
          <w:tcPr>
            <w:tcW w:w="1495" w:type="dxa"/>
            <w:tcBorders>
              <w:right w:val="nil"/>
            </w:tcBorders>
            <w:noWrap/>
            <w:vAlign w:val="center"/>
          </w:tcPr>
          <w:p w14:paraId="2FB022B9"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(2)</w:t>
            </w:r>
          </w:p>
        </w:tc>
        <w:tc>
          <w:tcPr>
            <w:tcW w:w="1276" w:type="dxa"/>
            <w:tcBorders>
              <w:left w:val="nil"/>
              <w:right w:val="nil"/>
            </w:tcBorders>
            <w:noWrap/>
            <w:vAlign w:val="center"/>
          </w:tcPr>
          <w:p w14:paraId="1330D73F"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18</w:t>
            </w:r>
          </w:p>
        </w:tc>
        <w:tc>
          <w:tcPr>
            <w:tcW w:w="1276" w:type="dxa"/>
            <w:tcBorders>
              <w:left w:val="nil"/>
            </w:tcBorders>
            <w:noWrap/>
            <w:vAlign w:val="center"/>
          </w:tcPr>
          <w:p w14:paraId="53BE3CAA"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54.5</w:t>
            </w:r>
          </w:p>
        </w:tc>
      </w:tr>
      <w:tr w:rsidR="00B24196" w:rsidRPr="00975564" w14:paraId="77115C73" w14:textId="77777777" w:rsidTr="00D65FE6">
        <w:trPr>
          <w:trHeight w:val="283"/>
        </w:trPr>
        <w:tc>
          <w:tcPr>
            <w:tcW w:w="5920" w:type="dxa"/>
            <w:shd w:val="clear" w:color="auto" w:fill="595959" w:themeFill="text1" w:themeFillTint="A6"/>
            <w:hideMark/>
          </w:tcPr>
          <w:p w14:paraId="207811D5"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Practice and Experience</w:t>
            </w:r>
          </w:p>
        </w:tc>
        <w:tc>
          <w:tcPr>
            <w:tcW w:w="1663" w:type="dxa"/>
            <w:tcBorders>
              <w:right w:val="nil"/>
            </w:tcBorders>
            <w:shd w:val="clear" w:color="auto" w:fill="595959" w:themeFill="text1" w:themeFillTint="A6"/>
            <w:noWrap/>
            <w:vAlign w:val="center"/>
            <w:hideMark/>
          </w:tcPr>
          <w:p w14:paraId="3950D91E"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168" w:type="dxa"/>
            <w:tcBorders>
              <w:left w:val="nil"/>
              <w:right w:val="nil"/>
            </w:tcBorders>
            <w:shd w:val="clear" w:color="auto" w:fill="595959" w:themeFill="text1" w:themeFillTint="A6"/>
            <w:noWrap/>
            <w:vAlign w:val="center"/>
            <w:hideMark/>
          </w:tcPr>
          <w:p w14:paraId="6DA62B56"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02" w:type="dxa"/>
            <w:tcBorders>
              <w:left w:val="nil"/>
            </w:tcBorders>
            <w:shd w:val="clear" w:color="auto" w:fill="595959" w:themeFill="text1" w:themeFillTint="A6"/>
            <w:noWrap/>
            <w:vAlign w:val="center"/>
            <w:hideMark/>
          </w:tcPr>
          <w:p w14:paraId="1AD98179"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495" w:type="dxa"/>
            <w:tcBorders>
              <w:right w:val="nil"/>
            </w:tcBorders>
            <w:shd w:val="clear" w:color="auto" w:fill="595959" w:themeFill="text1" w:themeFillTint="A6"/>
            <w:noWrap/>
            <w:vAlign w:val="center"/>
            <w:hideMark/>
          </w:tcPr>
          <w:p w14:paraId="2548C2EB"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right w:val="nil"/>
            </w:tcBorders>
            <w:shd w:val="clear" w:color="auto" w:fill="595959" w:themeFill="text1" w:themeFillTint="A6"/>
            <w:noWrap/>
            <w:vAlign w:val="center"/>
            <w:hideMark/>
          </w:tcPr>
          <w:p w14:paraId="736A818B" w14:textId="77777777" w:rsidR="00B24196" w:rsidRPr="00975564" w:rsidRDefault="00B24196" w:rsidP="00D65FE6">
            <w:pPr>
              <w:rPr>
                <w:rFonts w:ascii="Times New Roman" w:hAnsi="Times New Roman" w:cs="Times New Roman"/>
                <w:b/>
                <w:color w:val="FFFFFF" w:themeColor="background1"/>
                <w:sz w:val="20"/>
                <w:szCs w:val="20"/>
              </w:rPr>
            </w:pPr>
          </w:p>
        </w:tc>
        <w:tc>
          <w:tcPr>
            <w:tcW w:w="1276" w:type="dxa"/>
            <w:tcBorders>
              <w:left w:val="nil"/>
            </w:tcBorders>
            <w:shd w:val="clear" w:color="auto" w:fill="595959" w:themeFill="text1" w:themeFillTint="A6"/>
            <w:noWrap/>
            <w:vAlign w:val="center"/>
            <w:hideMark/>
          </w:tcPr>
          <w:p w14:paraId="57F898F9" w14:textId="77777777" w:rsidR="00B24196" w:rsidRPr="00975564" w:rsidRDefault="00B24196" w:rsidP="00D65FE6">
            <w:pPr>
              <w:jc w:val="center"/>
              <w:rPr>
                <w:rFonts w:ascii="Times New Roman" w:hAnsi="Times New Roman" w:cs="Times New Roman"/>
                <w:b/>
                <w:color w:val="FFFFFF" w:themeColor="background1"/>
                <w:sz w:val="20"/>
                <w:szCs w:val="20"/>
              </w:rPr>
            </w:pPr>
          </w:p>
        </w:tc>
      </w:tr>
      <w:tr w:rsidR="00B24196" w:rsidRPr="00975564" w14:paraId="376DF4E6" w14:textId="77777777" w:rsidTr="00D65FE6">
        <w:trPr>
          <w:trHeight w:val="945"/>
        </w:trPr>
        <w:tc>
          <w:tcPr>
            <w:tcW w:w="5920" w:type="dxa"/>
            <w:hideMark/>
          </w:tcPr>
          <w:p w14:paraId="7014995E" w14:textId="77777777" w:rsidR="00B24196" w:rsidRPr="00975564" w:rsidRDefault="00B24196" w:rsidP="00D65FE6">
            <w:pPr>
              <w:rPr>
                <w:rFonts w:ascii="Times New Roman" w:hAnsi="Times New Roman" w:cs="Times New Roman"/>
                <w:color w:val="000000"/>
                <w:sz w:val="20"/>
                <w:szCs w:val="20"/>
              </w:rPr>
            </w:pPr>
            <w:r w:rsidRPr="00975564">
              <w:rPr>
                <w:rFonts w:ascii="Times New Roman" w:hAnsi="Times New Roman" w:cs="Times New Roman"/>
                <w:color w:val="000000"/>
                <w:sz w:val="20"/>
                <w:szCs w:val="20"/>
              </w:rPr>
              <w:t>59. The public health agency has sufficient resources to practice plans and/or protocols relevant to emergency management; for example, the emergency response plan, the business continuity plan. Practice may include table tops, exercises, or simulations.</w:t>
            </w:r>
          </w:p>
        </w:tc>
        <w:tc>
          <w:tcPr>
            <w:tcW w:w="1663" w:type="dxa"/>
            <w:tcBorders>
              <w:right w:val="nil"/>
            </w:tcBorders>
            <w:noWrap/>
            <w:vAlign w:val="center"/>
          </w:tcPr>
          <w:p w14:paraId="614C9313"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168" w:type="dxa"/>
            <w:tcBorders>
              <w:left w:val="nil"/>
              <w:right w:val="nil"/>
            </w:tcBorders>
            <w:noWrap/>
            <w:vAlign w:val="center"/>
          </w:tcPr>
          <w:p w14:paraId="51B31758"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27</w:t>
            </w:r>
          </w:p>
        </w:tc>
        <w:tc>
          <w:tcPr>
            <w:tcW w:w="1202" w:type="dxa"/>
            <w:tcBorders>
              <w:left w:val="nil"/>
            </w:tcBorders>
            <w:noWrap/>
            <w:vAlign w:val="center"/>
          </w:tcPr>
          <w:p w14:paraId="5E9363D5"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81.8</w:t>
            </w:r>
          </w:p>
        </w:tc>
        <w:tc>
          <w:tcPr>
            <w:tcW w:w="1495" w:type="dxa"/>
            <w:tcBorders>
              <w:right w:val="nil"/>
            </w:tcBorders>
            <w:noWrap/>
            <w:vAlign w:val="center"/>
          </w:tcPr>
          <w:p w14:paraId="5769CC8D"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(3)</w:t>
            </w:r>
          </w:p>
        </w:tc>
        <w:tc>
          <w:tcPr>
            <w:tcW w:w="1276" w:type="dxa"/>
            <w:tcBorders>
              <w:left w:val="nil"/>
              <w:right w:val="nil"/>
            </w:tcBorders>
            <w:noWrap/>
            <w:vAlign w:val="center"/>
          </w:tcPr>
          <w:p w14:paraId="10D925D3"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19</w:t>
            </w:r>
          </w:p>
        </w:tc>
        <w:tc>
          <w:tcPr>
            <w:tcW w:w="1276" w:type="dxa"/>
            <w:tcBorders>
              <w:left w:val="nil"/>
            </w:tcBorders>
            <w:noWrap/>
            <w:vAlign w:val="center"/>
          </w:tcPr>
          <w:p w14:paraId="758CD901"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57.6</w:t>
            </w:r>
          </w:p>
        </w:tc>
      </w:tr>
    </w:tbl>
    <w:p w14:paraId="1058E703" w14:textId="77777777" w:rsidR="00B24196" w:rsidRPr="00975564" w:rsidRDefault="00B24196" w:rsidP="00B24196">
      <w:pPr>
        <w:pStyle w:val="Heading1"/>
      </w:pPr>
    </w:p>
    <w:p w14:paraId="122CF9AE" w14:textId="77777777" w:rsidR="00B24196" w:rsidRDefault="00B24196" w:rsidP="00975564">
      <w:pPr>
        <w:rPr>
          <w:rFonts w:ascii="Times New Roman" w:eastAsiaTheme="minorEastAsia" w:hAnsi="Times New Roman" w:cs="Times New Roman"/>
          <w:sz w:val="20"/>
          <w:szCs w:val="20"/>
          <w:lang w:eastAsia="en-CA"/>
        </w:rPr>
      </w:pPr>
    </w:p>
    <w:p w14:paraId="3DA30E32" w14:textId="77777777" w:rsidR="00B24196" w:rsidRDefault="00B24196" w:rsidP="00975564">
      <w:pPr>
        <w:rPr>
          <w:rFonts w:ascii="Times New Roman" w:eastAsiaTheme="minorEastAsia" w:hAnsi="Times New Roman" w:cs="Times New Roman"/>
          <w:sz w:val="20"/>
          <w:szCs w:val="20"/>
          <w:lang w:eastAsia="en-CA"/>
        </w:rPr>
      </w:pPr>
    </w:p>
    <w:p w14:paraId="33645F2B" w14:textId="77777777" w:rsidR="00B24196" w:rsidRDefault="00B24196" w:rsidP="00975564">
      <w:pPr>
        <w:rPr>
          <w:rFonts w:ascii="Times New Roman" w:eastAsiaTheme="minorEastAsia" w:hAnsi="Times New Roman" w:cs="Times New Roman"/>
          <w:sz w:val="20"/>
          <w:szCs w:val="20"/>
          <w:lang w:eastAsia="en-CA"/>
        </w:rPr>
      </w:pPr>
    </w:p>
    <w:p w14:paraId="2CA3C7A5" w14:textId="77777777" w:rsidR="00B24196" w:rsidRDefault="00B24196" w:rsidP="00975564">
      <w:pPr>
        <w:rPr>
          <w:rFonts w:ascii="Times New Roman" w:eastAsiaTheme="minorEastAsia" w:hAnsi="Times New Roman" w:cs="Times New Roman"/>
          <w:sz w:val="20"/>
          <w:szCs w:val="20"/>
          <w:lang w:eastAsia="en-CA"/>
        </w:rPr>
      </w:pPr>
    </w:p>
    <w:p w14:paraId="43DA0D55" w14:textId="77777777" w:rsidR="00EC5089" w:rsidRDefault="00EC5089" w:rsidP="00975564">
      <w:pPr>
        <w:rPr>
          <w:rFonts w:ascii="Times New Roman" w:eastAsiaTheme="minorEastAsia" w:hAnsi="Times New Roman" w:cs="Times New Roman"/>
          <w:sz w:val="20"/>
          <w:szCs w:val="20"/>
          <w:lang w:eastAsia="en-CA"/>
        </w:rPr>
      </w:pPr>
    </w:p>
    <w:p w14:paraId="1F3E3BDD" w14:textId="77777777" w:rsidR="00EC5089" w:rsidRDefault="00EC5089" w:rsidP="00975564">
      <w:pPr>
        <w:rPr>
          <w:rFonts w:ascii="Times New Roman" w:eastAsiaTheme="minorEastAsia" w:hAnsi="Times New Roman" w:cs="Times New Roman"/>
          <w:sz w:val="20"/>
          <w:szCs w:val="20"/>
          <w:lang w:eastAsia="en-CA"/>
        </w:rPr>
      </w:pPr>
    </w:p>
    <w:p w14:paraId="27DB22CA" w14:textId="524CB38B" w:rsidR="00B24196" w:rsidRPr="00C20892" w:rsidRDefault="00B24196" w:rsidP="00B24196">
      <w:pPr>
        <w:pStyle w:val="Heading1"/>
        <w:rPr>
          <w:rFonts w:ascii="Times New Roman" w:hAnsi="Times New Roman" w:cs="Times New Roman"/>
          <w:color w:val="auto"/>
          <w:sz w:val="20"/>
          <w:szCs w:val="20"/>
        </w:rPr>
      </w:pPr>
      <w:bookmarkStart w:id="5" w:name="_Toc535852482"/>
      <w:bookmarkStart w:id="6" w:name="_Toc535852609"/>
      <w:bookmarkStart w:id="7" w:name="_Toc535853108"/>
      <w:bookmarkStart w:id="8" w:name="_Toc503863661"/>
      <w:r>
        <w:rPr>
          <w:rFonts w:ascii="Times New Roman" w:hAnsi="Times New Roman" w:cs="Times New Roman"/>
          <w:color w:val="auto"/>
          <w:sz w:val="20"/>
          <w:szCs w:val="20"/>
        </w:rPr>
        <w:lastRenderedPageBreak/>
        <w:t>S</w:t>
      </w:r>
      <w:r w:rsidR="00B067A4">
        <w:rPr>
          <w:rFonts w:ascii="Times New Roman" w:hAnsi="Times New Roman" w:cs="Times New Roman"/>
          <w:color w:val="auto"/>
          <w:sz w:val="20"/>
          <w:szCs w:val="20"/>
        </w:rPr>
        <w:t>4</w:t>
      </w:r>
      <w:r>
        <w:rPr>
          <w:rFonts w:ascii="Times New Roman" w:hAnsi="Times New Roman" w:cs="Times New Roman"/>
          <w:color w:val="auto"/>
          <w:sz w:val="20"/>
          <w:szCs w:val="20"/>
        </w:rPr>
        <w:t xml:space="preserve"> Table 3</w:t>
      </w:r>
      <w:r w:rsidRPr="00C20892">
        <w:rPr>
          <w:rFonts w:ascii="Times New Roman" w:hAnsi="Times New Roman" w:cs="Times New Roman"/>
          <w:color w:val="auto"/>
          <w:sz w:val="20"/>
          <w:szCs w:val="20"/>
        </w:rPr>
        <w:t>. Indicators suggested by the panel in the round one survey</w:t>
      </w:r>
      <w:bookmarkEnd w:id="5"/>
      <w:bookmarkEnd w:id="6"/>
      <w:bookmarkEnd w:id="7"/>
    </w:p>
    <w:tbl>
      <w:tblPr>
        <w:tblStyle w:val="TableGrid1"/>
        <w:tblW w:w="13291" w:type="dxa"/>
        <w:tblLook w:val="04A0" w:firstRow="1" w:lastRow="0" w:firstColumn="1" w:lastColumn="0" w:noHBand="0" w:noVBand="1"/>
      </w:tblPr>
      <w:tblGrid>
        <w:gridCol w:w="1809"/>
        <w:gridCol w:w="11482"/>
      </w:tblGrid>
      <w:tr w:rsidR="00B24196" w:rsidRPr="00975564" w14:paraId="4BD9C407" w14:textId="77777777" w:rsidTr="00D65FE6">
        <w:tc>
          <w:tcPr>
            <w:tcW w:w="1809" w:type="dxa"/>
            <w:tcBorders>
              <w:right w:val="single" w:sz="4" w:space="0" w:color="auto"/>
            </w:tcBorders>
          </w:tcPr>
          <w:p w14:paraId="1CD26DFC"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PHEP framework element</w:t>
            </w:r>
          </w:p>
        </w:tc>
        <w:tc>
          <w:tcPr>
            <w:tcW w:w="11482" w:type="dxa"/>
            <w:tcBorders>
              <w:left w:val="single" w:sz="4" w:space="0" w:color="auto"/>
            </w:tcBorders>
          </w:tcPr>
          <w:p w14:paraId="4FD224C7"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 xml:space="preserve">Suggested indicator </w:t>
            </w:r>
          </w:p>
        </w:tc>
      </w:tr>
      <w:tr w:rsidR="00B24196" w:rsidRPr="00975564" w14:paraId="47567784" w14:textId="77777777" w:rsidTr="00D65FE6">
        <w:tc>
          <w:tcPr>
            <w:tcW w:w="1809" w:type="dxa"/>
            <w:vMerge w:val="restart"/>
            <w:tcBorders>
              <w:right w:val="single" w:sz="4" w:space="0" w:color="auto"/>
            </w:tcBorders>
          </w:tcPr>
          <w:p w14:paraId="7C42234C"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Governance and leadership</w:t>
            </w:r>
          </w:p>
          <w:p w14:paraId="105103E3" w14:textId="77777777" w:rsidR="00B24196" w:rsidRPr="00975564" w:rsidRDefault="00B24196" w:rsidP="00D65FE6">
            <w:pPr>
              <w:rPr>
                <w:rFonts w:ascii="Times New Roman" w:hAnsi="Times New Roman" w:cs="Times New Roman"/>
                <w:sz w:val="20"/>
                <w:szCs w:val="20"/>
              </w:rPr>
            </w:pPr>
          </w:p>
        </w:tc>
        <w:tc>
          <w:tcPr>
            <w:tcW w:w="11482" w:type="dxa"/>
            <w:tcBorders>
              <w:left w:val="single" w:sz="4" w:space="0" w:color="auto"/>
            </w:tcBorders>
          </w:tcPr>
          <w:p w14:paraId="0F0ED6E3"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The public health agency has defined leadership competencies for individuals that may act as agency leaders in an emergency. These may include: established effective relationships, local knowledge, credible, flexible, trusted, ethical.</w:t>
            </w:r>
          </w:p>
        </w:tc>
      </w:tr>
      <w:tr w:rsidR="00B24196" w:rsidRPr="00975564" w14:paraId="0DE76592" w14:textId="77777777" w:rsidTr="00D65FE6">
        <w:tc>
          <w:tcPr>
            <w:tcW w:w="1809" w:type="dxa"/>
            <w:vMerge/>
            <w:tcBorders>
              <w:right w:val="single" w:sz="4" w:space="0" w:color="auto"/>
            </w:tcBorders>
          </w:tcPr>
          <w:p w14:paraId="5B33CD81" w14:textId="77777777" w:rsidR="00B24196" w:rsidRPr="00975564" w:rsidRDefault="00B24196" w:rsidP="00D65FE6">
            <w:pPr>
              <w:rPr>
                <w:rFonts w:ascii="Times New Roman" w:hAnsi="Times New Roman" w:cs="Times New Roman"/>
                <w:sz w:val="20"/>
                <w:szCs w:val="20"/>
              </w:rPr>
            </w:pPr>
          </w:p>
        </w:tc>
        <w:tc>
          <w:tcPr>
            <w:tcW w:w="11482" w:type="dxa"/>
            <w:tcBorders>
              <w:left w:val="single" w:sz="4" w:space="0" w:color="auto"/>
            </w:tcBorders>
          </w:tcPr>
          <w:p w14:paraId="6D5FC3CC"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The public health agency’s policies describe the roles and responsibilities of network partners in vertical or horizontal multi-jurisdictional response to emergencies; for example, responsibilities for different levels of government.</w:t>
            </w:r>
          </w:p>
        </w:tc>
      </w:tr>
      <w:tr w:rsidR="00B24196" w:rsidRPr="00975564" w14:paraId="3C4789EB" w14:textId="77777777" w:rsidTr="00D65FE6">
        <w:tc>
          <w:tcPr>
            <w:tcW w:w="1809" w:type="dxa"/>
            <w:vMerge/>
            <w:tcBorders>
              <w:right w:val="single" w:sz="4" w:space="0" w:color="auto"/>
            </w:tcBorders>
          </w:tcPr>
          <w:p w14:paraId="01303A48" w14:textId="77777777" w:rsidR="00B24196" w:rsidRPr="00975564" w:rsidRDefault="00B24196" w:rsidP="00D65FE6">
            <w:pPr>
              <w:rPr>
                <w:rFonts w:ascii="Times New Roman" w:hAnsi="Times New Roman" w:cs="Times New Roman"/>
                <w:sz w:val="20"/>
                <w:szCs w:val="20"/>
              </w:rPr>
            </w:pPr>
          </w:p>
        </w:tc>
        <w:tc>
          <w:tcPr>
            <w:tcW w:w="11482" w:type="dxa"/>
            <w:tcBorders>
              <w:left w:val="single" w:sz="4" w:space="0" w:color="auto"/>
            </w:tcBorders>
          </w:tcPr>
          <w:p w14:paraId="32387E06"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The public health agency’s policies define the conditions and procedures for escalating response to an emergency, including processes for declaring an event multi-jurisdictional.</w:t>
            </w:r>
          </w:p>
        </w:tc>
      </w:tr>
      <w:tr w:rsidR="00B24196" w:rsidRPr="00975564" w14:paraId="611D1A85" w14:textId="77777777" w:rsidTr="00D65FE6">
        <w:tc>
          <w:tcPr>
            <w:tcW w:w="1809" w:type="dxa"/>
            <w:vMerge/>
            <w:tcBorders>
              <w:right w:val="single" w:sz="4" w:space="0" w:color="auto"/>
            </w:tcBorders>
          </w:tcPr>
          <w:p w14:paraId="1F82C444" w14:textId="77777777" w:rsidR="00B24196" w:rsidRPr="00975564" w:rsidRDefault="00B24196" w:rsidP="00D65FE6">
            <w:pPr>
              <w:rPr>
                <w:rFonts w:ascii="Times New Roman" w:hAnsi="Times New Roman" w:cs="Times New Roman"/>
                <w:sz w:val="20"/>
                <w:szCs w:val="20"/>
              </w:rPr>
            </w:pPr>
          </w:p>
        </w:tc>
        <w:tc>
          <w:tcPr>
            <w:tcW w:w="11482" w:type="dxa"/>
            <w:tcBorders>
              <w:left w:val="single" w:sz="4" w:space="0" w:color="auto"/>
            </w:tcBorders>
          </w:tcPr>
          <w:p w14:paraId="76B03639"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The public health agency engages with policy-makers to address gaps in policy and/or legislation that pertain to the effectiveness of its emergency management plans and/or protocols.</w:t>
            </w:r>
          </w:p>
        </w:tc>
      </w:tr>
      <w:tr w:rsidR="00B24196" w:rsidRPr="00975564" w14:paraId="1CCA531D" w14:textId="77777777" w:rsidTr="00D65FE6">
        <w:tc>
          <w:tcPr>
            <w:tcW w:w="1809" w:type="dxa"/>
            <w:vMerge/>
            <w:tcBorders>
              <w:right w:val="single" w:sz="4" w:space="0" w:color="auto"/>
            </w:tcBorders>
          </w:tcPr>
          <w:p w14:paraId="348F5D39" w14:textId="77777777" w:rsidR="00B24196" w:rsidRPr="00975564" w:rsidRDefault="00B24196" w:rsidP="00D65FE6">
            <w:pPr>
              <w:rPr>
                <w:rFonts w:ascii="Times New Roman" w:hAnsi="Times New Roman" w:cs="Times New Roman"/>
                <w:sz w:val="20"/>
                <w:szCs w:val="20"/>
              </w:rPr>
            </w:pPr>
          </w:p>
        </w:tc>
        <w:tc>
          <w:tcPr>
            <w:tcW w:w="11482" w:type="dxa"/>
            <w:tcBorders>
              <w:left w:val="single" w:sz="4" w:space="0" w:color="auto"/>
            </w:tcBorders>
          </w:tcPr>
          <w:p w14:paraId="7AF825AD"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Provincial/territorial policies and/or structure define roles and responsibilities for local/regional public health agencies in public health emergency management.</w:t>
            </w:r>
          </w:p>
        </w:tc>
      </w:tr>
      <w:tr w:rsidR="00B24196" w:rsidRPr="00975564" w14:paraId="4913CEA4" w14:textId="77777777" w:rsidTr="00D65FE6">
        <w:tc>
          <w:tcPr>
            <w:tcW w:w="1809" w:type="dxa"/>
            <w:tcBorders>
              <w:right w:val="single" w:sz="4" w:space="0" w:color="auto"/>
            </w:tcBorders>
          </w:tcPr>
          <w:p w14:paraId="18E33D5B"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Planning process</w:t>
            </w:r>
          </w:p>
          <w:p w14:paraId="60B579EA" w14:textId="77777777" w:rsidR="00B24196" w:rsidRPr="00975564" w:rsidRDefault="00B24196" w:rsidP="00D65FE6">
            <w:pPr>
              <w:rPr>
                <w:rFonts w:ascii="Times New Roman" w:hAnsi="Times New Roman" w:cs="Times New Roman"/>
                <w:sz w:val="20"/>
                <w:szCs w:val="20"/>
              </w:rPr>
            </w:pPr>
          </w:p>
        </w:tc>
        <w:tc>
          <w:tcPr>
            <w:tcW w:w="11482" w:type="dxa"/>
            <w:tcBorders>
              <w:left w:val="single" w:sz="4" w:space="0" w:color="auto"/>
            </w:tcBorders>
          </w:tcPr>
          <w:p w14:paraId="2D12E624"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The public health agency reviews its emergency plans and/or protocols with involved departments and/or programs internal to the agency.</w:t>
            </w:r>
          </w:p>
        </w:tc>
      </w:tr>
      <w:tr w:rsidR="00B24196" w:rsidRPr="00975564" w14:paraId="713408DA" w14:textId="77777777" w:rsidTr="00D65FE6">
        <w:trPr>
          <w:trHeight w:val="247"/>
        </w:trPr>
        <w:tc>
          <w:tcPr>
            <w:tcW w:w="1809" w:type="dxa"/>
            <w:tcBorders>
              <w:right w:val="single" w:sz="4" w:space="0" w:color="auto"/>
            </w:tcBorders>
          </w:tcPr>
          <w:p w14:paraId="17EB4212"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Resources</w:t>
            </w:r>
          </w:p>
        </w:tc>
        <w:tc>
          <w:tcPr>
            <w:tcW w:w="11482" w:type="dxa"/>
            <w:tcBorders>
              <w:left w:val="single" w:sz="4" w:space="0" w:color="auto"/>
            </w:tcBorders>
          </w:tcPr>
          <w:p w14:paraId="375273DF"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The public health agency is able to secure financial resources to support response to and recovery from an emergency.</w:t>
            </w:r>
          </w:p>
        </w:tc>
      </w:tr>
      <w:tr w:rsidR="00B24196" w:rsidRPr="00975564" w14:paraId="704FB2DD" w14:textId="77777777" w:rsidTr="00D65FE6">
        <w:tc>
          <w:tcPr>
            <w:tcW w:w="1809" w:type="dxa"/>
            <w:vMerge w:val="restart"/>
            <w:tcBorders>
              <w:right w:val="single" w:sz="4" w:space="0" w:color="auto"/>
            </w:tcBorders>
          </w:tcPr>
          <w:p w14:paraId="7444810A"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 xml:space="preserve">Collaborative </w:t>
            </w:r>
          </w:p>
          <w:p w14:paraId="03174191"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networks</w:t>
            </w:r>
          </w:p>
          <w:p w14:paraId="2E3AFE91" w14:textId="77777777" w:rsidR="00B24196" w:rsidRPr="00975564" w:rsidRDefault="00B24196" w:rsidP="00D65FE6">
            <w:pPr>
              <w:rPr>
                <w:rFonts w:ascii="Times New Roman" w:hAnsi="Times New Roman" w:cs="Times New Roman"/>
                <w:sz w:val="20"/>
                <w:szCs w:val="20"/>
              </w:rPr>
            </w:pPr>
          </w:p>
        </w:tc>
        <w:tc>
          <w:tcPr>
            <w:tcW w:w="11482" w:type="dxa"/>
            <w:tcBorders>
              <w:left w:val="single" w:sz="4" w:space="0" w:color="auto"/>
            </w:tcBorders>
          </w:tcPr>
          <w:p w14:paraId="2844BE92"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The public health agency and its network partners have demonstrated shared understanding of roles, responsibilities and procedures relevant to the emergency context. This understanding may be demonstrated, for instance, during real or simulated emergencies.</w:t>
            </w:r>
          </w:p>
        </w:tc>
      </w:tr>
      <w:tr w:rsidR="00B24196" w:rsidRPr="00975564" w14:paraId="732311F2" w14:textId="77777777" w:rsidTr="00D65FE6">
        <w:tc>
          <w:tcPr>
            <w:tcW w:w="1809" w:type="dxa"/>
            <w:vMerge/>
            <w:tcBorders>
              <w:right w:val="single" w:sz="4" w:space="0" w:color="auto"/>
            </w:tcBorders>
          </w:tcPr>
          <w:p w14:paraId="3C8DC198" w14:textId="77777777" w:rsidR="00B24196" w:rsidRPr="00975564" w:rsidRDefault="00B24196" w:rsidP="00D65FE6">
            <w:pPr>
              <w:rPr>
                <w:rFonts w:ascii="Times New Roman" w:hAnsi="Times New Roman" w:cs="Times New Roman"/>
                <w:sz w:val="20"/>
                <w:szCs w:val="20"/>
              </w:rPr>
            </w:pPr>
          </w:p>
        </w:tc>
        <w:tc>
          <w:tcPr>
            <w:tcW w:w="11482" w:type="dxa"/>
            <w:tcBorders>
              <w:left w:val="single" w:sz="4" w:space="0" w:color="auto"/>
            </w:tcBorders>
          </w:tcPr>
          <w:p w14:paraId="2548C10F"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The public health agency has mutual aid agreements in place with network partners outside the health sector that describe how resources and/or services will be shared during an emergency, including meeting demands for surge capacity; for example, non-governmental organizations such as the Red Cross.</w:t>
            </w:r>
          </w:p>
        </w:tc>
      </w:tr>
      <w:tr w:rsidR="00B24196" w:rsidRPr="00975564" w14:paraId="08B9CB0B" w14:textId="77777777" w:rsidTr="00D65FE6">
        <w:tc>
          <w:tcPr>
            <w:tcW w:w="1809" w:type="dxa"/>
            <w:tcBorders>
              <w:right w:val="single" w:sz="4" w:space="0" w:color="auto"/>
            </w:tcBorders>
          </w:tcPr>
          <w:p w14:paraId="23746548"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Community engagement</w:t>
            </w:r>
          </w:p>
          <w:p w14:paraId="435E3214" w14:textId="77777777" w:rsidR="00B24196" w:rsidRPr="00975564" w:rsidRDefault="00B24196" w:rsidP="00D65FE6">
            <w:pPr>
              <w:rPr>
                <w:rFonts w:ascii="Times New Roman" w:hAnsi="Times New Roman" w:cs="Times New Roman"/>
                <w:sz w:val="20"/>
                <w:szCs w:val="20"/>
              </w:rPr>
            </w:pPr>
          </w:p>
        </w:tc>
        <w:tc>
          <w:tcPr>
            <w:tcW w:w="11482" w:type="dxa"/>
            <w:tcBorders>
              <w:left w:val="single" w:sz="4" w:space="0" w:color="auto"/>
            </w:tcBorders>
          </w:tcPr>
          <w:p w14:paraId="0FB40894"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 xml:space="preserve">The public health agency and/or its network partners engage with Indigenous communities regarding emergencies and related risks. Engagement may include community-specific </w:t>
            </w:r>
            <w:r w:rsidRPr="00975564">
              <w:rPr>
                <w:rFonts w:ascii="Times New Roman" w:hAnsi="Times New Roman" w:cs="Times New Roman"/>
                <w:color w:val="000000"/>
                <w:sz w:val="20"/>
                <w:szCs w:val="20"/>
              </w:rPr>
              <w:t xml:space="preserve">risk assessments, plans and/or protocols, and inclusion of traditional knowledge where possible and appropriate.     </w:t>
            </w:r>
          </w:p>
        </w:tc>
      </w:tr>
      <w:tr w:rsidR="00B24196" w:rsidRPr="00975564" w14:paraId="35CDBD2C" w14:textId="77777777" w:rsidTr="00D65FE6">
        <w:tc>
          <w:tcPr>
            <w:tcW w:w="1809" w:type="dxa"/>
            <w:vMerge w:val="restart"/>
            <w:tcBorders>
              <w:right w:val="single" w:sz="4" w:space="0" w:color="auto"/>
            </w:tcBorders>
          </w:tcPr>
          <w:p w14:paraId="5AAF1E17"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Communication</w:t>
            </w:r>
          </w:p>
          <w:p w14:paraId="0B2241EF" w14:textId="77777777" w:rsidR="00B24196" w:rsidRPr="00975564" w:rsidRDefault="00B24196" w:rsidP="00D65FE6">
            <w:pPr>
              <w:rPr>
                <w:rFonts w:ascii="Times New Roman" w:hAnsi="Times New Roman" w:cs="Times New Roman"/>
                <w:sz w:val="20"/>
                <w:szCs w:val="20"/>
              </w:rPr>
            </w:pPr>
          </w:p>
        </w:tc>
        <w:tc>
          <w:tcPr>
            <w:tcW w:w="11482" w:type="dxa"/>
            <w:tcBorders>
              <w:left w:val="single" w:sz="4" w:space="0" w:color="auto"/>
            </w:tcBorders>
          </w:tcPr>
          <w:p w14:paraId="3C481EAE"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The public health agency has a mechanism to formally or informally coordinate joint messaging with relevant network partners in a timely manner.</w:t>
            </w:r>
          </w:p>
        </w:tc>
      </w:tr>
      <w:tr w:rsidR="00B24196" w:rsidRPr="00975564" w14:paraId="7CC007A5" w14:textId="77777777" w:rsidTr="00D65FE6">
        <w:tc>
          <w:tcPr>
            <w:tcW w:w="1809" w:type="dxa"/>
            <w:vMerge/>
            <w:tcBorders>
              <w:right w:val="single" w:sz="4" w:space="0" w:color="auto"/>
            </w:tcBorders>
          </w:tcPr>
          <w:p w14:paraId="30DF1129" w14:textId="77777777" w:rsidR="00B24196" w:rsidRPr="00975564" w:rsidRDefault="00B24196" w:rsidP="00D65FE6">
            <w:pPr>
              <w:rPr>
                <w:rFonts w:ascii="Times New Roman" w:hAnsi="Times New Roman" w:cs="Times New Roman"/>
                <w:sz w:val="20"/>
                <w:szCs w:val="20"/>
              </w:rPr>
            </w:pPr>
          </w:p>
        </w:tc>
        <w:tc>
          <w:tcPr>
            <w:tcW w:w="11482" w:type="dxa"/>
            <w:tcBorders>
              <w:left w:val="single" w:sz="4" w:space="0" w:color="auto"/>
            </w:tcBorders>
          </w:tcPr>
          <w:p w14:paraId="78A21301"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The public health agency communication strategy includes procedures for directly reaching citizens during an emergency, if required. For example, door-to-door, giving out pamphlets, engaging in informal street/neighbourhood gatherings.</w:t>
            </w:r>
          </w:p>
        </w:tc>
      </w:tr>
      <w:tr w:rsidR="00B24196" w:rsidRPr="00975564" w14:paraId="467FE75C" w14:textId="77777777" w:rsidTr="00D65FE6">
        <w:tc>
          <w:tcPr>
            <w:tcW w:w="1809" w:type="dxa"/>
            <w:vMerge/>
            <w:tcBorders>
              <w:right w:val="single" w:sz="4" w:space="0" w:color="auto"/>
            </w:tcBorders>
          </w:tcPr>
          <w:p w14:paraId="6DF22F90" w14:textId="77777777" w:rsidR="00B24196" w:rsidRPr="00975564" w:rsidRDefault="00B24196" w:rsidP="00D65FE6">
            <w:pPr>
              <w:rPr>
                <w:rFonts w:ascii="Times New Roman" w:hAnsi="Times New Roman" w:cs="Times New Roman"/>
                <w:sz w:val="20"/>
                <w:szCs w:val="20"/>
              </w:rPr>
            </w:pPr>
          </w:p>
        </w:tc>
        <w:tc>
          <w:tcPr>
            <w:tcW w:w="11482" w:type="dxa"/>
            <w:tcBorders>
              <w:left w:val="single" w:sz="4" w:space="0" w:color="auto"/>
            </w:tcBorders>
          </w:tcPr>
          <w:p w14:paraId="7F17936E"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The public health agency communication strategy includes plans and/or procedures for ensuring cultural competency and/or sensitivity to impacted communities for relevant risks and the emergency context. This includes procedures for translation of messages to relevant languages.</w:t>
            </w:r>
          </w:p>
        </w:tc>
      </w:tr>
      <w:tr w:rsidR="00B24196" w:rsidRPr="00975564" w14:paraId="7ABB70AA" w14:textId="77777777" w:rsidTr="00D65FE6">
        <w:tc>
          <w:tcPr>
            <w:tcW w:w="1809" w:type="dxa"/>
            <w:vMerge/>
            <w:tcBorders>
              <w:right w:val="single" w:sz="4" w:space="0" w:color="auto"/>
            </w:tcBorders>
          </w:tcPr>
          <w:p w14:paraId="33DB8CC3" w14:textId="77777777" w:rsidR="00B24196" w:rsidRPr="00975564" w:rsidRDefault="00B24196" w:rsidP="00D65FE6">
            <w:pPr>
              <w:rPr>
                <w:rFonts w:ascii="Times New Roman" w:hAnsi="Times New Roman" w:cs="Times New Roman"/>
                <w:sz w:val="20"/>
                <w:szCs w:val="20"/>
              </w:rPr>
            </w:pPr>
          </w:p>
        </w:tc>
        <w:tc>
          <w:tcPr>
            <w:tcW w:w="11482" w:type="dxa"/>
            <w:tcBorders>
              <w:left w:val="single" w:sz="4" w:space="0" w:color="auto"/>
            </w:tcBorders>
          </w:tcPr>
          <w:p w14:paraId="08B3F49A"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The public health agency has identified trained spokesperson(s) for the agency relevant to community risks and the emergency context.</w:t>
            </w:r>
          </w:p>
        </w:tc>
      </w:tr>
    </w:tbl>
    <w:p w14:paraId="03DE16DB" w14:textId="77777777" w:rsidR="00B24196" w:rsidRPr="00975564" w:rsidRDefault="00B24196" w:rsidP="00B24196">
      <w:pPr>
        <w:keepNext/>
        <w:keepLines/>
        <w:tabs>
          <w:tab w:val="left" w:pos="1134"/>
        </w:tabs>
        <w:spacing w:before="240" w:after="0" w:line="281" w:lineRule="auto"/>
        <w:outlineLvl w:val="0"/>
        <w:rPr>
          <w:rFonts w:ascii="Times New Roman" w:eastAsiaTheme="minorEastAsia" w:hAnsi="Times New Roman" w:cs="Times New Roman"/>
          <w:b/>
          <w:sz w:val="20"/>
          <w:szCs w:val="20"/>
          <w:lang w:eastAsia="en-CA"/>
        </w:rPr>
      </w:pPr>
    </w:p>
    <w:bookmarkEnd w:id="8"/>
    <w:p w14:paraId="222EC24F" w14:textId="77777777" w:rsidR="00B24196" w:rsidRDefault="00B24196" w:rsidP="00975564">
      <w:pPr>
        <w:rPr>
          <w:rFonts w:ascii="Times New Roman" w:eastAsiaTheme="minorEastAsia" w:hAnsi="Times New Roman" w:cs="Times New Roman"/>
          <w:sz w:val="20"/>
          <w:szCs w:val="20"/>
          <w:lang w:eastAsia="en-CA"/>
        </w:rPr>
      </w:pPr>
    </w:p>
    <w:p w14:paraId="17032DE6" w14:textId="77777777" w:rsidR="00B24196" w:rsidRDefault="00B24196" w:rsidP="00975564">
      <w:pPr>
        <w:rPr>
          <w:rFonts w:ascii="Times New Roman" w:eastAsiaTheme="minorEastAsia" w:hAnsi="Times New Roman" w:cs="Times New Roman"/>
          <w:sz w:val="20"/>
          <w:szCs w:val="20"/>
          <w:lang w:eastAsia="en-CA"/>
        </w:rPr>
      </w:pPr>
    </w:p>
    <w:p w14:paraId="70048633" w14:textId="77777777" w:rsidR="00B24196" w:rsidRDefault="00B24196" w:rsidP="00975564">
      <w:pPr>
        <w:rPr>
          <w:rFonts w:ascii="Times New Roman" w:eastAsiaTheme="minorEastAsia" w:hAnsi="Times New Roman" w:cs="Times New Roman"/>
          <w:sz w:val="20"/>
          <w:szCs w:val="20"/>
          <w:lang w:eastAsia="en-CA"/>
        </w:rPr>
      </w:pPr>
    </w:p>
    <w:p w14:paraId="46CC1E0F" w14:textId="423E8DC4" w:rsidR="00B24196" w:rsidRPr="00C20892" w:rsidRDefault="00B24196" w:rsidP="00B24196">
      <w:pPr>
        <w:pStyle w:val="Heading1"/>
        <w:rPr>
          <w:rFonts w:ascii="Times New Roman" w:hAnsi="Times New Roman" w:cs="Times New Roman"/>
          <w:color w:val="auto"/>
          <w:sz w:val="20"/>
          <w:szCs w:val="20"/>
        </w:rPr>
      </w:pPr>
      <w:bookmarkStart w:id="9" w:name="_Toc535852483"/>
      <w:bookmarkStart w:id="10" w:name="_Toc535852610"/>
      <w:bookmarkStart w:id="11" w:name="_Toc535853109"/>
      <w:r>
        <w:rPr>
          <w:rFonts w:ascii="Times New Roman" w:hAnsi="Times New Roman" w:cs="Times New Roman"/>
          <w:color w:val="auto"/>
          <w:sz w:val="20"/>
          <w:szCs w:val="20"/>
        </w:rPr>
        <w:lastRenderedPageBreak/>
        <w:t>S</w:t>
      </w:r>
      <w:r w:rsidR="00B067A4">
        <w:rPr>
          <w:rFonts w:ascii="Times New Roman" w:hAnsi="Times New Roman" w:cs="Times New Roman"/>
          <w:color w:val="auto"/>
          <w:sz w:val="20"/>
          <w:szCs w:val="20"/>
        </w:rPr>
        <w:t>4</w:t>
      </w:r>
      <w:r>
        <w:rPr>
          <w:rFonts w:ascii="Times New Roman" w:hAnsi="Times New Roman" w:cs="Times New Roman"/>
          <w:color w:val="auto"/>
          <w:sz w:val="20"/>
          <w:szCs w:val="20"/>
        </w:rPr>
        <w:t xml:space="preserve"> Table 4</w:t>
      </w:r>
      <w:r w:rsidRPr="00C20892">
        <w:rPr>
          <w:rFonts w:ascii="Times New Roman" w:hAnsi="Times New Roman" w:cs="Times New Roman"/>
          <w:color w:val="auto"/>
          <w:sz w:val="20"/>
          <w:szCs w:val="20"/>
        </w:rPr>
        <w:t>. Round two survey indicators that achieved ≥ 70% consensus level on both criteria</w:t>
      </w:r>
      <w:bookmarkEnd w:id="9"/>
      <w:bookmarkEnd w:id="10"/>
      <w:bookmarkEnd w:id="11"/>
    </w:p>
    <w:tbl>
      <w:tblPr>
        <w:tblStyle w:val="TableGrid1"/>
        <w:tblW w:w="14109" w:type="dxa"/>
        <w:tblLayout w:type="fixed"/>
        <w:tblLook w:val="04A0" w:firstRow="1" w:lastRow="0" w:firstColumn="1" w:lastColumn="0" w:noHBand="0" w:noVBand="1"/>
      </w:tblPr>
      <w:tblGrid>
        <w:gridCol w:w="6062"/>
        <w:gridCol w:w="1521"/>
        <w:gridCol w:w="1168"/>
        <w:gridCol w:w="1311"/>
        <w:gridCol w:w="1495"/>
        <w:gridCol w:w="1276"/>
        <w:gridCol w:w="1276"/>
      </w:tblGrid>
      <w:tr w:rsidR="00B24196" w:rsidRPr="00975564" w14:paraId="3AF95914" w14:textId="77777777" w:rsidTr="00D65FE6">
        <w:trPr>
          <w:trHeight w:val="355"/>
          <w:tblHeader/>
        </w:trPr>
        <w:tc>
          <w:tcPr>
            <w:tcW w:w="6062" w:type="dxa"/>
            <w:tcBorders>
              <w:top w:val="nil"/>
              <w:left w:val="nil"/>
            </w:tcBorders>
          </w:tcPr>
          <w:p w14:paraId="1FAA0596" w14:textId="77777777" w:rsidR="00B24196" w:rsidRPr="00975564" w:rsidRDefault="00B24196" w:rsidP="00D65FE6">
            <w:pPr>
              <w:rPr>
                <w:rFonts w:ascii="Times New Roman" w:hAnsi="Times New Roman" w:cs="Times New Roman"/>
                <w:sz w:val="20"/>
                <w:szCs w:val="20"/>
              </w:rPr>
            </w:pPr>
          </w:p>
        </w:tc>
        <w:tc>
          <w:tcPr>
            <w:tcW w:w="4000" w:type="dxa"/>
            <w:gridSpan w:val="3"/>
            <w:vAlign w:val="center"/>
          </w:tcPr>
          <w:p w14:paraId="58A500B1"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b/>
                <w:sz w:val="20"/>
                <w:szCs w:val="20"/>
              </w:rPr>
              <w:t>Important</w:t>
            </w:r>
          </w:p>
        </w:tc>
        <w:tc>
          <w:tcPr>
            <w:tcW w:w="4047" w:type="dxa"/>
            <w:gridSpan w:val="3"/>
            <w:vAlign w:val="center"/>
          </w:tcPr>
          <w:p w14:paraId="4D185ECA"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Actionable</w:t>
            </w:r>
          </w:p>
        </w:tc>
      </w:tr>
      <w:tr w:rsidR="00B24196" w:rsidRPr="00975564" w14:paraId="0B357747" w14:textId="77777777" w:rsidTr="00D65FE6">
        <w:trPr>
          <w:tblHeader/>
        </w:trPr>
        <w:tc>
          <w:tcPr>
            <w:tcW w:w="6062" w:type="dxa"/>
            <w:tcBorders>
              <w:bottom w:val="single" w:sz="4" w:space="0" w:color="auto"/>
            </w:tcBorders>
            <w:vAlign w:val="center"/>
          </w:tcPr>
          <w:p w14:paraId="0ADB2B1C"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Indicators (n=23)</w:t>
            </w:r>
            <w:r w:rsidRPr="00975564">
              <w:rPr>
                <w:rFonts w:ascii="Times New Roman" w:hAnsi="Times New Roman" w:cs="Times New Roman"/>
                <w:b/>
                <w:sz w:val="20"/>
                <w:szCs w:val="20"/>
                <w:vertAlign w:val="superscript"/>
              </w:rPr>
              <w:t>a</w:t>
            </w:r>
          </w:p>
        </w:tc>
        <w:tc>
          <w:tcPr>
            <w:tcW w:w="1521" w:type="dxa"/>
            <w:tcBorders>
              <w:right w:val="nil"/>
            </w:tcBorders>
            <w:vAlign w:val="center"/>
          </w:tcPr>
          <w:p w14:paraId="151198A8"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Median (IQR)</w:t>
            </w:r>
          </w:p>
        </w:tc>
        <w:tc>
          <w:tcPr>
            <w:tcW w:w="1168" w:type="dxa"/>
            <w:tcBorders>
              <w:left w:val="nil"/>
              <w:right w:val="nil"/>
            </w:tcBorders>
            <w:vAlign w:val="center"/>
          </w:tcPr>
          <w:p w14:paraId="5F1A2372"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No. (n=33)</w:t>
            </w:r>
          </w:p>
        </w:tc>
        <w:tc>
          <w:tcPr>
            <w:tcW w:w="1311" w:type="dxa"/>
            <w:tcBorders>
              <w:left w:val="nil"/>
            </w:tcBorders>
            <w:vAlign w:val="center"/>
          </w:tcPr>
          <w:p w14:paraId="08CEB205"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Consensus</w:t>
            </w:r>
          </w:p>
          <w:p w14:paraId="7C9028FA"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Level (%)</w:t>
            </w:r>
          </w:p>
        </w:tc>
        <w:tc>
          <w:tcPr>
            <w:tcW w:w="1495" w:type="dxa"/>
            <w:tcBorders>
              <w:right w:val="nil"/>
            </w:tcBorders>
            <w:vAlign w:val="center"/>
          </w:tcPr>
          <w:p w14:paraId="418103BE"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Median (IQR)</w:t>
            </w:r>
          </w:p>
        </w:tc>
        <w:tc>
          <w:tcPr>
            <w:tcW w:w="1276" w:type="dxa"/>
            <w:tcBorders>
              <w:left w:val="nil"/>
              <w:right w:val="nil"/>
            </w:tcBorders>
            <w:vAlign w:val="center"/>
          </w:tcPr>
          <w:p w14:paraId="0D7972DB"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No.    (n=33)</w:t>
            </w:r>
          </w:p>
        </w:tc>
        <w:tc>
          <w:tcPr>
            <w:tcW w:w="1276" w:type="dxa"/>
            <w:tcBorders>
              <w:left w:val="nil"/>
            </w:tcBorders>
            <w:vAlign w:val="center"/>
          </w:tcPr>
          <w:p w14:paraId="07380571"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Consensus Level (%)</w:t>
            </w:r>
          </w:p>
        </w:tc>
      </w:tr>
      <w:tr w:rsidR="00B24196" w:rsidRPr="00975564" w14:paraId="3CD677FD" w14:textId="77777777" w:rsidTr="00D65FE6">
        <w:trPr>
          <w:trHeight w:val="227"/>
        </w:trPr>
        <w:tc>
          <w:tcPr>
            <w:tcW w:w="6062" w:type="dxa"/>
            <w:tcBorders>
              <w:bottom w:val="single" w:sz="4" w:space="0" w:color="auto"/>
            </w:tcBorders>
            <w:shd w:val="clear" w:color="auto" w:fill="595959" w:themeFill="text1" w:themeFillTint="A6"/>
            <w:vAlign w:val="center"/>
          </w:tcPr>
          <w:p w14:paraId="1D2D8D40"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Governance and Leadership</w:t>
            </w:r>
          </w:p>
        </w:tc>
        <w:tc>
          <w:tcPr>
            <w:tcW w:w="1521" w:type="dxa"/>
            <w:tcBorders>
              <w:bottom w:val="single" w:sz="4" w:space="0" w:color="auto"/>
              <w:right w:val="nil"/>
            </w:tcBorders>
            <w:shd w:val="clear" w:color="auto" w:fill="595959" w:themeFill="text1" w:themeFillTint="A6"/>
          </w:tcPr>
          <w:p w14:paraId="77909B66"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168" w:type="dxa"/>
            <w:tcBorders>
              <w:left w:val="nil"/>
              <w:bottom w:val="single" w:sz="4" w:space="0" w:color="auto"/>
              <w:right w:val="nil"/>
            </w:tcBorders>
            <w:shd w:val="clear" w:color="auto" w:fill="595959" w:themeFill="text1" w:themeFillTint="A6"/>
          </w:tcPr>
          <w:p w14:paraId="01A69F61"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311" w:type="dxa"/>
            <w:tcBorders>
              <w:left w:val="nil"/>
              <w:bottom w:val="single" w:sz="4" w:space="0" w:color="auto"/>
            </w:tcBorders>
            <w:shd w:val="clear" w:color="auto" w:fill="595959" w:themeFill="text1" w:themeFillTint="A6"/>
          </w:tcPr>
          <w:p w14:paraId="703D0182"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495" w:type="dxa"/>
            <w:tcBorders>
              <w:bottom w:val="single" w:sz="4" w:space="0" w:color="auto"/>
              <w:right w:val="nil"/>
            </w:tcBorders>
            <w:shd w:val="clear" w:color="auto" w:fill="595959" w:themeFill="text1" w:themeFillTint="A6"/>
          </w:tcPr>
          <w:p w14:paraId="6F6FDE0C"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bottom w:val="single" w:sz="4" w:space="0" w:color="auto"/>
              <w:right w:val="nil"/>
            </w:tcBorders>
            <w:shd w:val="clear" w:color="auto" w:fill="595959" w:themeFill="text1" w:themeFillTint="A6"/>
          </w:tcPr>
          <w:p w14:paraId="31A66779"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bottom w:val="single" w:sz="4" w:space="0" w:color="auto"/>
            </w:tcBorders>
            <w:shd w:val="clear" w:color="auto" w:fill="595959" w:themeFill="text1" w:themeFillTint="A6"/>
          </w:tcPr>
          <w:p w14:paraId="57DC6333" w14:textId="77777777" w:rsidR="00B24196" w:rsidRPr="00975564" w:rsidRDefault="00B24196" w:rsidP="00D65FE6">
            <w:pPr>
              <w:jc w:val="center"/>
              <w:rPr>
                <w:rFonts w:ascii="Times New Roman" w:hAnsi="Times New Roman" w:cs="Times New Roman"/>
                <w:b/>
                <w:color w:val="FFFFFF" w:themeColor="background1"/>
                <w:sz w:val="20"/>
                <w:szCs w:val="20"/>
              </w:rPr>
            </w:pPr>
          </w:p>
        </w:tc>
      </w:tr>
      <w:tr w:rsidR="00B24196" w:rsidRPr="00975564" w14:paraId="28534F78" w14:textId="77777777" w:rsidTr="00D65FE6">
        <w:trPr>
          <w:trHeight w:val="630"/>
        </w:trPr>
        <w:tc>
          <w:tcPr>
            <w:tcW w:w="6062" w:type="dxa"/>
          </w:tcPr>
          <w:p w14:paraId="0AC6044C" w14:textId="77777777" w:rsidR="00B24196" w:rsidRPr="00975564" w:rsidRDefault="00B24196" w:rsidP="00D65FE6">
            <w:pPr>
              <w:rPr>
                <w:rFonts w:ascii="Times New Roman" w:hAnsi="Times New Roman" w:cs="Times New Roman"/>
                <w:color w:val="000000"/>
                <w:sz w:val="20"/>
                <w:szCs w:val="20"/>
              </w:rPr>
            </w:pPr>
            <w:r w:rsidRPr="00975564">
              <w:rPr>
                <w:rFonts w:ascii="Times New Roman" w:hAnsi="Times New Roman" w:cs="Times New Roman"/>
                <w:color w:val="000000"/>
                <w:sz w:val="20"/>
                <w:szCs w:val="20"/>
              </w:rPr>
              <w:t>7R. The public health agency’s policies align with requirements for reporting to the provincial/territorial and/or federal public health authority on community health risks in the context of an emergency; for example, radio-nuclear, chemical or biosecurity events.</w:t>
            </w:r>
          </w:p>
        </w:tc>
        <w:tc>
          <w:tcPr>
            <w:tcW w:w="1521" w:type="dxa"/>
            <w:tcBorders>
              <w:right w:val="nil"/>
            </w:tcBorders>
            <w:noWrap/>
            <w:vAlign w:val="center"/>
          </w:tcPr>
          <w:p w14:paraId="699F93D9"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168" w:type="dxa"/>
            <w:tcBorders>
              <w:left w:val="nil"/>
              <w:right w:val="nil"/>
            </w:tcBorders>
            <w:noWrap/>
            <w:vAlign w:val="center"/>
          </w:tcPr>
          <w:p w14:paraId="29F7ED89"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31</w:t>
            </w:r>
          </w:p>
        </w:tc>
        <w:tc>
          <w:tcPr>
            <w:tcW w:w="1311" w:type="dxa"/>
            <w:tcBorders>
              <w:left w:val="nil"/>
            </w:tcBorders>
            <w:noWrap/>
            <w:vAlign w:val="center"/>
          </w:tcPr>
          <w:p w14:paraId="2760645B"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93.9</w:t>
            </w:r>
          </w:p>
        </w:tc>
        <w:tc>
          <w:tcPr>
            <w:tcW w:w="1495" w:type="dxa"/>
            <w:tcBorders>
              <w:right w:val="nil"/>
            </w:tcBorders>
            <w:noWrap/>
            <w:vAlign w:val="center"/>
          </w:tcPr>
          <w:p w14:paraId="37F6CAC1"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(1)</w:t>
            </w:r>
          </w:p>
        </w:tc>
        <w:tc>
          <w:tcPr>
            <w:tcW w:w="1276" w:type="dxa"/>
            <w:tcBorders>
              <w:left w:val="nil"/>
              <w:right w:val="nil"/>
            </w:tcBorders>
            <w:noWrap/>
            <w:vAlign w:val="center"/>
          </w:tcPr>
          <w:p w14:paraId="11CD23D6"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28</w:t>
            </w:r>
          </w:p>
        </w:tc>
        <w:tc>
          <w:tcPr>
            <w:tcW w:w="1276" w:type="dxa"/>
            <w:tcBorders>
              <w:left w:val="nil"/>
            </w:tcBorders>
            <w:noWrap/>
            <w:vAlign w:val="center"/>
          </w:tcPr>
          <w:p w14:paraId="05E4746E"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84.8</w:t>
            </w:r>
          </w:p>
        </w:tc>
      </w:tr>
      <w:tr w:rsidR="00B24196" w:rsidRPr="00975564" w14:paraId="1F8D2AA7" w14:textId="77777777" w:rsidTr="00D65FE6">
        <w:trPr>
          <w:trHeight w:val="630"/>
        </w:trPr>
        <w:tc>
          <w:tcPr>
            <w:tcW w:w="6062" w:type="dxa"/>
          </w:tcPr>
          <w:p w14:paraId="1F1C6837" w14:textId="77777777" w:rsidR="00B24196" w:rsidRPr="00975564" w:rsidRDefault="00B24196" w:rsidP="00D65FE6">
            <w:pPr>
              <w:rPr>
                <w:rFonts w:ascii="Times New Roman" w:hAnsi="Times New Roman" w:cs="Times New Roman"/>
                <w:color w:val="000000"/>
                <w:sz w:val="20"/>
                <w:szCs w:val="20"/>
              </w:rPr>
            </w:pPr>
            <w:r w:rsidRPr="00975564">
              <w:rPr>
                <w:rFonts w:ascii="Times New Roman" w:hAnsi="Times New Roman" w:cs="Times New Roman"/>
                <w:color w:val="000000"/>
                <w:sz w:val="20"/>
                <w:szCs w:val="20"/>
              </w:rPr>
              <w:t>1N. The public health agency has defined leadership competencies for individuals that may act as agency leaders in an emergency. These may include: established effective relationships, local knowledge, credible, flexible, trusted, ethical.</w:t>
            </w:r>
          </w:p>
        </w:tc>
        <w:tc>
          <w:tcPr>
            <w:tcW w:w="1521" w:type="dxa"/>
            <w:tcBorders>
              <w:right w:val="nil"/>
            </w:tcBorders>
            <w:noWrap/>
            <w:vAlign w:val="center"/>
          </w:tcPr>
          <w:p w14:paraId="1FD6D39C"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0F80C20B"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28</w:t>
            </w:r>
          </w:p>
        </w:tc>
        <w:tc>
          <w:tcPr>
            <w:tcW w:w="1311" w:type="dxa"/>
            <w:tcBorders>
              <w:left w:val="nil"/>
            </w:tcBorders>
            <w:noWrap/>
            <w:vAlign w:val="center"/>
          </w:tcPr>
          <w:p w14:paraId="59A0E694"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84.8</w:t>
            </w:r>
          </w:p>
        </w:tc>
        <w:tc>
          <w:tcPr>
            <w:tcW w:w="1495" w:type="dxa"/>
            <w:tcBorders>
              <w:right w:val="nil"/>
            </w:tcBorders>
            <w:noWrap/>
            <w:vAlign w:val="center"/>
          </w:tcPr>
          <w:p w14:paraId="0CBA99A7"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276" w:type="dxa"/>
            <w:tcBorders>
              <w:left w:val="nil"/>
              <w:right w:val="nil"/>
            </w:tcBorders>
            <w:noWrap/>
            <w:vAlign w:val="center"/>
          </w:tcPr>
          <w:p w14:paraId="6DA565FF"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25</w:t>
            </w:r>
          </w:p>
        </w:tc>
        <w:tc>
          <w:tcPr>
            <w:tcW w:w="1276" w:type="dxa"/>
            <w:tcBorders>
              <w:left w:val="nil"/>
            </w:tcBorders>
            <w:noWrap/>
            <w:vAlign w:val="center"/>
          </w:tcPr>
          <w:p w14:paraId="7D46C8AA"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75.8</w:t>
            </w:r>
          </w:p>
        </w:tc>
      </w:tr>
      <w:tr w:rsidR="00B24196" w:rsidRPr="00975564" w14:paraId="3668E77F" w14:textId="77777777" w:rsidTr="00D65FE6">
        <w:trPr>
          <w:trHeight w:val="630"/>
        </w:trPr>
        <w:tc>
          <w:tcPr>
            <w:tcW w:w="6062" w:type="dxa"/>
          </w:tcPr>
          <w:p w14:paraId="05AA1D1E" w14:textId="77777777" w:rsidR="00B24196" w:rsidRPr="00975564" w:rsidRDefault="00B24196" w:rsidP="00D65FE6">
            <w:pPr>
              <w:rPr>
                <w:rFonts w:ascii="Times New Roman" w:hAnsi="Times New Roman" w:cs="Times New Roman"/>
                <w:color w:val="000000"/>
                <w:sz w:val="20"/>
                <w:szCs w:val="20"/>
              </w:rPr>
            </w:pPr>
            <w:r w:rsidRPr="00975564">
              <w:rPr>
                <w:rFonts w:ascii="Times New Roman" w:hAnsi="Times New Roman" w:cs="Times New Roman"/>
                <w:color w:val="000000"/>
                <w:sz w:val="20"/>
                <w:szCs w:val="20"/>
              </w:rPr>
              <w:t>3N. The public health agency’s policies define the conditions and procedures for escalating response to an emergency, including processes for declaring an event multi-jurisdictional.</w:t>
            </w:r>
          </w:p>
        </w:tc>
        <w:tc>
          <w:tcPr>
            <w:tcW w:w="1521" w:type="dxa"/>
            <w:tcBorders>
              <w:right w:val="nil"/>
            </w:tcBorders>
            <w:noWrap/>
            <w:vAlign w:val="center"/>
          </w:tcPr>
          <w:p w14:paraId="6A2BB035"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6 (1)</w:t>
            </w:r>
          </w:p>
        </w:tc>
        <w:tc>
          <w:tcPr>
            <w:tcW w:w="1168" w:type="dxa"/>
            <w:tcBorders>
              <w:left w:val="nil"/>
              <w:right w:val="nil"/>
            </w:tcBorders>
            <w:noWrap/>
            <w:vAlign w:val="center"/>
          </w:tcPr>
          <w:p w14:paraId="2913D6D1"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31</w:t>
            </w:r>
          </w:p>
        </w:tc>
        <w:tc>
          <w:tcPr>
            <w:tcW w:w="1311" w:type="dxa"/>
            <w:tcBorders>
              <w:left w:val="nil"/>
            </w:tcBorders>
            <w:noWrap/>
            <w:vAlign w:val="center"/>
          </w:tcPr>
          <w:p w14:paraId="7924E989"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93.9</w:t>
            </w:r>
          </w:p>
        </w:tc>
        <w:tc>
          <w:tcPr>
            <w:tcW w:w="1495" w:type="dxa"/>
            <w:tcBorders>
              <w:right w:val="nil"/>
            </w:tcBorders>
            <w:noWrap/>
            <w:vAlign w:val="center"/>
          </w:tcPr>
          <w:p w14:paraId="18203644"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6 (1)</w:t>
            </w:r>
          </w:p>
        </w:tc>
        <w:tc>
          <w:tcPr>
            <w:tcW w:w="1276" w:type="dxa"/>
            <w:tcBorders>
              <w:left w:val="nil"/>
              <w:right w:val="nil"/>
            </w:tcBorders>
            <w:noWrap/>
            <w:vAlign w:val="center"/>
          </w:tcPr>
          <w:p w14:paraId="26CE8E2B"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25</w:t>
            </w:r>
          </w:p>
        </w:tc>
        <w:tc>
          <w:tcPr>
            <w:tcW w:w="1276" w:type="dxa"/>
            <w:tcBorders>
              <w:left w:val="nil"/>
            </w:tcBorders>
            <w:noWrap/>
            <w:vAlign w:val="center"/>
          </w:tcPr>
          <w:p w14:paraId="5D30DBB0"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75.8</w:t>
            </w:r>
          </w:p>
        </w:tc>
      </w:tr>
      <w:tr w:rsidR="00B24196" w:rsidRPr="00975564" w14:paraId="30FCA77C" w14:textId="77777777" w:rsidTr="00D65FE6">
        <w:trPr>
          <w:trHeight w:val="227"/>
        </w:trPr>
        <w:tc>
          <w:tcPr>
            <w:tcW w:w="6062" w:type="dxa"/>
            <w:shd w:val="clear" w:color="auto" w:fill="595959" w:themeFill="text1" w:themeFillTint="A6"/>
            <w:vAlign w:val="center"/>
          </w:tcPr>
          <w:p w14:paraId="7185D6F0" w14:textId="77777777" w:rsidR="00B24196" w:rsidRPr="00975564" w:rsidRDefault="00B24196" w:rsidP="00D65FE6">
            <w:pPr>
              <w:jc w:val="center"/>
              <w:rPr>
                <w:rFonts w:ascii="Times New Roman" w:hAnsi="Times New Roman" w:cs="Times New Roman"/>
                <w:b/>
                <w:color w:val="000000"/>
                <w:sz w:val="20"/>
                <w:szCs w:val="20"/>
              </w:rPr>
            </w:pPr>
            <w:r w:rsidRPr="00975564">
              <w:rPr>
                <w:rFonts w:ascii="Times New Roman" w:hAnsi="Times New Roman" w:cs="Times New Roman"/>
                <w:b/>
                <w:color w:val="FFFFFF" w:themeColor="background1"/>
                <w:sz w:val="20"/>
                <w:szCs w:val="20"/>
              </w:rPr>
              <w:t>Planning Process</w:t>
            </w:r>
          </w:p>
        </w:tc>
        <w:tc>
          <w:tcPr>
            <w:tcW w:w="1521" w:type="dxa"/>
            <w:tcBorders>
              <w:right w:val="nil"/>
            </w:tcBorders>
            <w:shd w:val="clear" w:color="auto" w:fill="595959" w:themeFill="text1" w:themeFillTint="A6"/>
            <w:noWrap/>
            <w:vAlign w:val="center"/>
          </w:tcPr>
          <w:p w14:paraId="3693B34B" w14:textId="77777777" w:rsidR="00B24196" w:rsidRPr="00975564" w:rsidRDefault="00B24196" w:rsidP="00D65FE6">
            <w:pPr>
              <w:jc w:val="center"/>
              <w:rPr>
                <w:rFonts w:ascii="Times New Roman" w:hAnsi="Times New Roman" w:cs="Times New Roman"/>
                <w:b/>
                <w:sz w:val="20"/>
                <w:szCs w:val="20"/>
              </w:rPr>
            </w:pPr>
          </w:p>
        </w:tc>
        <w:tc>
          <w:tcPr>
            <w:tcW w:w="1168" w:type="dxa"/>
            <w:tcBorders>
              <w:left w:val="nil"/>
              <w:right w:val="nil"/>
            </w:tcBorders>
            <w:shd w:val="clear" w:color="auto" w:fill="595959" w:themeFill="text1" w:themeFillTint="A6"/>
            <w:noWrap/>
            <w:vAlign w:val="center"/>
          </w:tcPr>
          <w:p w14:paraId="5B5212B2" w14:textId="77777777" w:rsidR="00B24196" w:rsidRPr="00975564" w:rsidRDefault="00B24196" w:rsidP="00D65FE6">
            <w:pPr>
              <w:jc w:val="center"/>
              <w:rPr>
                <w:rFonts w:ascii="Times New Roman" w:hAnsi="Times New Roman" w:cs="Times New Roman"/>
                <w:b/>
                <w:sz w:val="20"/>
                <w:szCs w:val="20"/>
              </w:rPr>
            </w:pPr>
          </w:p>
        </w:tc>
        <w:tc>
          <w:tcPr>
            <w:tcW w:w="1311" w:type="dxa"/>
            <w:tcBorders>
              <w:left w:val="nil"/>
            </w:tcBorders>
            <w:shd w:val="clear" w:color="auto" w:fill="595959" w:themeFill="text1" w:themeFillTint="A6"/>
            <w:noWrap/>
            <w:vAlign w:val="center"/>
          </w:tcPr>
          <w:p w14:paraId="76A41752" w14:textId="77777777" w:rsidR="00B24196" w:rsidRPr="00975564" w:rsidRDefault="00B24196" w:rsidP="00D65FE6">
            <w:pPr>
              <w:jc w:val="center"/>
              <w:rPr>
                <w:rFonts w:ascii="Times New Roman" w:hAnsi="Times New Roman" w:cs="Times New Roman"/>
                <w:b/>
                <w:sz w:val="20"/>
                <w:szCs w:val="20"/>
              </w:rPr>
            </w:pPr>
          </w:p>
        </w:tc>
        <w:tc>
          <w:tcPr>
            <w:tcW w:w="1495" w:type="dxa"/>
            <w:tcBorders>
              <w:right w:val="nil"/>
            </w:tcBorders>
            <w:shd w:val="clear" w:color="auto" w:fill="595959" w:themeFill="text1" w:themeFillTint="A6"/>
            <w:noWrap/>
            <w:vAlign w:val="center"/>
          </w:tcPr>
          <w:p w14:paraId="101F8AC5" w14:textId="77777777" w:rsidR="00B24196" w:rsidRPr="00975564" w:rsidRDefault="00B24196" w:rsidP="00D65FE6">
            <w:pPr>
              <w:jc w:val="center"/>
              <w:rPr>
                <w:rFonts w:ascii="Times New Roman" w:hAnsi="Times New Roman" w:cs="Times New Roman"/>
                <w:b/>
                <w:sz w:val="20"/>
                <w:szCs w:val="20"/>
              </w:rPr>
            </w:pPr>
          </w:p>
        </w:tc>
        <w:tc>
          <w:tcPr>
            <w:tcW w:w="1276" w:type="dxa"/>
            <w:tcBorders>
              <w:left w:val="nil"/>
              <w:right w:val="nil"/>
            </w:tcBorders>
            <w:shd w:val="clear" w:color="auto" w:fill="595959" w:themeFill="text1" w:themeFillTint="A6"/>
            <w:noWrap/>
            <w:vAlign w:val="center"/>
          </w:tcPr>
          <w:p w14:paraId="251B6349" w14:textId="77777777" w:rsidR="00B24196" w:rsidRPr="00975564" w:rsidRDefault="00B24196" w:rsidP="00D65FE6">
            <w:pPr>
              <w:jc w:val="center"/>
              <w:rPr>
                <w:rFonts w:ascii="Times New Roman" w:hAnsi="Times New Roman" w:cs="Times New Roman"/>
                <w:b/>
                <w:sz w:val="20"/>
                <w:szCs w:val="20"/>
              </w:rPr>
            </w:pPr>
          </w:p>
        </w:tc>
        <w:tc>
          <w:tcPr>
            <w:tcW w:w="1276" w:type="dxa"/>
            <w:tcBorders>
              <w:left w:val="nil"/>
            </w:tcBorders>
            <w:shd w:val="clear" w:color="auto" w:fill="595959" w:themeFill="text1" w:themeFillTint="A6"/>
            <w:noWrap/>
            <w:vAlign w:val="center"/>
          </w:tcPr>
          <w:p w14:paraId="26BCB872" w14:textId="77777777" w:rsidR="00B24196" w:rsidRPr="00975564" w:rsidRDefault="00B24196" w:rsidP="00D65FE6">
            <w:pPr>
              <w:jc w:val="center"/>
              <w:rPr>
                <w:rFonts w:ascii="Times New Roman" w:hAnsi="Times New Roman" w:cs="Times New Roman"/>
                <w:b/>
                <w:sz w:val="20"/>
                <w:szCs w:val="20"/>
              </w:rPr>
            </w:pPr>
          </w:p>
        </w:tc>
      </w:tr>
      <w:tr w:rsidR="00B24196" w:rsidRPr="00975564" w14:paraId="2C6C25CF" w14:textId="77777777" w:rsidTr="00D65FE6">
        <w:trPr>
          <w:trHeight w:val="630"/>
        </w:trPr>
        <w:tc>
          <w:tcPr>
            <w:tcW w:w="6062" w:type="dxa"/>
          </w:tcPr>
          <w:p w14:paraId="67B2111E" w14:textId="77777777" w:rsidR="00B24196" w:rsidRPr="00975564" w:rsidRDefault="00B24196" w:rsidP="00D65FE6">
            <w:pPr>
              <w:rPr>
                <w:rFonts w:ascii="Times New Roman" w:hAnsi="Times New Roman" w:cs="Times New Roman"/>
                <w:color w:val="000000"/>
                <w:sz w:val="20"/>
                <w:szCs w:val="20"/>
              </w:rPr>
            </w:pPr>
            <w:r w:rsidRPr="00975564">
              <w:rPr>
                <w:rFonts w:ascii="Times New Roman" w:hAnsi="Times New Roman" w:cs="Times New Roman"/>
                <w:color w:val="000000"/>
                <w:sz w:val="20"/>
                <w:szCs w:val="20"/>
              </w:rPr>
              <w:t>6N. The public health agency reviews its emergency plans and/or protocols with involved departments and/or programs internal to the agency.</w:t>
            </w:r>
          </w:p>
        </w:tc>
        <w:tc>
          <w:tcPr>
            <w:tcW w:w="1521" w:type="dxa"/>
            <w:tcBorders>
              <w:right w:val="nil"/>
            </w:tcBorders>
            <w:noWrap/>
            <w:vAlign w:val="center"/>
          </w:tcPr>
          <w:p w14:paraId="35479A45"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6 (1)</w:t>
            </w:r>
          </w:p>
        </w:tc>
        <w:tc>
          <w:tcPr>
            <w:tcW w:w="1168" w:type="dxa"/>
            <w:tcBorders>
              <w:left w:val="nil"/>
              <w:right w:val="nil"/>
            </w:tcBorders>
            <w:noWrap/>
            <w:vAlign w:val="center"/>
          </w:tcPr>
          <w:p w14:paraId="16F611E6"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33</w:t>
            </w:r>
          </w:p>
        </w:tc>
        <w:tc>
          <w:tcPr>
            <w:tcW w:w="1311" w:type="dxa"/>
            <w:tcBorders>
              <w:left w:val="nil"/>
            </w:tcBorders>
            <w:noWrap/>
            <w:vAlign w:val="center"/>
          </w:tcPr>
          <w:p w14:paraId="79196D4F"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100</w:t>
            </w:r>
          </w:p>
        </w:tc>
        <w:tc>
          <w:tcPr>
            <w:tcW w:w="1495" w:type="dxa"/>
            <w:tcBorders>
              <w:right w:val="nil"/>
            </w:tcBorders>
            <w:noWrap/>
            <w:vAlign w:val="center"/>
          </w:tcPr>
          <w:p w14:paraId="5F8357D9"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6 (1)</w:t>
            </w:r>
          </w:p>
        </w:tc>
        <w:tc>
          <w:tcPr>
            <w:tcW w:w="1276" w:type="dxa"/>
            <w:tcBorders>
              <w:left w:val="nil"/>
              <w:right w:val="nil"/>
            </w:tcBorders>
            <w:noWrap/>
            <w:vAlign w:val="center"/>
          </w:tcPr>
          <w:p w14:paraId="4CCE0C41"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33</w:t>
            </w:r>
          </w:p>
        </w:tc>
        <w:tc>
          <w:tcPr>
            <w:tcW w:w="1276" w:type="dxa"/>
            <w:tcBorders>
              <w:left w:val="nil"/>
            </w:tcBorders>
            <w:noWrap/>
            <w:vAlign w:val="center"/>
          </w:tcPr>
          <w:p w14:paraId="17B8ED16"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100</w:t>
            </w:r>
          </w:p>
        </w:tc>
      </w:tr>
      <w:tr w:rsidR="00B24196" w:rsidRPr="00975564" w14:paraId="0CFB2FE9" w14:textId="77777777" w:rsidTr="00D65FE6">
        <w:trPr>
          <w:trHeight w:val="227"/>
        </w:trPr>
        <w:tc>
          <w:tcPr>
            <w:tcW w:w="6062" w:type="dxa"/>
            <w:shd w:val="clear" w:color="auto" w:fill="595959" w:themeFill="text1" w:themeFillTint="A6"/>
            <w:hideMark/>
          </w:tcPr>
          <w:p w14:paraId="4BF32E3F"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Resources</w:t>
            </w:r>
          </w:p>
        </w:tc>
        <w:tc>
          <w:tcPr>
            <w:tcW w:w="1521" w:type="dxa"/>
            <w:tcBorders>
              <w:right w:val="nil"/>
            </w:tcBorders>
            <w:shd w:val="clear" w:color="auto" w:fill="595959" w:themeFill="text1" w:themeFillTint="A6"/>
            <w:noWrap/>
            <w:vAlign w:val="center"/>
          </w:tcPr>
          <w:p w14:paraId="4B41FBA1"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168" w:type="dxa"/>
            <w:tcBorders>
              <w:left w:val="nil"/>
              <w:right w:val="nil"/>
            </w:tcBorders>
            <w:shd w:val="clear" w:color="auto" w:fill="595959" w:themeFill="text1" w:themeFillTint="A6"/>
            <w:noWrap/>
            <w:vAlign w:val="center"/>
          </w:tcPr>
          <w:p w14:paraId="3D5F3A09"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311" w:type="dxa"/>
            <w:tcBorders>
              <w:left w:val="nil"/>
            </w:tcBorders>
            <w:shd w:val="clear" w:color="auto" w:fill="595959" w:themeFill="text1" w:themeFillTint="A6"/>
            <w:noWrap/>
            <w:vAlign w:val="center"/>
          </w:tcPr>
          <w:p w14:paraId="0942505A"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495" w:type="dxa"/>
            <w:tcBorders>
              <w:right w:val="nil"/>
            </w:tcBorders>
            <w:shd w:val="clear" w:color="auto" w:fill="595959" w:themeFill="text1" w:themeFillTint="A6"/>
            <w:noWrap/>
            <w:vAlign w:val="center"/>
          </w:tcPr>
          <w:p w14:paraId="50114172"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right w:val="nil"/>
            </w:tcBorders>
            <w:shd w:val="clear" w:color="auto" w:fill="595959" w:themeFill="text1" w:themeFillTint="A6"/>
            <w:noWrap/>
            <w:vAlign w:val="center"/>
          </w:tcPr>
          <w:p w14:paraId="41088775"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tcBorders>
            <w:shd w:val="clear" w:color="auto" w:fill="595959" w:themeFill="text1" w:themeFillTint="A6"/>
            <w:noWrap/>
            <w:vAlign w:val="center"/>
          </w:tcPr>
          <w:p w14:paraId="7F41738F" w14:textId="77777777" w:rsidR="00B24196" w:rsidRPr="00975564" w:rsidRDefault="00B24196" w:rsidP="00D65FE6">
            <w:pPr>
              <w:jc w:val="center"/>
              <w:rPr>
                <w:rFonts w:ascii="Times New Roman" w:hAnsi="Times New Roman" w:cs="Times New Roman"/>
                <w:b/>
                <w:color w:val="FFFFFF" w:themeColor="background1"/>
                <w:sz w:val="20"/>
                <w:szCs w:val="20"/>
              </w:rPr>
            </w:pPr>
          </w:p>
        </w:tc>
      </w:tr>
      <w:tr w:rsidR="00B24196" w:rsidRPr="00975564" w14:paraId="2088ED76" w14:textId="77777777" w:rsidTr="00D65FE6">
        <w:trPr>
          <w:trHeight w:val="630"/>
        </w:trPr>
        <w:tc>
          <w:tcPr>
            <w:tcW w:w="6062" w:type="dxa"/>
          </w:tcPr>
          <w:p w14:paraId="1B69B3F8" w14:textId="77777777" w:rsidR="00B24196" w:rsidRPr="00975564" w:rsidRDefault="00B24196" w:rsidP="00D65FE6">
            <w:pPr>
              <w:rPr>
                <w:rFonts w:ascii="Times New Roman" w:hAnsi="Times New Roman" w:cs="Times New Roman"/>
                <w:color w:val="000000"/>
                <w:sz w:val="20"/>
                <w:szCs w:val="20"/>
              </w:rPr>
            </w:pPr>
            <w:r w:rsidRPr="00975564">
              <w:rPr>
                <w:rFonts w:ascii="Times New Roman" w:hAnsi="Times New Roman" w:cs="Times New Roman"/>
                <w:color w:val="000000"/>
                <w:sz w:val="20"/>
                <w:szCs w:val="20"/>
              </w:rPr>
              <w:t>19R. The public health agency has or has access to a dedicated emergency preparedness coordinator, or similar position, led by an individual experienced in emergency management.</w:t>
            </w:r>
          </w:p>
        </w:tc>
        <w:tc>
          <w:tcPr>
            <w:tcW w:w="1521" w:type="dxa"/>
            <w:tcBorders>
              <w:right w:val="nil"/>
            </w:tcBorders>
            <w:noWrap/>
            <w:vAlign w:val="center"/>
          </w:tcPr>
          <w:p w14:paraId="4129FF05"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 (1)</w:t>
            </w:r>
          </w:p>
        </w:tc>
        <w:tc>
          <w:tcPr>
            <w:tcW w:w="1168" w:type="dxa"/>
            <w:tcBorders>
              <w:left w:val="nil"/>
              <w:right w:val="nil"/>
            </w:tcBorders>
            <w:noWrap/>
            <w:vAlign w:val="center"/>
          </w:tcPr>
          <w:p w14:paraId="03293910"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32</w:t>
            </w:r>
          </w:p>
        </w:tc>
        <w:tc>
          <w:tcPr>
            <w:tcW w:w="1311" w:type="dxa"/>
            <w:tcBorders>
              <w:left w:val="nil"/>
            </w:tcBorders>
            <w:noWrap/>
            <w:vAlign w:val="center"/>
          </w:tcPr>
          <w:p w14:paraId="5F7ED0E9"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97.0</w:t>
            </w:r>
          </w:p>
        </w:tc>
        <w:tc>
          <w:tcPr>
            <w:tcW w:w="1495" w:type="dxa"/>
            <w:tcBorders>
              <w:right w:val="nil"/>
            </w:tcBorders>
            <w:noWrap/>
            <w:vAlign w:val="center"/>
          </w:tcPr>
          <w:p w14:paraId="1F215A08"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(1)</w:t>
            </w:r>
          </w:p>
        </w:tc>
        <w:tc>
          <w:tcPr>
            <w:tcW w:w="1276" w:type="dxa"/>
            <w:tcBorders>
              <w:left w:val="nil"/>
              <w:right w:val="nil"/>
            </w:tcBorders>
            <w:noWrap/>
            <w:vAlign w:val="center"/>
          </w:tcPr>
          <w:p w14:paraId="5D87B826"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26</w:t>
            </w:r>
          </w:p>
        </w:tc>
        <w:tc>
          <w:tcPr>
            <w:tcW w:w="1276" w:type="dxa"/>
            <w:tcBorders>
              <w:left w:val="nil"/>
            </w:tcBorders>
            <w:noWrap/>
            <w:vAlign w:val="center"/>
          </w:tcPr>
          <w:p w14:paraId="3AB08271"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78.8</w:t>
            </w:r>
          </w:p>
        </w:tc>
      </w:tr>
      <w:tr w:rsidR="00B24196" w:rsidRPr="00975564" w14:paraId="7162EA5F" w14:textId="77777777" w:rsidTr="00D65FE6">
        <w:trPr>
          <w:trHeight w:val="630"/>
        </w:trPr>
        <w:tc>
          <w:tcPr>
            <w:tcW w:w="6062" w:type="dxa"/>
          </w:tcPr>
          <w:p w14:paraId="400A9B7D" w14:textId="77777777" w:rsidR="00B24196" w:rsidRPr="00975564" w:rsidRDefault="00B24196" w:rsidP="00D65FE6">
            <w:pPr>
              <w:rPr>
                <w:rFonts w:ascii="Times New Roman" w:hAnsi="Times New Roman" w:cs="Times New Roman"/>
                <w:color w:val="000000"/>
                <w:sz w:val="20"/>
                <w:szCs w:val="20"/>
              </w:rPr>
            </w:pPr>
            <w:r w:rsidRPr="00975564">
              <w:rPr>
                <w:rFonts w:ascii="Times New Roman" w:hAnsi="Times New Roman" w:cs="Times New Roman"/>
                <w:color w:val="000000"/>
                <w:sz w:val="20"/>
                <w:szCs w:val="20"/>
              </w:rPr>
              <w:t>21R. The public health agency has or has access to a system to support management of physical resources relevant to emergencies; for example, equipment, supplies or medical prophylaxis and/or treatment (e.g., this may include tracking, monitoring and/or reporting components).</w:t>
            </w:r>
          </w:p>
        </w:tc>
        <w:tc>
          <w:tcPr>
            <w:tcW w:w="1521" w:type="dxa"/>
            <w:tcBorders>
              <w:right w:val="nil"/>
            </w:tcBorders>
            <w:noWrap/>
            <w:vAlign w:val="center"/>
          </w:tcPr>
          <w:p w14:paraId="71FBD928"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65C6D00F"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31</w:t>
            </w:r>
          </w:p>
        </w:tc>
        <w:tc>
          <w:tcPr>
            <w:tcW w:w="1311" w:type="dxa"/>
            <w:tcBorders>
              <w:left w:val="nil"/>
            </w:tcBorders>
            <w:noWrap/>
            <w:vAlign w:val="center"/>
          </w:tcPr>
          <w:p w14:paraId="1728CB75"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93.9</w:t>
            </w:r>
          </w:p>
        </w:tc>
        <w:tc>
          <w:tcPr>
            <w:tcW w:w="1495" w:type="dxa"/>
            <w:tcBorders>
              <w:right w:val="nil"/>
            </w:tcBorders>
            <w:noWrap/>
            <w:vAlign w:val="center"/>
          </w:tcPr>
          <w:p w14:paraId="13121296"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(1)</w:t>
            </w:r>
          </w:p>
        </w:tc>
        <w:tc>
          <w:tcPr>
            <w:tcW w:w="1276" w:type="dxa"/>
            <w:tcBorders>
              <w:left w:val="nil"/>
              <w:right w:val="nil"/>
            </w:tcBorders>
            <w:noWrap/>
            <w:vAlign w:val="center"/>
          </w:tcPr>
          <w:p w14:paraId="375FB81E"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25</w:t>
            </w:r>
          </w:p>
        </w:tc>
        <w:tc>
          <w:tcPr>
            <w:tcW w:w="1276" w:type="dxa"/>
            <w:tcBorders>
              <w:left w:val="nil"/>
            </w:tcBorders>
            <w:noWrap/>
            <w:vAlign w:val="center"/>
          </w:tcPr>
          <w:p w14:paraId="6E273681"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75.8</w:t>
            </w:r>
          </w:p>
        </w:tc>
      </w:tr>
      <w:tr w:rsidR="00B24196" w:rsidRPr="00975564" w14:paraId="439693D9" w14:textId="77777777" w:rsidTr="00D65FE6">
        <w:trPr>
          <w:trHeight w:val="340"/>
        </w:trPr>
        <w:tc>
          <w:tcPr>
            <w:tcW w:w="6062" w:type="dxa"/>
          </w:tcPr>
          <w:p w14:paraId="7AC633EC"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color w:val="000000"/>
                <w:sz w:val="20"/>
                <w:szCs w:val="20"/>
              </w:rPr>
              <w:t>23R. The public health agency is familiar with established procedures for the exceptional procurement of physical resources relevant to the emergency context, including procedures for procurement outside of business hours; for example, equipment, supplies or medical prophylaxis and/or treatment from the provincial, territorial or federal government.</w:t>
            </w:r>
          </w:p>
        </w:tc>
        <w:tc>
          <w:tcPr>
            <w:tcW w:w="1521" w:type="dxa"/>
            <w:tcBorders>
              <w:right w:val="nil"/>
            </w:tcBorders>
            <w:noWrap/>
            <w:vAlign w:val="center"/>
          </w:tcPr>
          <w:p w14:paraId="20C2D6DA"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6DB9353F"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30</w:t>
            </w:r>
          </w:p>
        </w:tc>
        <w:tc>
          <w:tcPr>
            <w:tcW w:w="1311" w:type="dxa"/>
            <w:tcBorders>
              <w:left w:val="nil"/>
            </w:tcBorders>
            <w:noWrap/>
            <w:vAlign w:val="center"/>
          </w:tcPr>
          <w:p w14:paraId="753C99BC"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90.9</w:t>
            </w:r>
          </w:p>
        </w:tc>
        <w:tc>
          <w:tcPr>
            <w:tcW w:w="1495" w:type="dxa"/>
            <w:tcBorders>
              <w:right w:val="nil"/>
            </w:tcBorders>
            <w:noWrap/>
            <w:vAlign w:val="center"/>
          </w:tcPr>
          <w:p w14:paraId="30E2B836"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276" w:type="dxa"/>
            <w:tcBorders>
              <w:left w:val="nil"/>
              <w:right w:val="nil"/>
            </w:tcBorders>
            <w:noWrap/>
            <w:vAlign w:val="center"/>
          </w:tcPr>
          <w:p w14:paraId="04C1AD4A"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25</w:t>
            </w:r>
          </w:p>
        </w:tc>
        <w:tc>
          <w:tcPr>
            <w:tcW w:w="1276" w:type="dxa"/>
            <w:tcBorders>
              <w:left w:val="nil"/>
            </w:tcBorders>
            <w:noWrap/>
            <w:vAlign w:val="center"/>
          </w:tcPr>
          <w:p w14:paraId="15218FCE"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75.8</w:t>
            </w:r>
          </w:p>
        </w:tc>
      </w:tr>
      <w:tr w:rsidR="00B24196" w:rsidRPr="00975564" w14:paraId="624886CC" w14:textId="77777777" w:rsidTr="00D65FE6">
        <w:trPr>
          <w:trHeight w:val="227"/>
        </w:trPr>
        <w:tc>
          <w:tcPr>
            <w:tcW w:w="6062" w:type="dxa"/>
            <w:shd w:val="clear" w:color="auto" w:fill="595959" w:themeFill="text1" w:themeFillTint="A6"/>
            <w:vAlign w:val="center"/>
            <w:hideMark/>
          </w:tcPr>
          <w:p w14:paraId="02B2C6A6"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Collaborative Networks</w:t>
            </w:r>
          </w:p>
        </w:tc>
        <w:tc>
          <w:tcPr>
            <w:tcW w:w="1521" w:type="dxa"/>
            <w:tcBorders>
              <w:right w:val="nil"/>
            </w:tcBorders>
            <w:shd w:val="clear" w:color="auto" w:fill="595959" w:themeFill="text1" w:themeFillTint="A6"/>
            <w:noWrap/>
            <w:vAlign w:val="center"/>
          </w:tcPr>
          <w:p w14:paraId="1F7B877A"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168" w:type="dxa"/>
            <w:tcBorders>
              <w:left w:val="nil"/>
              <w:right w:val="nil"/>
            </w:tcBorders>
            <w:shd w:val="clear" w:color="auto" w:fill="595959" w:themeFill="text1" w:themeFillTint="A6"/>
            <w:noWrap/>
            <w:vAlign w:val="center"/>
          </w:tcPr>
          <w:p w14:paraId="61091D80"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311" w:type="dxa"/>
            <w:tcBorders>
              <w:left w:val="nil"/>
            </w:tcBorders>
            <w:shd w:val="clear" w:color="auto" w:fill="595959" w:themeFill="text1" w:themeFillTint="A6"/>
            <w:noWrap/>
            <w:vAlign w:val="center"/>
          </w:tcPr>
          <w:p w14:paraId="35BDA199"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495" w:type="dxa"/>
            <w:tcBorders>
              <w:right w:val="nil"/>
            </w:tcBorders>
            <w:shd w:val="clear" w:color="auto" w:fill="595959" w:themeFill="text1" w:themeFillTint="A6"/>
            <w:noWrap/>
            <w:vAlign w:val="center"/>
          </w:tcPr>
          <w:p w14:paraId="46ED4C37"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right w:val="nil"/>
            </w:tcBorders>
            <w:shd w:val="clear" w:color="auto" w:fill="595959" w:themeFill="text1" w:themeFillTint="A6"/>
            <w:noWrap/>
            <w:vAlign w:val="center"/>
          </w:tcPr>
          <w:p w14:paraId="1891A776"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tcBorders>
            <w:shd w:val="clear" w:color="auto" w:fill="595959" w:themeFill="text1" w:themeFillTint="A6"/>
            <w:noWrap/>
            <w:vAlign w:val="center"/>
          </w:tcPr>
          <w:p w14:paraId="26D2064D" w14:textId="77777777" w:rsidR="00B24196" w:rsidRPr="00975564" w:rsidRDefault="00B24196" w:rsidP="00D65FE6">
            <w:pPr>
              <w:jc w:val="center"/>
              <w:rPr>
                <w:rFonts w:ascii="Times New Roman" w:hAnsi="Times New Roman" w:cs="Times New Roman"/>
                <w:b/>
                <w:color w:val="FFFFFF" w:themeColor="background1"/>
                <w:sz w:val="20"/>
                <w:szCs w:val="20"/>
              </w:rPr>
            </w:pPr>
          </w:p>
        </w:tc>
      </w:tr>
      <w:tr w:rsidR="00B24196" w:rsidRPr="00975564" w14:paraId="5CB3C3B2" w14:textId="77777777" w:rsidTr="00D65FE6">
        <w:trPr>
          <w:trHeight w:val="227"/>
        </w:trPr>
        <w:tc>
          <w:tcPr>
            <w:tcW w:w="6062" w:type="dxa"/>
            <w:shd w:val="clear" w:color="auto" w:fill="auto"/>
          </w:tcPr>
          <w:p w14:paraId="13681D40" w14:textId="77777777" w:rsidR="00B24196" w:rsidRPr="00975564" w:rsidRDefault="00B24196" w:rsidP="00D65FE6">
            <w:pPr>
              <w:rPr>
                <w:rFonts w:ascii="Times New Roman" w:hAnsi="Times New Roman" w:cs="Times New Roman"/>
                <w:b/>
                <w:color w:val="FFFFFF" w:themeColor="background1"/>
                <w:sz w:val="20"/>
                <w:szCs w:val="20"/>
              </w:rPr>
            </w:pPr>
            <w:r w:rsidRPr="00975564">
              <w:rPr>
                <w:rFonts w:ascii="Times New Roman" w:hAnsi="Times New Roman" w:cs="Times New Roman"/>
                <w:color w:val="000000"/>
                <w:sz w:val="20"/>
                <w:szCs w:val="20"/>
              </w:rPr>
              <w:t>25R. The public health agency has mutual aid agreements in place with health-sector network partners that describe how resources and/or services will be shared during an emergency, including meeting demands for surge capacity.</w:t>
            </w:r>
          </w:p>
        </w:tc>
        <w:tc>
          <w:tcPr>
            <w:tcW w:w="1521" w:type="dxa"/>
            <w:tcBorders>
              <w:right w:val="nil"/>
            </w:tcBorders>
            <w:shd w:val="clear" w:color="auto" w:fill="auto"/>
            <w:noWrap/>
            <w:vAlign w:val="center"/>
          </w:tcPr>
          <w:p w14:paraId="1C36CB43"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color w:val="000000"/>
                <w:sz w:val="20"/>
                <w:szCs w:val="20"/>
              </w:rPr>
              <w:t>6 (2)</w:t>
            </w:r>
          </w:p>
        </w:tc>
        <w:tc>
          <w:tcPr>
            <w:tcW w:w="1168" w:type="dxa"/>
            <w:tcBorders>
              <w:left w:val="nil"/>
              <w:right w:val="nil"/>
            </w:tcBorders>
            <w:shd w:val="clear" w:color="auto" w:fill="auto"/>
            <w:noWrap/>
            <w:vAlign w:val="center"/>
          </w:tcPr>
          <w:p w14:paraId="7D2086DA"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color w:val="000000"/>
                <w:sz w:val="20"/>
                <w:szCs w:val="20"/>
              </w:rPr>
              <w:t>31</w:t>
            </w:r>
          </w:p>
        </w:tc>
        <w:tc>
          <w:tcPr>
            <w:tcW w:w="1311" w:type="dxa"/>
            <w:tcBorders>
              <w:left w:val="nil"/>
            </w:tcBorders>
            <w:shd w:val="clear" w:color="auto" w:fill="auto"/>
            <w:noWrap/>
            <w:vAlign w:val="center"/>
          </w:tcPr>
          <w:p w14:paraId="63E25E44"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color w:val="000000"/>
                <w:sz w:val="20"/>
                <w:szCs w:val="20"/>
              </w:rPr>
              <w:t>93.9</w:t>
            </w:r>
          </w:p>
        </w:tc>
        <w:tc>
          <w:tcPr>
            <w:tcW w:w="1495" w:type="dxa"/>
            <w:tcBorders>
              <w:right w:val="nil"/>
            </w:tcBorders>
            <w:shd w:val="clear" w:color="auto" w:fill="auto"/>
            <w:noWrap/>
            <w:vAlign w:val="center"/>
          </w:tcPr>
          <w:p w14:paraId="7E474751"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color w:val="000000"/>
                <w:sz w:val="20"/>
                <w:szCs w:val="20"/>
              </w:rPr>
              <w:t>6 (2)</w:t>
            </w:r>
          </w:p>
        </w:tc>
        <w:tc>
          <w:tcPr>
            <w:tcW w:w="1276" w:type="dxa"/>
            <w:tcBorders>
              <w:left w:val="nil"/>
              <w:right w:val="nil"/>
            </w:tcBorders>
            <w:shd w:val="clear" w:color="auto" w:fill="auto"/>
            <w:noWrap/>
            <w:vAlign w:val="center"/>
          </w:tcPr>
          <w:p w14:paraId="0F87EEDB"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color w:val="000000"/>
                <w:sz w:val="20"/>
                <w:szCs w:val="20"/>
              </w:rPr>
              <w:t>24</w:t>
            </w:r>
          </w:p>
        </w:tc>
        <w:tc>
          <w:tcPr>
            <w:tcW w:w="1276" w:type="dxa"/>
            <w:tcBorders>
              <w:left w:val="nil"/>
            </w:tcBorders>
            <w:shd w:val="clear" w:color="auto" w:fill="auto"/>
            <w:noWrap/>
            <w:vAlign w:val="center"/>
          </w:tcPr>
          <w:p w14:paraId="6CE307EB"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color w:val="000000"/>
                <w:sz w:val="20"/>
                <w:szCs w:val="20"/>
              </w:rPr>
              <w:t>72.7</w:t>
            </w:r>
          </w:p>
        </w:tc>
      </w:tr>
      <w:tr w:rsidR="00B24196" w:rsidRPr="00975564" w14:paraId="5C05CB43" w14:textId="77777777" w:rsidTr="00D65FE6">
        <w:trPr>
          <w:trHeight w:val="945"/>
        </w:trPr>
        <w:tc>
          <w:tcPr>
            <w:tcW w:w="6062" w:type="dxa"/>
          </w:tcPr>
          <w:p w14:paraId="77677148"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color w:val="000000"/>
                <w:sz w:val="20"/>
                <w:szCs w:val="20"/>
              </w:rPr>
              <w:lastRenderedPageBreak/>
              <w:t>26R. The public health agency has partnerships and/or mechanisms to access to specialized expertise relevant to community risks; for example, environmental health, biosecurity, toxicology, transportation companies, legal advice.</w:t>
            </w:r>
          </w:p>
        </w:tc>
        <w:tc>
          <w:tcPr>
            <w:tcW w:w="1521" w:type="dxa"/>
            <w:tcBorders>
              <w:right w:val="nil"/>
            </w:tcBorders>
            <w:noWrap/>
            <w:vAlign w:val="center"/>
          </w:tcPr>
          <w:p w14:paraId="5671CD64"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66E16771"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32</w:t>
            </w:r>
          </w:p>
        </w:tc>
        <w:tc>
          <w:tcPr>
            <w:tcW w:w="1311" w:type="dxa"/>
            <w:tcBorders>
              <w:left w:val="nil"/>
            </w:tcBorders>
            <w:noWrap/>
            <w:vAlign w:val="center"/>
          </w:tcPr>
          <w:p w14:paraId="704A4C64"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97.0</w:t>
            </w:r>
          </w:p>
        </w:tc>
        <w:tc>
          <w:tcPr>
            <w:tcW w:w="1495" w:type="dxa"/>
            <w:tcBorders>
              <w:right w:val="nil"/>
            </w:tcBorders>
            <w:noWrap/>
            <w:vAlign w:val="center"/>
          </w:tcPr>
          <w:p w14:paraId="6D617935"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276" w:type="dxa"/>
            <w:tcBorders>
              <w:left w:val="nil"/>
              <w:right w:val="nil"/>
            </w:tcBorders>
            <w:noWrap/>
            <w:vAlign w:val="center"/>
          </w:tcPr>
          <w:p w14:paraId="4F73E136"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24</w:t>
            </w:r>
          </w:p>
        </w:tc>
        <w:tc>
          <w:tcPr>
            <w:tcW w:w="1276" w:type="dxa"/>
            <w:tcBorders>
              <w:left w:val="nil"/>
            </w:tcBorders>
            <w:noWrap/>
            <w:vAlign w:val="center"/>
          </w:tcPr>
          <w:p w14:paraId="2B93B14E"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72.7</w:t>
            </w:r>
          </w:p>
        </w:tc>
      </w:tr>
      <w:tr w:rsidR="00B24196" w:rsidRPr="00975564" w14:paraId="5B3755DE" w14:textId="77777777" w:rsidTr="00D65FE6">
        <w:trPr>
          <w:trHeight w:val="227"/>
        </w:trPr>
        <w:tc>
          <w:tcPr>
            <w:tcW w:w="6062" w:type="dxa"/>
            <w:shd w:val="clear" w:color="auto" w:fill="595959" w:themeFill="text1" w:themeFillTint="A6"/>
            <w:vAlign w:val="center"/>
            <w:hideMark/>
          </w:tcPr>
          <w:p w14:paraId="65539F95"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Community Engagement</w:t>
            </w:r>
          </w:p>
        </w:tc>
        <w:tc>
          <w:tcPr>
            <w:tcW w:w="1521" w:type="dxa"/>
            <w:tcBorders>
              <w:right w:val="nil"/>
            </w:tcBorders>
            <w:shd w:val="clear" w:color="auto" w:fill="595959" w:themeFill="text1" w:themeFillTint="A6"/>
            <w:noWrap/>
            <w:vAlign w:val="center"/>
          </w:tcPr>
          <w:p w14:paraId="541DF397"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168" w:type="dxa"/>
            <w:tcBorders>
              <w:left w:val="nil"/>
              <w:right w:val="nil"/>
            </w:tcBorders>
            <w:shd w:val="clear" w:color="auto" w:fill="595959" w:themeFill="text1" w:themeFillTint="A6"/>
            <w:noWrap/>
            <w:vAlign w:val="center"/>
          </w:tcPr>
          <w:p w14:paraId="1C16C73E"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311" w:type="dxa"/>
            <w:tcBorders>
              <w:left w:val="nil"/>
            </w:tcBorders>
            <w:shd w:val="clear" w:color="auto" w:fill="595959" w:themeFill="text1" w:themeFillTint="A6"/>
            <w:noWrap/>
            <w:vAlign w:val="center"/>
          </w:tcPr>
          <w:p w14:paraId="30E651C4"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495" w:type="dxa"/>
            <w:tcBorders>
              <w:right w:val="nil"/>
            </w:tcBorders>
            <w:shd w:val="clear" w:color="auto" w:fill="595959" w:themeFill="text1" w:themeFillTint="A6"/>
            <w:noWrap/>
            <w:vAlign w:val="center"/>
          </w:tcPr>
          <w:p w14:paraId="0EDBA78B"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right w:val="nil"/>
            </w:tcBorders>
            <w:shd w:val="clear" w:color="auto" w:fill="595959" w:themeFill="text1" w:themeFillTint="A6"/>
            <w:noWrap/>
            <w:vAlign w:val="center"/>
          </w:tcPr>
          <w:p w14:paraId="1BB74315"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tcBorders>
            <w:shd w:val="clear" w:color="auto" w:fill="595959" w:themeFill="text1" w:themeFillTint="A6"/>
            <w:noWrap/>
            <w:vAlign w:val="center"/>
          </w:tcPr>
          <w:p w14:paraId="60955052" w14:textId="77777777" w:rsidR="00B24196" w:rsidRPr="00975564" w:rsidRDefault="00B24196" w:rsidP="00D65FE6">
            <w:pPr>
              <w:jc w:val="center"/>
              <w:rPr>
                <w:rFonts w:ascii="Times New Roman" w:hAnsi="Times New Roman" w:cs="Times New Roman"/>
                <w:b/>
                <w:color w:val="FFFFFF" w:themeColor="background1"/>
                <w:sz w:val="20"/>
                <w:szCs w:val="20"/>
              </w:rPr>
            </w:pPr>
          </w:p>
        </w:tc>
      </w:tr>
      <w:tr w:rsidR="00B24196" w:rsidRPr="00975564" w14:paraId="4E371DDC" w14:textId="77777777" w:rsidTr="00D65FE6">
        <w:trPr>
          <w:trHeight w:val="315"/>
        </w:trPr>
        <w:tc>
          <w:tcPr>
            <w:tcW w:w="6062" w:type="dxa"/>
            <w:shd w:val="clear" w:color="auto" w:fill="auto"/>
          </w:tcPr>
          <w:p w14:paraId="74E61E0E"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29R. The public health agency provides and/or endorses education programs directed at the public to raise awareness about preparedness for relevant community risks.</w:t>
            </w:r>
          </w:p>
        </w:tc>
        <w:tc>
          <w:tcPr>
            <w:tcW w:w="1521" w:type="dxa"/>
            <w:tcBorders>
              <w:right w:val="nil"/>
            </w:tcBorders>
            <w:shd w:val="clear" w:color="auto" w:fill="auto"/>
            <w:noWrap/>
            <w:vAlign w:val="center"/>
          </w:tcPr>
          <w:p w14:paraId="3B1BFB51"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shd w:val="clear" w:color="auto" w:fill="auto"/>
            <w:noWrap/>
            <w:vAlign w:val="center"/>
          </w:tcPr>
          <w:p w14:paraId="3B85328F"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30</w:t>
            </w:r>
          </w:p>
        </w:tc>
        <w:tc>
          <w:tcPr>
            <w:tcW w:w="1311" w:type="dxa"/>
            <w:tcBorders>
              <w:left w:val="nil"/>
            </w:tcBorders>
            <w:shd w:val="clear" w:color="auto" w:fill="auto"/>
            <w:noWrap/>
            <w:vAlign w:val="center"/>
          </w:tcPr>
          <w:p w14:paraId="7FF17382"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90.9</w:t>
            </w:r>
          </w:p>
        </w:tc>
        <w:tc>
          <w:tcPr>
            <w:tcW w:w="1495" w:type="dxa"/>
            <w:tcBorders>
              <w:right w:val="nil"/>
            </w:tcBorders>
            <w:shd w:val="clear" w:color="auto" w:fill="auto"/>
            <w:noWrap/>
            <w:vAlign w:val="center"/>
          </w:tcPr>
          <w:p w14:paraId="6CE94114"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(1)</w:t>
            </w:r>
          </w:p>
        </w:tc>
        <w:tc>
          <w:tcPr>
            <w:tcW w:w="1276" w:type="dxa"/>
            <w:tcBorders>
              <w:left w:val="nil"/>
              <w:right w:val="nil"/>
            </w:tcBorders>
            <w:shd w:val="clear" w:color="auto" w:fill="auto"/>
            <w:noWrap/>
            <w:vAlign w:val="center"/>
          </w:tcPr>
          <w:p w14:paraId="4B728A09"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28</w:t>
            </w:r>
          </w:p>
        </w:tc>
        <w:tc>
          <w:tcPr>
            <w:tcW w:w="1276" w:type="dxa"/>
            <w:tcBorders>
              <w:left w:val="nil"/>
            </w:tcBorders>
            <w:shd w:val="clear" w:color="auto" w:fill="auto"/>
            <w:noWrap/>
            <w:vAlign w:val="center"/>
          </w:tcPr>
          <w:p w14:paraId="04265929"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84.8</w:t>
            </w:r>
          </w:p>
        </w:tc>
      </w:tr>
      <w:tr w:rsidR="00B24196" w:rsidRPr="00975564" w14:paraId="40EFA505" w14:textId="77777777" w:rsidTr="00D65FE6">
        <w:trPr>
          <w:trHeight w:val="315"/>
        </w:trPr>
        <w:tc>
          <w:tcPr>
            <w:tcW w:w="6062" w:type="dxa"/>
            <w:shd w:val="clear" w:color="auto" w:fill="auto"/>
          </w:tcPr>
          <w:p w14:paraId="338161F5"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30R. The public health agency has or participates in an established structure to facilitate inclusion of community considerations in relevant aspects of public health emergency management. For example, a community advisory committee to inform emergency mitigation, planning and/or recovery including members of the public and/or advocacy groups that represent the public.</w:t>
            </w:r>
          </w:p>
        </w:tc>
        <w:tc>
          <w:tcPr>
            <w:tcW w:w="1521" w:type="dxa"/>
            <w:tcBorders>
              <w:right w:val="nil"/>
            </w:tcBorders>
            <w:shd w:val="clear" w:color="auto" w:fill="auto"/>
            <w:noWrap/>
            <w:vAlign w:val="center"/>
          </w:tcPr>
          <w:p w14:paraId="0597B01A"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(1)</w:t>
            </w:r>
          </w:p>
        </w:tc>
        <w:tc>
          <w:tcPr>
            <w:tcW w:w="1168" w:type="dxa"/>
            <w:tcBorders>
              <w:left w:val="nil"/>
              <w:right w:val="nil"/>
            </w:tcBorders>
            <w:shd w:val="clear" w:color="auto" w:fill="auto"/>
            <w:noWrap/>
            <w:vAlign w:val="center"/>
          </w:tcPr>
          <w:p w14:paraId="274B7C7C"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27</w:t>
            </w:r>
          </w:p>
        </w:tc>
        <w:tc>
          <w:tcPr>
            <w:tcW w:w="1311" w:type="dxa"/>
            <w:tcBorders>
              <w:left w:val="nil"/>
            </w:tcBorders>
            <w:shd w:val="clear" w:color="auto" w:fill="auto"/>
            <w:noWrap/>
            <w:vAlign w:val="center"/>
          </w:tcPr>
          <w:p w14:paraId="15F36CE1"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81.8</w:t>
            </w:r>
          </w:p>
        </w:tc>
        <w:tc>
          <w:tcPr>
            <w:tcW w:w="1495" w:type="dxa"/>
            <w:tcBorders>
              <w:right w:val="nil"/>
            </w:tcBorders>
            <w:shd w:val="clear" w:color="auto" w:fill="auto"/>
            <w:noWrap/>
            <w:vAlign w:val="center"/>
          </w:tcPr>
          <w:p w14:paraId="36A4A052"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(1)</w:t>
            </w:r>
          </w:p>
        </w:tc>
        <w:tc>
          <w:tcPr>
            <w:tcW w:w="1276" w:type="dxa"/>
            <w:tcBorders>
              <w:left w:val="nil"/>
              <w:right w:val="nil"/>
            </w:tcBorders>
            <w:shd w:val="clear" w:color="auto" w:fill="auto"/>
            <w:noWrap/>
            <w:vAlign w:val="center"/>
          </w:tcPr>
          <w:p w14:paraId="64A7468C"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27</w:t>
            </w:r>
          </w:p>
        </w:tc>
        <w:tc>
          <w:tcPr>
            <w:tcW w:w="1276" w:type="dxa"/>
            <w:tcBorders>
              <w:left w:val="nil"/>
            </w:tcBorders>
            <w:shd w:val="clear" w:color="auto" w:fill="auto"/>
            <w:noWrap/>
            <w:vAlign w:val="center"/>
          </w:tcPr>
          <w:p w14:paraId="004A641F"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81.8</w:t>
            </w:r>
          </w:p>
        </w:tc>
      </w:tr>
      <w:tr w:rsidR="00B24196" w:rsidRPr="00975564" w14:paraId="780B5F48" w14:textId="77777777" w:rsidTr="00D65FE6">
        <w:trPr>
          <w:trHeight w:val="315"/>
        </w:trPr>
        <w:tc>
          <w:tcPr>
            <w:tcW w:w="6062" w:type="dxa"/>
            <w:shd w:val="clear" w:color="auto" w:fill="auto"/>
          </w:tcPr>
          <w:p w14:paraId="449A8DA7"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31R. The public health agency dedicates time for the continuous development of relationships with community organizations relevant to preparedness for local risks and the agency context; for example, building relationships with members of the public and/or advocacy groups that represent the public.</w:t>
            </w:r>
          </w:p>
        </w:tc>
        <w:tc>
          <w:tcPr>
            <w:tcW w:w="1521" w:type="dxa"/>
            <w:tcBorders>
              <w:right w:val="nil"/>
            </w:tcBorders>
            <w:shd w:val="clear" w:color="auto" w:fill="auto"/>
            <w:noWrap/>
            <w:vAlign w:val="center"/>
          </w:tcPr>
          <w:p w14:paraId="783929EA"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shd w:val="clear" w:color="auto" w:fill="auto"/>
            <w:noWrap/>
            <w:vAlign w:val="center"/>
          </w:tcPr>
          <w:p w14:paraId="4409E593"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27</w:t>
            </w:r>
          </w:p>
        </w:tc>
        <w:tc>
          <w:tcPr>
            <w:tcW w:w="1311" w:type="dxa"/>
            <w:tcBorders>
              <w:left w:val="nil"/>
            </w:tcBorders>
            <w:shd w:val="clear" w:color="auto" w:fill="auto"/>
            <w:noWrap/>
            <w:vAlign w:val="center"/>
          </w:tcPr>
          <w:p w14:paraId="4AB92413"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81.8</w:t>
            </w:r>
          </w:p>
        </w:tc>
        <w:tc>
          <w:tcPr>
            <w:tcW w:w="1495" w:type="dxa"/>
            <w:tcBorders>
              <w:right w:val="nil"/>
            </w:tcBorders>
            <w:shd w:val="clear" w:color="auto" w:fill="auto"/>
            <w:noWrap/>
            <w:vAlign w:val="center"/>
          </w:tcPr>
          <w:p w14:paraId="3BA9C76B"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276" w:type="dxa"/>
            <w:tcBorders>
              <w:left w:val="nil"/>
              <w:right w:val="nil"/>
            </w:tcBorders>
            <w:shd w:val="clear" w:color="auto" w:fill="auto"/>
            <w:noWrap/>
            <w:vAlign w:val="center"/>
          </w:tcPr>
          <w:p w14:paraId="7B541787"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28</w:t>
            </w:r>
          </w:p>
        </w:tc>
        <w:tc>
          <w:tcPr>
            <w:tcW w:w="1276" w:type="dxa"/>
            <w:tcBorders>
              <w:left w:val="nil"/>
            </w:tcBorders>
            <w:shd w:val="clear" w:color="auto" w:fill="auto"/>
            <w:noWrap/>
            <w:vAlign w:val="center"/>
          </w:tcPr>
          <w:p w14:paraId="64179711"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84.8</w:t>
            </w:r>
          </w:p>
        </w:tc>
      </w:tr>
      <w:tr w:rsidR="00B24196" w:rsidRPr="00975564" w14:paraId="4DECC6B6" w14:textId="77777777" w:rsidTr="00D65FE6">
        <w:trPr>
          <w:trHeight w:val="315"/>
        </w:trPr>
        <w:tc>
          <w:tcPr>
            <w:tcW w:w="6062" w:type="dxa"/>
            <w:shd w:val="clear" w:color="auto" w:fill="auto"/>
          </w:tcPr>
          <w:p w14:paraId="675353E0"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 xml:space="preserve">10N. The public health agency and/or its network partners engage with Indigenous communities regarding emergencies and related risks. Engagement may include community-specific risk assessments, plans and/or protocols, and inclusion of traditional knowledge where possible and appropriate.     </w:t>
            </w:r>
          </w:p>
        </w:tc>
        <w:tc>
          <w:tcPr>
            <w:tcW w:w="1521" w:type="dxa"/>
            <w:tcBorders>
              <w:right w:val="nil"/>
            </w:tcBorders>
            <w:shd w:val="clear" w:color="auto" w:fill="auto"/>
            <w:noWrap/>
            <w:vAlign w:val="center"/>
          </w:tcPr>
          <w:p w14:paraId="02C5A8FF"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6 (1)</w:t>
            </w:r>
          </w:p>
        </w:tc>
        <w:tc>
          <w:tcPr>
            <w:tcW w:w="1168" w:type="dxa"/>
            <w:tcBorders>
              <w:left w:val="nil"/>
              <w:right w:val="nil"/>
            </w:tcBorders>
            <w:shd w:val="clear" w:color="auto" w:fill="auto"/>
            <w:noWrap/>
            <w:vAlign w:val="center"/>
          </w:tcPr>
          <w:p w14:paraId="73F0F256"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27</w:t>
            </w:r>
          </w:p>
        </w:tc>
        <w:tc>
          <w:tcPr>
            <w:tcW w:w="1311" w:type="dxa"/>
            <w:tcBorders>
              <w:left w:val="nil"/>
            </w:tcBorders>
            <w:shd w:val="clear" w:color="auto" w:fill="auto"/>
            <w:noWrap/>
            <w:vAlign w:val="center"/>
          </w:tcPr>
          <w:p w14:paraId="7D8DB3D1"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81.8</w:t>
            </w:r>
          </w:p>
        </w:tc>
        <w:tc>
          <w:tcPr>
            <w:tcW w:w="1495" w:type="dxa"/>
            <w:tcBorders>
              <w:right w:val="nil"/>
            </w:tcBorders>
            <w:shd w:val="clear" w:color="auto" w:fill="auto"/>
            <w:noWrap/>
            <w:vAlign w:val="center"/>
          </w:tcPr>
          <w:p w14:paraId="40386352"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5 (3)</w:t>
            </w:r>
          </w:p>
        </w:tc>
        <w:tc>
          <w:tcPr>
            <w:tcW w:w="1276" w:type="dxa"/>
            <w:tcBorders>
              <w:left w:val="nil"/>
              <w:right w:val="nil"/>
            </w:tcBorders>
            <w:shd w:val="clear" w:color="auto" w:fill="auto"/>
            <w:noWrap/>
            <w:vAlign w:val="center"/>
          </w:tcPr>
          <w:p w14:paraId="4E470725"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24</w:t>
            </w:r>
          </w:p>
        </w:tc>
        <w:tc>
          <w:tcPr>
            <w:tcW w:w="1276" w:type="dxa"/>
            <w:tcBorders>
              <w:left w:val="nil"/>
            </w:tcBorders>
            <w:shd w:val="clear" w:color="auto" w:fill="auto"/>
            <w:noWrap/>
            <w:vAlign w:val="center"/>
          </w:tcPr>
          <w:p w14:paraId="15EA05CA"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72.7</w:t>
            </w:r>
          </w:p>
        </w:tc>
      </w:tr>
      <w:tr w:rsidR="00B24196" w:rsidRPr="00975564" w14:paraId="0FD1F47B" w14:textId="77777777" w:rsidTr="00D65FE6">
        <w:trPr>
          <w:trHeight w:val="227"/>
        </w:trPr>
        <w:tc>
          <w:tcPr>
            <w:tcW w:w="6062" w:type="dxa"/>
            <w:shd w:val="clear" w:color="auto" w:fill="595959" w:themeFill="text1" w:themeFillTint="A6"/>
            <w:vAlign w:val="center"/>
            <w:hideMark/>
          </w:tcPr>
          <w:p w14:paraId="0F901407"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Communication</w:t>
            </w:r>
          </w:p>
        </w:tc>
        <w:tc>
          <w:tcPr>
            <w:tcW w:w="1521" w:type="dxa"/>
            <w:tcBorders>
              <w:right w:val="nil"/>
            </w:tcBorders>
            <w:shd w:val="clear" w:color="auto" w:fill="595959" w:themeFill="text1" w:themeFillTint="A6"/>
            <w:noWrap/>
            <w:vAlign w:val="center"/>
          </w:tcPr>
          <w:p w14:paraId="255D1734"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168" w:type="dxa"/>
            <w:tcBorders>
              <w:left w:val="nil"/>
              <w:bottom w:val="single" w:sz="4" w:space="0" w:color="auto"/>
              <w:right w:val="nil"/>
            </w:tcBorders>
            <w:shd w:val="clear" w:color="auto" w:fill="595959" w:themeFill="text1" w:themeFillTint="A6"/>
            <w:noWrap/>
            <w:vAlign w:val="center"/>
          </w:tcPr>
          <w:p w14:paraId="7F4FE461"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311" w:type="dxa"/>
            <w:tcBorders>
              <w:left w:val="nil"/>
            </w:tcBorders>
            <w:shd w:val="clear" w:color="auto" w:fill="595959" w:themeFill="text1" w:themeFillTint="A6"/>
            <w:noWrap/>
            <w:vAlign w:val="center"/>
          </w:tcPr>
          <w:p w14:paraId="36F949CF"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495" w:type="dxa"/>
            <w:tcBorders>
              <w:right w:val="nil"/>
            </w:tcBorders>
            <w:shd w:val="clear" w:color="auto" w:fill="595959" w:themeFill="text1" w:themeFillTint="A6"/>
            <w:noWrap/>
            <w:vAlign w:val="center"/>
          </w:tcPr>
          <w:p w14:paraId="14916BAF"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right w:val="nil"/>
            </w:tcBorders>
            <w:shd w:val="clear" w:color="auto" w:fill="595959" w:themeFill="text1" w:themeFillTint="A6"/>
            <w:noWrap/>
            <w:vAlign w:val="center"/>
          </w:tcPr>
          <w:p w14:paraId="29DCD81D"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tcBorders>
            <w:shd w:val="clear" w:color="auto" w:fill="595959" w:themeFill="text1" w:themeFillTint="A6"/>
            <w:noWrap/>
            <w:vAlign w:val="center"/>
          </w:tcPr>
          <w:p w14:paraId="185BAB93" w14:textId="77777777" w:rsidR="00B24196" w:rsidRPr="00975564" w:rsidRDefault="00B24196" w:rsidP="00D65FE6">
            <w:pPr>
              <w:jc w:val="center"/>
              <w:rPr>
                <w:rFonts w:ascii="Times New Roman" w:hAnsi="Times New Roman" w:cs="Times New Roman"/>
                <w:b/>
                <w:color w:val="FFFFFF" w:themeColor="background1"/>
                <w:sz w:val="20"/>
                <w:szCs w:val="20"/>
              </w:rPr>
            </w:pPr>
          </w:p>
        </w:tc>
      </w:tr>
      <w:tr w:rsidR="00B24196" w:rsidRPr="00975564" w14:paraId="262CB70D" w14:textId="77777777" w:rsidTr="00D65FE6">
        <w:trPr>
          <w:trHeight w:val="630"/>
        </w:trPr>
        <w:tc>
          <w:tcPr>
            <w:tcW w:w="6062" w:type="dxa"/>
          </w:tcPr>
          <w:p w14:paraId="049CD081"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39R. The public health agency has access to communications personnel that are dedicated to the emergency and appropriately trained in crisis communication.</w:t>
            </w:r>
          </w:p>
        </w:tc>
        <w:tc>
          <w:tcPr>
            <w:tcW w:w="1521" w:type="dxa"/>
            <w:tcBorders>
              <w:right w:val="nil"/>
            </w:tcBorders>
            <w:noWrap/>
            <w:vAlign w:val="center"/>
          </w:tcPr>
          <w:p w14:paraId="0EF792B9"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4AC47CFA"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31</w:t>
            </w:r>
          </w:p>
        </w:tc>
        <w:tc>
          <w:tcPr>
            <w:tcW w:w="1311" w:type="dxa"/>
            <w:tcBorders>
              <w:left w:val="nil"/>
            </w:tcBorders>
            <w:noWrap/>
            <w:vAlign w:val="center"/>
          </w:tcPr>
          <w:p w14:paraId="6EFB5E61"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93.9</w:t>
            </w:r>
          </w:p>
        </w:tc>
        <w:tc>
          <w:tcPr>
            <w:tcW w:w="1495" w:type="dxa"/>
            <w:tcBorders>
              <w:right w:val="nil"/>
            </w:tcBorders>
            <w:noWrap/>
            <w:vAlign w:val="center"/>
          </w:tcPr>
          <w:p w14:paraId="3C60AE18"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(1)</w:t>
            </w:r>
          </w:p>
        </w:tc>
        <w:tc>
          <w:tcPr>
            <w:tcW w:w="1276" w:type="dxa"/>
            <w:tcBorders>
              <w:left w:val="nil"/>
              <w:right w:val="nil"/>
            </w:tcBorders>
            <w:noWrap/>
            <w:vAlign w:val="center"/>
          </w:tcPr>
          <w:p w14:paraId="64039620"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28</w:t>
            </w:r>
          </w:p>
        </w:tc>
        <w:tc>
          <w:tcPr>
            <w:tcW w:w="1276" w:type="dxa"/>
            <w:tcBorders>
              <w:left w:val="nil"/>
            </w:tcBorders>
            <w:noWrap/>
            <w:vAlign w:val="center"/>
          </w:tcPr>
          <w:p w14:paraId="78A3276F"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84.8</w:t>
            </w:r>
          </w:p>
        </w:tc>
      </w:tr>
      <w:tr w:rsidR="00B24196" w:rsidRPr="00975564" w14:paraId="48C34FE7" w14:textId="77777777" w:rsidTr="00D65FE6">
        <w:trPr>
          <w:trHeight w:val="630"/>
        </w:trPr>
        <w:tc>
          <w:tcPr>
            <w:tcW w:w="6062" w:type="dxa"/>
          </w:tcPr>
          <w:p w14:paraId="1C772C97"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11N. The public health agency has a mechanism to formally or informally coordinate joint messaging with relevant network partners in a timely manner.</w:t>
            </w:r>
          </w:p>
        </w:tc>
        <w:tc>
          <w:tcPr>
            <w:tcW w:w="1521" w:type="dxa"/>
            <w:tcBorders>
              <w:right w:val="nil"/>
            </w:tcBorders>
            <w:noWrap/>
            <w:vAlign w:val="center"/>
          </w:tcPr>
          <w:p w14:paraId="22F65F8B"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6 (1)</w:t>
            </w:r>
          </w:p>
        </w:tc>
        <w:tc>
          <w:tcPr>
            <w:tcW w:w="1168" w:type="dxa"/>
            <w:tcBorders>
              <w:left w:val="nil"/>
              <w:right w:val="nil"/>
            </w:tcBorders>
            <w:noWrap/>
            <w:vAlign w:val="center"/>
          </w:tcPr>
          <w:p w14:paraId="60BC244C"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33</w:t>
            </w:r>
          </w:p>
        </w:tc>
        <w:tc>
          <w:tcPr>
            <w:tcW w:w="1311" w:type="dxa"/>
            <w:tcBorders>
              <w:left w:val="nil"/>
            </w:tcBorders>
            <w:noWrap/>
            <w:vAlign w:val="center"/>
          </w:tcPr>
          <w:p w14:paraId="2CC9586B"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100</w:t>
            </w:r>
          </w:p>
        </w:tc>
        <w:tc>
          <w:tcPr>
            <w:tcW w:w="1495" w:type="dxa"/>
            <w:tcBorders>
              <w:right w:val="nil"/>
            </w:tcBorders>
            <w:noWrap/>
            <w:vAlign w:val="center"/>
          </w:tcPr>
          <w:p w14:paraId="4351CE6C"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6 (1)</w:t>
            </w:r>
          </w:p>
        </w:tc>
        <w:tc>
          <w:tcPr>
            <w:tcW w:w="1276" w:type="dxa"/>
            <w:tcBorders>
              <w:left w:val="nil"/>
              <w:right w:val="nil"/>
            </w:tcBorders>
            <w:noWrap/>
            <w:vAlign w:val="center"/>
          </w:tcPr>
          <w:p w14:paraId="3468DF00"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27</w:t>
            </w:r>
          </w:p>
        </w:tc>
        <w:tc>
          <w:tcPr>
            <w:tcW w:w="1276" w:type="dxa"/>
            <w:tcBorders>
              <w:left w:val="nil"/>
            </w:tcBorders>
            <w:noWrap/>
            <w:vAlign w:val="center"/>
          </w:tcPr>
          <w:p w14:paraId="363FCDB4"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81.8</w:t>
            </w:r>
          </w:p>
        </w:tc>
      </w:tr>
      <w:tr w:rsidR="00B24196" w:rsidRPr="00975564" w14:paraId="487A79A0" w14:textId="77777777" w:rsidTr="00D65FE6">
        <w:trPr>
          <w:trHeight w:val="630"/>
        </w:trPr>
        <w:tc>
          <w:tcPr>
            <w:tcW w:w="6062" w:type="dxa"/>
          </w:tcPr>
          <w:p w14:paraId="07DD1EC6"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12N. The public health agency communication strategy includes procedures for directly reaching citizens during an emergency, if required. For example, door-to-door, giving out pamphlets, engaging in informal street/neighbourhood gatherings.</w:t>
            </w:r>
          </w:p>
        </w:tc>
        <w:tc>
          <w:tcPr>
            <w:tcW w:w="1521" w:type="dxa"/>
            <w:tcBorders>
              <w:right w:val="nil"/>
            </w:tcBorders>
            <w:noWrap/>
            <w:vAlign w:val="center"/>
          </w:tcPr>
          <w:p w14:paraId="48F23AD7"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6 (2)</w:t>
            </w:r>
          </w:p>
        </w:tc>
        <w:tc>
          <w:tcPr>
            <w:tcW w:w="1168" w:type="dxa"/>
            <w:tcBorders>
              <w:left w:val="nil"/>
              <w:right w:val="nil"/>
            </w:tcBorders>
            <w:noWrap/>
            <w:vAlign w:val="center"/>
          </w:tcPr>
          <w:p w14:paraId="0FC82AB1"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27</w:t>
            </w:r>
          </w:p>
        </w:tc>
        <w:tc>
          <w:tcPr>
            <w:tcW w:w="1311" w:type="dxa"/>
            <w:tcBorders>
              <w:left w:val="nil"/>
            </w:tcBorders>
            <w:noWrap/>
            <w:vAlign w:val="center"/>
          </w:tcPr>
          <w:p w14:paraId="0D1A80F3"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81.8</w:t>
            </w:r>
          </w:p>
        </w:tc>
        <w:tc>
          <w:tcPr>
            <w:tcW w:w="1495" w:type="dxa"/>
            <w:tcBorders>
              <w:right w:val="nil"/>
            </w:tcBorders>
            <w:noWrap/>
            <w:vAlign w:val="center"/>
          </w:tcPr>
          <w:p w14:paraId="4CD1AA0A"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6 (1)</w:t>
            </w:r>
          </w:p>
        </w:tc>
        <w:tc>
          <w:tcPr>
            <w:tcW w:w="1276" w:type="dxa"/>
            <w:tcBorders>
              <w:left w:val="nil"/>
              <w:right w:val="nil"/>
            </w:tcBorders>
            <w:noWrap/>
            <w:vAlign w:val="center"/>
          </w:tcPr>
          <w:p w14:paraId="22753194"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26</w:t>
            </w:r>
          </w:p>
        </w:tc>
        <w:tc>
          <w:tcPr>
            <w:tcW w:w="1276" w:type="dxa"/>
            <w:tcBorders>
              <w:left w:val="nil"/>
            </w:tcBorders>
            <w:noWrap/>
            <w:vAlign w:val="center"/>
          </w:tcPr>
          <w:p w14:paraId="04FBBC7B"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78.8</w:t>
            </w:r>
          </w:p>
        </w:tc>
      </w:tr>
      <w:tr w:rsidR="00B24196" w:rsidRPr="00975564" w14:paraId="22C8BB05" w14:textId="77777777" w:rsidTr="00D65FE6">
        <w:trPr>
          <w:trHeight w:val="630"/>
        </w:trPr>
        <w:tc>
          <w:tcPr>
            <w:tcW w:w="6062" w:type="dxa"/>
          </w:tcPr>
          <w:p w14:paraId="1D98B8C8"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 xml:space="preserve">13N. The public health agency communication strategy includes plans and/or procedures for ensuring cultural competency and/or sensitivity to impacted communities for relevant risks and the emergency context. </w:t>
            </w:r>
            <w:r w:rsidRPr="00975564">
              <w:rPr>
                <w:rFonts w:ascii="Times New Roman" w:hAnsi="Times New Roman" w:cs="Times New Roman"/>
                <w:sz w:val="20"/>
                <w:szCs w:val="20"/>
              </w:rPr>
              <w:lastRenderedPageBreak/>
              <w:t>This includes procedures for translation of messages to relevant languages.</w:t>
            </w:r>
          </w:p>
        </w:tc>
        <w:tc>
          <w:tcPr>
            <w:tcW w:w="1521" w:type="dxa"/>
            <w:tcBorders>
              <w:right w:val="nil"/>
            </w:tcBorders>
            <w:noWrap/>
            <w:vAlign w:val="center"/>
          </w:tcPr>
          <w:p w14:paraId="06F59957"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lastRenderedPageBreak/>
              <w:t>7 (1)</w:t>
            </w:r>
          </w:p>
        </w:tc>
        <w:tc>
          <w:tcPr>
            <w:tcW w:w="1168" w:type="dxa"/>
            <w:tcBorders>
              <w:left w:val="nil"/>
              <w:right w:val="nil"/>
            </w:tcBorders>
            <w:noWrap/>
            <w:vAlign w:val="center"/>
          </w:tcPr>
          <w:p w14:paraId="1708596D"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30</w:t>
            </w:r>
          </w:p>
        </w:tc>
        <w:tc>
          <w:tcPr>
            <w:tcW w:w="1311" w:type="dxa"/>
            <w:tcBorders>
              <w:left w:val="nil"/>
            </w:tcBorders>
            <w:noWrap/>
            <w:vAlign w:val="center"/>
          </w:tcPr>
          <w:p w14:paraId="365B74A1"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90.9</w:t>
            </w:r>
          </w:p>
        </w:tc>
        <w:tc>
          <w:tcPr>
            <w:tcW w:w="1495" w:type="dxa"/>
            <w:tcBorders>
              <w:right w:val="nil"/>
            </w:tcBorders>
            <w:noWrap/>
            <w:vAlign w:val="center"/>
          </w:tcPr>
          <w:p w14:paraId="6D9609A5"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6 (2)</w:t>
            </w:r>
          </w:p>
        </w:tc>
        <w:tc>
          <w:tcPr>
            <w:tcW w:w="1276" w:type="dxa"/>
            <w:tcBorders>
              <w:left w:val="nil"/>
              <w:right w:val="nil"/>
            </w:tcBorders>
            <w:noWrap/>
            <w:vAlign w:val="center"/>
          </w:tcPr>
          <w:p w14:paraId="2FFCF1E2"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29</w:t>
            </w:r>
          </w:p>
        </w:tc>
        <w:tc>
          <w:tcPr>
            <w:tcW w:w="1276" w:type="dxa"/>
            <w:tcBorders>
              <w:left w:val="nil"/>
            </w:tcBorders>
            <w:noWrap/>
            <w:vAlign w:val="center"/>
          </w:tcPr>
          <w:p w14:paraId="15D83728"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87.9</w:t>
            </w:r>
          </w:p>
        </w:tc>
      </w:tr>
      <w:tr w:rsidR="00B24196" w:rsidRPr="00975564" w14:paraId="32F7A9F9" w14:textId="77777777" w:rsidTr="00D65FE6">
        <w:trPr>
          <w:trHeight w:val="630"/>
        </w:trPr>
        <w:tc>
          <w:tcPr>
            <w:tcW w:w="6062" w:type="dxa"/>
          </w:tcPr>
          <w:p w14:paraId="09BB7F38"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14N. The public health agency has identified trained spokesperson(s) for the agency relevant to community risks and the emergency context.</w:t>
            </w:r>
          </w:p>
        </w:tc>
        <w:tc>
          <w:tcPr>
            <w:tcW w:w="1521" w:type="dxa"/>
            <w:tcBorders>
              <w:right w:val="nil"/>
            </w:tcBorders>
            <w:noWrap/>
            <w:vAlign w:val="center"/>
          </w:tcPr>
          <w:p w14:paraId="790C36FF"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6 (1)</w:t>
            </w:r>
          </w:p>
        </w:tc>
        <w:tc>
          <w:tcPr>
            <w:tcW w:w="1168" w:type="dxa"/>
            <w:tcBorders>
              <w:left w:val="nil"/>
              <w:right w:val="nil"/>
            </w:tcBorders>
            <w:noWrap/>
            <w:vAlign w:val="center"/>
          </w:tcPr>
          <w:p w14:paraId="64A6C28E"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31</w:t>
            </w:r>
          </w:p>
        </w:tc>
        <w:tc>
          <w:tcPr>
            <w:tcW w:w="1311" w:type="dxa"/>
            <w:tcBorders>
              <w:left w:val="nil"/>
            </w:tcBorders>
            <w:noWrap/>
            <w:vAlign w:val="center"/>
          </w:tcPr>
          <w:p w14:paraId="6C82AD68"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93.9</w:t>
            </w:r>
          </w:p>
        </w:tc>
        <w:tc>
          <w:tcPr>
            <w:tcW w:w="1495" w:type="dxa"/>
            <w:tcBorders>
              <w:right w:val="nil"/>
            </w:tcBorders>
            <w:noWrap/>
            <w:vAlign w:val="center"/>
          </w:tcPr>
          <w:p w14:paraId="6C43573B"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6 (1)</w:t>
            </w:r>
          </w:p>
        </w:tc>
        <w:tc>
          <w:tcPr>
            <w:tcW w:w="1276" w:type="dxa"/>
            <w:tcBorders>
              <w:left w:val="nil"/>
              <w:right w:val="nil"/>
            </w:tcBorders>
            <w:noWrap/>
            <w:vAlign w:val="center"/>
          </w:tcPr>
          <w:p w14:paraId="6E76545D"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30</w:t>
            </w:r>
          </w:p>
        </w:tc>
        <w:tc>
          <w:tcPr>
            <w:tcW w:w="1276" w:type="dxa"/>
            <w:tcBorders>
              <w:left w:val="nil"/>
            </w:tcBorders>
            <w:noWrap/>
            <w:vAlign w:val="center"/>
          </w:tcPr>
          <w:p w14:paraId="4C8F5D35"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90.9</w:t>
            </w:r>
          </w:p>
        </w:tc>
      </w:tr>
      <w:tr w:rsidR="00B24196" w:rsidRPr="00975564" w14:paraId="0F01447D" w14:textId="77777777" w:rsidTr="00D65FE6">
        <w:trPr>
          <w:trHeight w:val="227"/>
        </w:trPr>
        <w:tc>
          <w:tcPr>
            <w:tcW w:w="6062" w:type="dxa"/>
            <w:shd w:val="clear" w:color="auto" w:fill="595959" w:themeFill="text1" w:themeFillTint="A6"/>
            <w:vAlign w:val="center"/>
            <w:hideMark/>
          </w:tcPr>
          <w:p w14:paraId="624088A0"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Workforce Capacity</w:t>
            </w:r>
          </w:p>
        </w:tc>
        <w:tc>
          <w:tcPr>
            <w:tcW w:w="1521" w:type="dxa"/>
            <w:tcBorders>
              <w:right w:val="nil"/>
            </w:tcBorders>
            <w:shd w:val="clear" w:color="auto" w:fill="595959" w:themeFill="text1" w:themeFillTint="A6"/>
            <w:noWrap/>
            <w:vAlign w:val="center"/>
          </w:tcPr>
          <w:p w14:paraId="60C653CA"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168" w:type="dxa"/>
            <w:tcBorders>
              <w:left w:val="nil"/>
              <w:right w:val="nil"/>
            </w:tcBorders>
            <w:shd w:val="clear" w:color="auto" w:fill="595959" w:themeFill="text1" w:themeFillTint="A6"/>
            <w:noWrap/>
            <w:vAlign w:val="center"/>
          </w:tcPr>
          <w:p w14:paraId="33895B47"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311" w:type="dxa"/>
            <w:tcBorders>
              <w:left w:val="nil"/>
            </w:tcBorders>
            <w:shd w:val="clear" w:color="auto" w:fill="595959" w:themeFill="text1" w:themeFillTint="A6"/>
            <w:noWrap/>
            <w:vAlign w:val="center"/>
          </w:tcPr>
          <w:p w14:paraId="377F860A"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495" w:type="dxa"/>
            <w:tcBorders>
              <w:right w:val="nil"/>
            </w:tcBorders>
            <w:shd w:val="clear" w:color="auto" w:fill="595959" w:themeFill="text1" w:themeFillTint="A6"/>
            <w:noWrap/>
            <w:vAlign w:val="center"/>
          </w:tcPr>
          <w:p w14:paraId="3245FFE8"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right w:val="nil"/>
            </w:tcBorders>
            <w:shd w:val="clear" w:color="auto" w:fill="595959" w:themeFill="text1" w:themeFillTint="A6"/>
            <w:noWrap/>
            <w:vAlign w:val="center"/>
          </w:tcPr>
          <w:p w14:paraId="42772BB1"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tcBorders>
            <w:shd w:val="clear" w:color="auto" w:fill="595959" w:themeFill="text1" w:themeFillTint="A6"/>
            <w:noWrap/>
            <w:vAlign w:val="center"/>
          </w:tcPr>
          <w:p w14:paraId="70D3F8EB" w14:textId="77777777" w:rsidR="00B24196" w:rsidRPr="00975564" w:rsidRDefault="00B24196" w:rsidP="00D65FE6">
            <w:pPr>
              <w:jc w:val="center"/>
              <w:rPr>
                <w:rFonts w:ascii="Times New Roman" w:hAnsi="Times New Roman" w:cs="Times New Roman"/>
                <w:b/>
                <w:color w:val="FFFFFF" w:themeColor="background1"/>
                <w:sz w:val="20"/>
                <w:szCs w:val="20"/>
              </w:rPr>
            </w:pPr>
          </w:p>
        </w:tc>
      </w:tr>
      <w:tr w:rsidR="00B24196" w:rsidRPr="00975564" w14:paraId="2577AAB8" w14:textId="77777777" w:rsidTr="00D65FE6">
        <w:trPr>
          <w:trHeight w:val="318"/>
        </w:trPr>
        <w:tc>
          <w:tcPr>
            <w:tcW w:w="6062" w:type="dxa"/>
          </w:tcPr>
          <w:p w14:paraId="3EAD1F4A"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40R. The public health agency has a structure and/or mechanism to support multi-disciplinary emergency management relevant to community risks; for example, a multi-disciplinary team of public health professionals, epidemiologists, and environmental health officers.</w:t>
            </w:r>
          </w:p>
        </w:tc>
        <w:tc>
          <w:tcPr>
            <w:tcW w:w="1521" w:type="dxa"/>
            <w:tcBorders>
              <w:right w:val="nil"/>
            </w:tcBorders>
            <w:noWrap/>
            <w:vAlign w:val="center"/>
          </w:tcPr>
          <w:p w14:paraId="12963659"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 (1)</w:t>
            </w:r>
          </w:p>
        </w:tc>
        <w:tc>
          <w:tcPr>
            <w:tcW w:w="1168" w:type="dxa"/>
            <w:tcBorders>
              <w:left w:val="nil"/>
              <w:right w:val="nil"/>
            </w:tcBorders>
            <w:noWrap/>
            <w:vAlign w:val="center"/>
          </w:tcPr>
          <w:p w14:paraId="27AFAD5B"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30</w:t>
            </w:r>
          </w:p>
        </w:tc>
        <w:tc>
          <w:tcPr>
            <w:tcW w:w="1311" w:type="dxa"/>
            <w:tcBorders>
              <w:left w:val="nil"/>
            </w:tcBorders>
            <w:noWrap/>
            <w:vAlign w:val="center"/>
          </w:tcPr>
          <w:p w14:paraId="199A384E"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90.9</w:t>
            </w:r>
          </w:p>
        </w:tc>
        <w:tc>
          <w:tcPr>
            <w:tcW w:w="1495" w:type="dxa"/>
            <w:tcBorders>
              <w:right w:val="nil"/>
            </w:tcBorders>
            <w:noWrap/>
            <w:vAlign w:val="center"/>
          </w:tcPr>
          <w:p w14:paraId="4C6EBD4F"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276" w:type="dxa"/>
            <w:tcBorders>
              <w:left w:val="nil"/>
              <w:right w:val="nil"/>
            </w:tcBorders>
            <w:noWrap/>
            <w:vAlign w:val="center"/>
          </w:tcPr>
          <w:p w14:paraId="4F6169A6"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27</w:t>
            </w:r>
          </w:p>
        </w:tc>
        <w:tc>
          <w:tcPr>
            <w:tcW w:w="1276" w:type="dxa"/>
            <w:tcBorders>
              <w:left w:val="nil"/>
            </w:tcBorders>
            <w:noWrap/>
            <w:vAlign w:val="center"/>
          </w:tcPr>
          <w:p w14:paraId="671ED8FF"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81.8</w:t>
            </w:r>
          </w:p>
        </w:tc>
      </w:tr>
      <w:tr w:rsidR="00B24196" w:rsidRPr="00975564" w14:paraId="206B4893" w14:textId="77777777" w:rsidTr="00D65FE6">
        <w:trPr>
          <w:trHeight w:val="340"/>
        </w:trPr>
        <w:tc>
          <w:tcPr>
            <w:tcW w:w="6062" w:type="dxa"/>
          </w:tcPr>
          <w:p w14:paraId="7ADD26E3"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44R. The public health agency has a roster of its workforce available for the management of, or potential for, emergencies on a 24/7/365 basis.</w:t>
            </w:r>
          </w:p>
        </w:tc>
        <w:tc>
          <w:tcPr>
            <w:tcW w:w="1521" w:type="dxa"/>
            <w:tcBorders>
              <w:right w:val="nil"/>
            </w:tcBorders>
            <w:noWrap/>
            <w:vAlign w:val="center"/>
          </w:tcPr>
          <w:p w14:paraId="1129CEB3"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 (1)</w:t>
            </w:r>
          </w:p>
        </w:tc>
        <w:tc>
          <w:tcPr>
            <w:tcW w:w="1168" w:type="dxa"/>
            <w:tcBorders>
              <w:left w:val="nil"/>
              <w:right w:val="nil"/>
            </w:tcBorders>
            <w:noWrap/>
            <w:vAlign w:val="center"/>
          </w:tcPr>
          <w:p w14:paraId="0BEB62CD"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32</w:t>
            </w:r>
          </w:p>
        </w:tc>
        <w:tc>
          <w:tcPr>
            <w:tcW w:w="1311" w:type="dxa"/>
            <w:tcBorders>
              <w:left w:val="nil"/>
            </w:tcBorders>
            <w:noWrap/>
            <w:vAlign w:val="center"/>
          </w:tcPr>
          <w:p w14:paraId="603A07AC"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97.0</w:t>
            </w:r>
          </w:p>
        </w:tc>
        <w:tc>
          <w:tcPr>
            <w:tcW w:w="1495" w:type="dxa"/>
            <w:tcBorders>
              <w:right w:val="nil"/>
            </w:tcBorders>
            <w:noWrap/>
            <w:vAlign w:val="center"/>
          </w:tcPr>
          <w:p w14:paraId="2D4529FA"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276" w:type="dxa"/>
            <w:tcBorders>
              <w:left w:val="nil"/>
              <w:right w:val="nil"/>
            </w:tcBorders>
            <w:noWrap/>
            <w:vAlign w:val="center"/>
          </w:tcPr>
          <w:p w14:paraId="51682327"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31</w:t>
            </w:r>
          </w:p>
        </w:tc>
        <w:tc>
          <w:tcPr>
            <w:tcW w:w="1276" w:type="dxa"/>
            <w:tcBorders>
              <w:left w:val="nil"/>
            </w:tcBorders>
            <w:noWrap/>
            <w:vAlign w:val="center"/>
          </w:tcPr>
          <w:p w14:paraId="23196603"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93.9</w:t>
            </w:r>
          </w:p>
        </w:tc>
      </w:tr>
      <w:tr w:rsidR="00B24196" w:rsidRPr="00975564" w14:paraId="7CB9C6A8" w14:textId="77777777" w:rsidTr="00D65FE6">
        <w:trPr>
          <w:trHeight w:val="227"/>
        </w:trPr>
        <w:tc>
          <w:tcPr>
            <w:tcW w:w="6062" w:type="dxa"/>
            <w:shd w:val="clear" w:color="auto" w:fill="595959" w:themeFill="text1" w:themeFillTint="A6"/>
            <w:vAlign w:val="center"/>
            <w:hideMark/>
          </w:tcPr>
          <w:p w14:paraId="4ECBEDD1"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Surveillance and Monitoring</w:t>
            </w:r>
          </w:p>
        </w:tc>
        <w:tc>
          <w:tcPr>
            <w:tcW w:w="1521" w:type="dxa"/>
            <w:tcBorders>
              <w:right w:val="nil"/>
            </w:tcBorders>
            <w:shd w:val="clear" w:color="auto" w:fill="595959" w:themeFill="text1" w:themeFillTint="A6"/>
            <w:noWrap/>
            <w:vAlign w:val="center"/>
          </w:tcPr>
          <w:p w14:paraId="006F5088"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168" w:type="dxa"/>
            <w:tcBorders>
              <w:left w:val="nil"/>
              <w:right w:val="nil"/>
            </w:tcBorders>
            <w:shd w:val="clear" w:color="auto" w:fill="595959" w:themeFill="text1" w:themeFillTint="A6"/>
            <w:noWrap/>
            <w:vAlign w:val="center"/>
          </w:tcPr>
          <w:p w14:paraId="49713092"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311" w:type="dxa"/>
            <w:tcBorders>
              <w:left w:val="nil"/>
            </w:tcBorders>
            <w:shd w:val="clear" w:color="auto" w:fill="595959" w:themeFill="text1" w:themeFillTint="A6"/>
            <w:noWrap/>
            <w:vAlign w:val="center"/>
          </w:tcPr>
          <w:p w14:paraId="16612F9A"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495" w:type="dxa"/>
            <w:tcBorders>
              <w:right w:val="nil"/>
            </w:tcBorders>
            <w:shd w:val="clear" w:color="auto" w:fill="595959" w:themeFill="text1" w:themeFillTint="A6"/>
            <w:noWrap/>
            <w:vAlign w:val="center"/>
          </w:tcPr>
          <w:p w14:paraId="296BEEBA"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right w:val="nil"/>
            </w:tcBorders>
            <w:shd w:val="clear" w:color="auto" w:fill="595959" w:themeFill="text1" w:themeFillTint="A6"/>
            <w:noWrap/>
            <w:vAlign w:val="center"/>
          </w:tcPr>
          <w:p w14:paraId="2CB22FDC"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tcBorders>
            <w:shd w:val="clear" w:color="auto" w:fill="595959" w:themeFill="text1" w:themeFillTint="A6"/>
            <w:noWrap/>
            <w:vAlign w:val="center"/>
          </w:tcPr>
          <w:p w14:paraId="4AE2E00A" w14:textId="77777777" w:rsidR="00B24196" w:rsidRPr="00975564" w:rsidRDefault="00B24196" w:rsidP="00D65FE6">
            <w:pPr>
              <w:jc w:val="center"/>
              <w:rPr>
                <w:rFonts w:ascii="Times New Roman" w:hAnsi="Times New Roman" w:cs="Times New Roman"/>
                <w:b/>
                <w:color w:val="FFFFFF" w:themeColor="background1"/>
                <w:sz w:val="20"/>
                <w:szCs w:val="20"/>
              </w:rPr>
            </w:pPr>
          </w:p>
        </w:tc>
      </w:tr>
      <w:tr w:rsidR="00B24196" w:rsidRPr="00975564" w14:paraId="3A761886" w14:textId="77777777" w:rsidTr="00D65FE6">
        <w:trPr>
          <w:trHeight w:val="630"/>
        </w:trPr>
        <w:tc>
          <w:tcPr>
            <w:tcW w:w="6062" w:type="dxa"/>
          </w:tcPr>
          <w:p w14:paraId="7E0711DD"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color w:val="000000"/>
                <w:sz w:val="20"/>
                <w:szCs w:val="20"/>
              </w:rPr>
              <w:t>48R. The public health agency has the capability for or access to enhanced and/or event-based surveillance systems relevant to local/regional risks.</w:t>
            </w:r>
          </w:p>
        </w:tc>
        <w:tc>
          <w:tcPr>
            <w:tcW w:w="1521" w:type="dxa"/>
            <w:tcBorders>
              <w:right w:val="nil"/>
            </w:tcBorders>
            <w:noWrap/>
            <w:vAlign w:val="center"/>
          </w:tcPr>
          <w:p w14:paraId="70454EC8"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 (1)</w:t>
            </w:r>
          </w:p>
        </w:tc>
        <w:tc>
          <w:tcPr>
            <w:tcW w:w="1168" w:type="dxa"/>
            <w:tcBorders>
              <w:left w:val="nil"/>
              <w:right w:val="nil"/>
            </w:tcBorders>
            <w:noWrap/>
            <w:vAlign w:val="center"/>
          </w:tcPr>
          <w:p w14:paraId="2DEC4678"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33</w:t>
            </w:r>
          </w:p>
        </w:tc>
        <w:tc>
          <w:tcPr>
            <w:tcW w:w="1311" w:type="dxa"/>
            <w:tcBorders>
              <w:left w:val="nil"/>
            </w:tcBorders>
            <w:noWrap/>
            <w:vAlign w:val="center"/>
          </w:tcPr>
          <w:p w14:paraId="5C582E27"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100</w:t>
            </w:r>
          </w:p>
        </w:tc>
        <w:tc>
          <w:tcPr>
            <w:tcW w:w="1495" w:type="dxa"/>
            <w:tcBorders>
              <w:right w:val="nil"/>
            </w:tcBorders>
            <w:noWrap/>
            <w:vAlign w:val="center"/>
          </w:tcPr>
          <w:p w14:paraId="3DEF6FBA"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(3)</w:t>
            </w:r>
          </w:p>
        </w:tc>
        <w:tc>
          <w:tcPr>
            <w:tcW w:w="1276" w:type="dxa"/>
            <w:tcBorders>
              <w:left w:val="nil"/>
              <w:right w:val="nil"/>
            </w:tcBorders>
            <w:noWrap/>
            <w:vAlign w:val="center"/>
          </w:tcPr>
          <w:p w14:paraId="259DF914"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24</w:t>
            </w:r>
          </w:p>
        </w:tc>
        <w:tc>
          <w:tcPr>
            <w:tcW w:w="1276" w:type="dxa"/>
            <w:tcBorders>
              <w:left w:val="nil"/>
            </w:tcBorders>
            <w:noWrap/>
            <w:vAlign w:val="center"/>
          </w:tcPr>
          <w:p w14:paraId="38694B2F"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72.7</w:t>
            </w:r>
          </w:p>
        </w:tc>
      </w:tr>
      <w:tr w:rsidR="00B24196" w:rsidRPr="00975564" w14:paraId="3BD65952" w14:textId="77777777" w:rsidTr="00D65FE6">
        <w:trPr>
          <w:trHeight w:val="630"/>
        </w:trPr>
        <w:tc>
          <w:tcPr>
            <w:tcW w:w="6062" w:type="dxa"/>
          </w:tcPr>
          <w:p w14:paraId="5F97AD56"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50R. The public health agency has protocols and/or processes for information-sharing with network partners for purposes of surveillance of relevant risks; for example, with agricultural, veterinary or environmental surveillance systems.</w:t>
            </w:r>
          </w:p>
        </w:tc>
        <w:tc>
          <w:tcPr>
            <w:tcW w:w="1521" w:type="dxa"/>
            <w:tcBorders>
              <w:right w:val="nil"/>
            </w:tcBorders>
            <w:noWrap/>
            <w:vAlign w:val="center"/>
          </w:tcPr>
          <w:p w14:paraId="58E1A238"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63192059"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31</w:t>
            </w:r>
          </w:p>
        </w:tc>
        <w:tc>
          <w:tcPr>
            <w:tcW w:w="1311" w:type="dxa"/>
            <w:tcBorders>
              <w:left w:val="nil"/>
            </w:tcBorders>
            <w:noWrap/>
            <w:vAlign w:val="center"/>
          </w:tcPr>
          <w:p w14:paraId="55FAE6A6"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93.9</w:t>
            </w:r>
          </w:p>
        </w:tc>
        <w:tc>
          <w:tcPr>
            <w:tcW w:w="1495" w:type="dxa"/>
            <w:tcBorders>
              <w:right w:val="nil"/>
            </w:tcBorders>
            <w:noWrap/>
            <w:vAlign w:val="center"/>
          </w:tcPr>
          <w:p w14:paraId="156F52DD"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(1)</w:t>
            </w:r>
          </w:p>
        </w:tc>
        <w:tc>
          <w:tcPr>
            <w:tcW w:w="1276" w:type="dxa"/>
            <w:tcBorders>
              <w:left w:val="nil"/>
              <w:right w:val="nil"/>
            </w:tcBorders>
            <w:noWrap/>
            <w:vAlign w:val="center"/>
          </w:tcPr>
          <w:p w14:paraId="6ACA929E"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26</w:t>
            </w:r>
          </w:p>
        </w:tc>
        <w:tc>
          <w:tcPr>
            <w:tcW w:w="1276" w:type="dxa"/>
            <w:tcBorders>
              <w:left w:val="nil"/>
            </w:tcBorders>
            <w:noWrap/>
            <w:vAlign w:val="center"/>
          </w:tcPr>
          <w:p w14:paraId="7867A949"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78.8</w:t>
            </w:r>
          </w:p>
        </w:tc>
      </w:tr>
      <w:tr w:rsidR="00B24196" w:rsidRPr="00975564" w14:paraId="78F69773" w14:textId="77777777" w:rsidTr="00D65FE6">
        <w:trPr>
          <w:trHeight w:val="227"/>
        </w:trPr>
        <w:tc>
          <w:tcPr>
            <w:tcW w:w="6062" w:type="dxa"/>
            <w:shd w:val="clear" w:color="auto" w:fill="595959" w:themeFill="text1" w:themeFillTint="A6"/>
            <w:vAlign w:val="center"/>
          </w:tcPr>
          <w:p w14:paraId="292D65BF"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Practice and Experience</w:t>
            </w:r>
          </w:p>
        </w:tc>
        <w:tc>
          <w:tcPr>
            <w:tcW w:w="1521" w:type="dxa"/>
            <w:tcBorders>
              <w:right w:val="nil"/>
            </w:tcBorders>
            <w:shd w:val="clear" w:color="auto" w:fill="595959" w:themeFill="text1" w:themeFillTint="A6"/>
            <w:noWrap/>
            <w:vAlign w:val="center"/>
          </w:tcPr>
          <w:p w14:paraId="4DA52AC0"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168" w:type="dxa"/>
            <w:tcBorders>
              <w:left w:val="nil"/>
              <w:right w:val="nil"/>
            </w:tcBorders>
            <w:shd w:val="clear" w:color="auto" w:fill="595959" w:themeFill="text1" w:themeFillTint="A6"/>
            <w:noWrap/>
            <w:vAlign w:val="center"/>
          </w:tcPr>
          <w:p w14:paraId="5465E3D6"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311" w:type="dxa"/>
            <w:tcBorders>
              <w:left w:val="nil"/>
            </w:tcBorders>
            <w:shd w:val="clear" w:color="auto" w:fill="595959" w:themeFill="text1" w:themeFillTint="A6"/>
            <w:noWrap/>
            <w:vAlign w:val="center"/>
          </w:tcPr>
          <w:p w14:paraId="63E26BA5"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495" w:type="dxa"/>
            <w:tcBorders>
              <w:right w:val="nil"/>
            </w:tcBorders>
            <w:shd w:val="clear" w:color="auto" w:fill="595959" w:themeFill="text1" w:themeFillTint="A6"/>
            <w:noWrap/>
            <w:vAlign w:val="center"/>
          </w:tcPr>
          <w:p w14:paraId="00489028"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right w:val="nil"/>
            </w:tcBorders>
            <w:shd w:val="clear" w:color="auto" w:fill="595959" w:themeFill="text1" w:themeFillTint="A6"/>
            <w:noWrap/>
            <w:vAlign w:val="center"/>
          </w:tcPr>
          <w:p w14:paraId="7ACF01A1"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tcBorders>
            <w:shd w:val="clear" w:color="auto" w:fill="595959" w:themeFill="text1" w:themeFillTint="A6"/>
            <w:noWrap/>
            <w:vAlign w:val="center"/>
          </w:tcPr>
          <w:p w14:paraId="727E790B" w14:textId="77777777" w:rsidR="00B24196" w:rsidRPr="00975564" w:rsidRDefault="00B24196" w:rsidP="00D65FE6">
            <w:pPr>
              <w:jc w:val="center"/>
              <w:rPr>
                <w:rFonts w:ascii="Times New Roman" w:hAnsi="Times New Roman" w:cs="Times New Roman"/>
                <w:b/>
                <w:color w:val="FFFFFF" w:themeColor="background1"/>
                <w:sz w:val="20"/>
                <w:szCs w:val="20"/>
              </w:rPr>
            </w:pPr>
          </w:p>
        </w:tc>
      </w:tr>
      <w:tr w:rsidR="00B24196" w:rsidRPr="00975564" w14:paraId="3D1C42E3" w14:textId="77777777" w:rsidTr="00D65FE6">
        <w:trPr>
          <w:trHeight w:val="630"/>
        </w:trPr>
        <w:tc>
          <w:tcPr>
            <w:tcW w:w="6062" w:type="dxa"/>
          </w:tcPr>
          <w:p w14:paraId="271D0BBE"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color w:val="000000"/>
                <w:sz w:val="20"/>
                <w:szCs w:val="20"/>
              </w:rPr>
              <w:t>59R. The public health agency has sufficient resources to practice plans and/or protocols relevant to emergency management; for example, the emergency response plan, the business continuity plan. Practice may include table tops, exercises, or simulations.</w:t>
            </w:r>
          </w:p>
        </w:tc>
        <w:tc>
          <w:tcPr>
            <w:tcW w:w="1521" w:type="dxa"/>
            <w:tcBorders>
              <w:right w:val="nil"/>
            </w:tcBorders>
            <w:noWrap/>
            <w:vAlign w:val="center"/>
          </w:tcPr>
          <w:p w14:paraId="20584055"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 (1)</w:t>
            </w:r>
          </w:p>
        </w:tc>
        <w:tc>
          <w:tcPr>
            <w:tcW w:w="1168" w:type="dxa"/>
            <w:tcBorders>
              <w:left w:val="nil"/>
              <w:right w:val="nil"/>
            </w:tcBorders>
            <w:noWrap/>
            <w:vAlign w:val="center"/>
          </w:tcPr>
          <w:p w14:paraId="74A8BB37"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29</w:t>
            </w:r>
          </w:p>
        </w:tc>
        <w:tc>
          <w:tcPr>
            <w:tcW w:w="1311" w:type="dxa"/>
            <w:tcBorders>
              <w:left w:val="nil"/>
            </w:tcBorders>
            <w:noWrap/>
            <w:vAlign w:val="center"/>
          </w:tcPr>
          <w:p w14:paraId="082331FB"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87.9</w:t>
            </w:r>
          </w:p>
        </w:tc>
        <w:tc>
          <w:tcPr>
            <w:tcW w:w="1495" w:type="dxa"/>
            <w:tcBorders>
              <w:right w:val="nil"/>
            </w:tcBorders>
            <w:noWrap/>
            <w:vAlign w:val="center"/>
          </w:tcPr>
          <w:p w14:paraId="49412D8B"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276" w:type="dxa"/>
            <w:tcBorders>
              <w:left w:val="nil"/>
              <w:right w:val="nil"/>
            </w:tcBorders>
            <w:noWrap/>
            <w:vAlign w:val="center"/>
          </w:tcPr>
          <w:p w14:paraId="647D12A6"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25</w:t>
            </w:r>
          </w:p>
        </w:tc>
        <w:tc>
          <w:tcPr>
            <w:tcW w:w="1276" w:type="dxa"/>
            <w:tcBorders>
              <w:left w:val="nil"/>
            </w:tcBorders>
            <w:noWrap/>
            <w:vAlign w:val="center"/>
          </w:tcPr>
          <w:p w14:paraId="2D414C63"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75.8</w:t>
            </w:r>
          </w:p>
        </w:tc>
      </w:tr>
    </w:tbl>
    <w:p w14:paraId="003EDEE7" w14:textId="77777777" w:rsidR="00B24196" w:rsidRPr="00975564" w:rsidRDefault="00B24196" w:rsidP="00B24196">
      <w:pPr>
        <w:spacing w:after="0" w:line="240" w:lineRule="auto"/>
        <w:rPr>
          <w:rFonts w:ascii="Times New Roman" w:eastAsiaTheme="minorEastAsia" w:hAnsi="Times New Roman" w:cs="Times New Roman"/>
          <w:sz w:val="20"/>
          <w:szCs w:val="20"/>
          <w:lang w:eastAsia="en-CA"/>
        </w:rPr>
      </w:pPr>
      <w:r w:rsidRPr="00975564">
        <w:rPr>
          <w:rFonts w:ascii="Times New Roman" w:eastAsiaTheme="minorEastAsia" w:hAnsi="Times New Roman" w:cs="Times New Roman"/>
          <w:sz w:val="20"/>
          <w:szCs w:val="20"/>
          <w:vertAlign w:val="superscript"/>
          <w:lang w:eastAsia="en-CA"/>
        </w:rPr>
        <w:t>a</w:t>
      </w:r>
      <w:r w:rsidRPr="00975564">
        <w:rPr>
          <w:rFonts w:ascii="Times New Roman" w:eastAsiaTheme="minorEastAsia" w:hAnsi="Times New Roman" w:cs="Times New Roman"/>
          <w:sz w:val="20"/>
          <w:szCs w:val="20"/>
          <w:lang w:eastAsia="en-CA"/>
        </w:rPr>
        <w:t xml:space="preserve">R denotes a </w:t>
      </w:r>
      <w:r w:rsidRPr="00975564">
        <w:rPr>
          <w:rFonts w:ascii="Times New Roman" w:eastAsiaTheme="minorEastAsia" w:hAnsi="Times New Roman" w:cs="Times New Roman"/>
          <w:b/>
          <w:sz w:val="20"/>
          <w:szCs w:val="20"/>
          <w:lang w:eastAsia="en-CA"/>
        </w:rPr>
        <w:t>revised</w:t>
      </w:r>
      <w:r w:rsidRPr="00975564">
        <w:rPr>
          <w:rFonts w:ascii="Times New Roman" w:eastAsiaTheme="minorEastAsia" w:hAnsi="Times New Roman" w:cs="Times New Roman"/>
          <w:sz w:val="20"/>
          <w:szCs w:val="20"/>
          <w:lang w:eastAsia="en-CA"/>
        </w:rPr>
        <w:t xml:space="preserve"> indicator; N denotes a </w:t>
      </w:r>
      <w:r w:rsidRPr="00975564">
        <w:rPr>
          <w:rFonts w:ascii="Times New Roman" w:eastAsiaTheme="minorEastAsia" w:hAnsi="Times New Roman" w:cs="Times New Roman"/>
          <w:b/>
          <w:sz w:val="20"/>
          <w:szCs w:val="20"/>
          <w:lang w:eastAsia="en-CA"/>
        </w:rPr>
        <w:t>new</w:t>
      </w:r>
      <w:r w:rsidRPr="00975564">
        <w:rPr>
          <w:rFonts w:ascii="Times New Roman" w:eastAsiaTheme="minorEastAsia" w:hAnsi="Times New Roman" w:cs="Times New Roman"/>
          <w:sz w:val="20"/>
          <w:szCs w:val="20"/>
          <w:lang w:eastAsia="en-CA"/>
        </w:rPr>
        <w:t xml:space="preserve"> indicator suggested by the panel</w:t>
      </w:r>
    </w:p>
    <w:p w14:paraId="06F9EEA2" w14:textId="77777777" w:rsidR="00B24196" w:rsidRPr="00975564" w:rsidRDefault="00B24196" w:rsidP="00B24196">
      <w:pPr>
        <w:spacing w:line="240" w:lineRule="auto"/>
        <w:rPr>
          <w:rFonts w:ascii="Times New Roman" w:eastAsiaTheme="minorEastAsia" w:hAnsi="Times New Roman" w:cs="Times New Roman"/>
          <w:sz w:val="20"/>
          <w:szCs w:val="20"/>
          <w:lang w:eastAsia="en-CA"/>
        </w:rPr>
      </w:pPr>
      <w:r w:rsidRPr="00975564">
        <w:rPr>
          <w:rFonts w:ascii="Times New Roman" w:eastAsiaTheme="minorEastAsia" w:hAnsi="Times New Roman" w:cs="Times New Roman"/>
          <w:sz w:val="20"/>
          <w:szCs w:val="20"/>
          <w:lang w:eastAsia="en-CA"/>
        </w:rPr>
        <w:t xml:space="preserve"> </w:t>
      </w:r>
    </w:p>
    <w:p w14:paraId="789D54D3" w14:textId="77777777" w:rsidR="00B24196" w:rsidRDefault="00B24196" w:rsidP="00975564">
      <w:pPr>
        <w:rPr>
          <w:rFonts w:ascii="Times New Roman" w:eastAsiaTheme="minorEastAsia" w:hAnsi="Times New Roman" w:cs="Times New Roman"/>
          <w:sz w:val="20"/>
          <w:szCs w:val="20"/>
          <w:lang w:eastAsia="en-CA"/>
        </w:rPr>
      </w:pPr>
    </w:p>
    <w:p w14:paraId="3D445E7F" w14:textId="77777777" w:rsidR="00B24196" w:rsidRDefault="00B24196" w:rsidP="00975564">
      <w:pPr>
        <w:rPr>
          <w:rFonts w:ascii="Times New Roman" w:eastAsiaTheme="minorEastAsia" w:hAnsi="Times New Roman" w:cs="Times New Roman"/>
          <w:sz w:val="20"/>
          <w:szCs w:val="20"/>
          <w:lang w:eastAsia="en-CA"/>
        </w:rPr>
      </w:pPr>
    </w:p>
    <w:p w14:paraId="02EA0559" w14:textId="77777777" w:rsidR="00B24196" w:rsidRDefault="00B24196" w:rsidP="00975564">
      <w:pPr>
        <w:rPr>
          <w:rFonts w:ascii="Times New Roman" w:eastAsiaTheme="minorEastAsia" w:hAnsi="Times New Roman" w:cs="Times New Roman"/>
          <w:sz w:val="20"/>
          <w:szCs w:val="20"/>
          <w:lang w:eastAsia="en-CA"/>
        </w:rPr>
      </w:pPr>
    </w:p>
    <w:p w14:paraId="271248ED" w14:textId="2355B30E" w:rsidR="00B24196" w:rsidRPr="00C20892" w:rsidRDefault="00B24196" w:rsidP="00B24196">
      <w:pPr>
        <w:pStyle w:val="Heading1"/>
        <w:rPr>
          <w:rFonts w:ascii="Times New Roman" w:hAnsi="Times New Roman" w:cs="Times New Roman"/>
          <w:color w:val="auto"/>
          <w:sz w:val="20"/>
          <w:szCs w:val="20"/>
        </w:rPr>
      </w:pPr>
      <w:bookmarkStart w:id="12" w:name="_Toc503863662"/>
      <w:bookmarkStart w:id="13" w:name="_Toc535852484"/>
      <w:bookmarkStart w:id="14" w:name="_Toc535852611"/>
      <w:bookmarkStart w:id="15" w:name="_Toc535853110"/>
      <w:r>
        <w:rPr>
          <w:rFonts w:ascii="Times New Roman" w:hAnsi="Times New Roman" w:cs="Times New Roman"/>
          <w:color w:val="auto"/>
          <w:sz w:val="20"/>
          <w:szCs w:val="20"/>
        </w:rPr>
        <w:lastRenderedPageBreak/>
        <w:t>S</w:t>
      </w:r>
      <w:r w:rsidR="00B067A4">
        <w:rPr>
          <w:rFonts w:ascii="Times New Roman" w:hAnsi="Times New Roman" w:cs="Times New Roman"/>
          <w:color w:val="auto"/>
          <w:sz w:val="20"/>
          <w:szCs w:val="20"/>
        </w:rPr>
        <w:t>4</w:t>
      </w:r>
      <w:r>
        <w:rPr>
          <w:rFonts w:ascii="Times New Roman" w:hAnsi="Times New Roman" w:cs="Times New Roman"/>
          <w:color w:val="auto"/>
          <w:sz w:val="20"/>
          <w:szCs w:val="20"/>
        </w:rPr>
        <w:t xml:space="preserve"> Table 5</w:t>
      </w:r>
      <w:r w:rsidRPr="00C20892">
        <w:rPr>
          <w:rFonts w:ascii="Times New Roman" w:hAnsi="Times New Roman" w:cs="Times New Roman"/>
          <w:color w:val="auto"/>
          <w:sz w:val="20"/>
          <w:szCs w:val="20"/>
        </w:rPr>
        <w:t xml:space="preserve">. </w:t>
      </w:r>
      <w:bookmarkEnd w:id="12"/>
      <w:r w:rsidRPr="00C20892">
        <w:rPr>
          <w:rFonts w:ascii="Times New Roman" w:hAnsi="Times New Roman" w:cs="Times New Roman"/>
          <w:color w:val="auto"/>
          <w:sz w:val="20"/>
          <w:szCs w:val="20"/>
        </w:rPr>
        <w:t>Round two survey indicators with unclear consensus (≤ 70%) on one or both criteria</w:t>
      </w:r>
      <w:bookmarkEnd w:id="13"/>
      <w:bookmarkEnd w:id="14"/>
      <w:bookmarkEnd w:id="15"/>
    </w:p>
    <w:tbl>
      <w:tblPr>
        <w:tblStyle w:val="TableGrid1"/>
        <w:tblW w:w="14000" w:type="dxa"/>
        <w:tblLayout w:type="fixed"/>
        <w:tblLook w:val="04A0" w:firstRow="1" w:lastRow="0" w:firstColumn="1" w:lastColumn="0" w:noHBand="0" w:noVBand="1"/>
      </w:tblPr>
      <w:tblGrid>
        <w:gridCol w:w="5920"/>
        <w:gridCol w:w="1663"/>
        <w:gridCol w:w="1168"/>
        <w:gridCol w:w="1202"/>
        <w:gridCol w:w="1495"/>
        <w:gridCol w:w="1276"/>
        <w:gridCol w:w="1276"/>
      </w:tblGrid>
      <w:tr w:rsidR="00B24196" w:rsidRPr="00975564" w14:paraId="3FA26CAE" w14:textId="77777777" w:rsidTr="00D65FE6">
        <w:trPr>
          <w:trHeight w:val="438"/>
          <w:tblHeader/>
        </w:trPr>
        <w:tc>
          <w:tcPr>
            <w:tcW w:w="5920" w:type="dxa"/>
            <w:tcBorders>
              <w:top w:val="nil"/>
              <w:left w:val="nil"/>
            </w:tcBorders>
          </w:tcPr>
          <w:p w14:paraId="03847575" w14:textId="77777777" w:rsidR="00B24196" w:rsidRPr="00975564" w:rsidRDefault="00B24196" w:rsidP="00D65FE6">
            <w:pPr>
              <w:outlineLvl w:val="0"/>
              <w:rPr>
                <w:rFonts w:ascii="Times New Roman" w:hAnsi="Times New Roman" w:cs="Times New Roman"/>
                <w:color w:val="FFFFFF" w:themeColor="background1"/>
                <w:sz w:val="20"/>
                <w:szCs w:val="20"/>
              </w:rPr>
            </w:pPr>
          </w:p>
        </w:tc>
        <w:tc>
          <w:tcPr>
            <w:tcW w:w="4033" w:type="dxa"/>
            <w:gridSpan w:val="3"/>
            <w:vAlign w:val="center"/>
          </w:tcPr>
          <w:p w14:paraId="0B9AB651"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Important</w:t>
            </w:r>
          </w:p>
        </w:tc>
        <w:tc>
          <w:tcPr>
            <w:tcW w:w="4047" w:type="dxa"/>
            <w:gridSpan w:val="3"/>
            <w:vAlign w:val="center"/>
          </w:tcPr>
          <w:p w14:paraId="4950E65D"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Actionable</w:t>
            </w:r>
          </w:p>
        </w:tc>
      </w:tr>
      <w:tr w:rsidR="00B24196" w:rsidRPr="00975564" w14:paraId="1FD9DFAC" w14:textId="77777777" w:rsidTr="00D65FE6">
        <w:trPr>
          <w:tblHeader/>
        </w:trPr>
        <w:tc>
          <w:tcPr>
            <w:tcW w:w="5920" w:type="dxa"/>
            <w:tcBorders>
              <w:bottom w:val="single" w:sz="4" w:space="0" w:color="auto"/>
            </w:tcBorders>
            <w:vAlign w:val="center"/>
          </w:tcPr>
          <w:p w14:paraId="55302275"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Indicators (n=12)</w:t>
            </w:r>
            <w:r w:rsidRPr="00975564">
              <w:rPr>
                <w:rFonts w:ascii="Times New Roman" w:hAnsi="Times New Roman" w:cs="Times New Roman"/>
                <w:b/>
                <w:sz w:val="20"/>
                <w:szCs w:val="20"/>
                <w:vertAlign w:val="superscript"/>
              </w:rPr>
              <w:t>a</w:t>
            </w:r>
          </w:p>
        </w:tc>
        <w:tc>
          <w:tcPr>
            <w:tcW w:w="1663" w:type="dxa"/>
            <w:tcBorders>
              <w:right w:val="nil"/>
            </w:tcBorders>
            <w:vAlign w:val="center"/>
          </w:tcPr>
          <w:p w14:paraId="32A6B4C7"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Median (IQR)</w:t>
            </w:r>
          </w:p>
        </w:tc>
        <w:tc>
          <w:tcPr>
            <w:tcW w:w="1168" w:type="dxa"/>
            <w:tcBorders>
              <w:left w:val="nil"/>
              <w:right w:val="nil"/>
            </w:tcBorders>
            <w:vAlign w:val="center"/>
          </w:tcPr>
          <w:p w14:paraId="4071FAB4"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No. (n=33)</w:t>
            </w:r>
          </w:p>
        </w:tc>
        <w:tc>
          <w:tcPr>
            <w:tcW w:w="1202" w:type="dxa"/>
            <w:tcBorders>
              <w:left w:val="nil"/>
            </w:tcBorders>
            <w:vAlign w:val="center"/>
          </w:tcPr>
          <w:p w14:paraId="6FAB9F02"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 xml:space="preserve">Consensus </w:t>
            </w:r>
          </w:p>
          <w:p w14:paraId="260004D7"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b/>
                <w:sz w:val="20"/>
                <w:szCs w:val="20"/>
              </w:rPr>
              <w:t>Level (%)</w:t>
            </w:r>
          </w:p>
        </w:tc>
        <w:tc>
          <w:tcPr>
            <w:tcW w:w="1495" w:type="dxa"/>
            <w:tcBorders>
              <w:right w:val="nil"/>
            </w:tcBorders>
            <w:vAlign w:val="center"/>
          </w:tcPr>
          <w:p w14:paraId="69C68259"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Median (IQR)</w:t>
            </w:r>
          </w:p>
        </w:tc>
        <w:tc>
          <w:tcPr>
            <w:tcW w:w="1276" w:type="dxa"/>
            <w:tcBorders>
              <w:left w:val="nil"/>
              <w:right w:val="nil"/>
            </w:tcBorders>
            <w:vAlign w:val="center"/>
          </w:tcPr>
          <w:p w14:paraId="7F836CCA"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No.     (n=33)</w:t>
            </w:r>
          </w:p>
        </w:tc>
        <w:tc>
          <w:tcPr>
            <w:tcW w:w="1276" w:type="dxa"/>
            <w:tcBorders>
              <w:left w:val="nil"/>
            </w:tcBorders>
            <w:vAlign w:val="center"/>
          </w:tcPr>
          <w:p w14:paraId="6FF18721"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Consensus Level (%)</w:t>
            </w:r>
          </w:p>
        </w:tc>
      </w:tr>
      <w:tr w:rsidR="00B24196" w:rsidRPr="00975564" w14:paraId="081103F9" w14:textId="77777777" w:rsidTr="00D65FE6">
        <w:trPr>
          <w:trHeight w:val="227"/>
        </w:trPr>
        <w:tc>
          <w:tcPr>
            <w:tcW w:w="5920" w:type="dxa"/>
            <w:shd w:val="clear" w:color="auto" w:fill="595959" w:themeFill="text1" w:themeFillTint="A6"/>
            <w:vAlign w:val="center"/>
          </w:tcPr>
          <w:p w14:paraId="04668582"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Governance and Leadership</w:t>
            </w:r>
          </w:p>
        </w:tc>
        <w:tc>
          <w:tcPr>
            <w:tcW w:w="1663" w:type="dxa"/>
            <w:tcBorders>
              <w:right w:val="nil"/>
            </w:tcBorders>
            <w:shd w:val="clear" w:color="auto" w:fill="595959" w:themeFill="text1" w:themeFillTint="A6"/>
            <w:noWrap/>
            <w:vAlign w:val="center"/>
          </w:tcPr>
          <w:p w14:paraId="6C1C6C4B"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168" w:type="dxa"/>
            <w:tcBorders>
              <w:left w:val="nil"/>
              <w:right w:val="nil"/>
            </w:tcBorders>
            <w:shd w:val="clear" w:color="auto" w:fill="595959" w:themeFill="text1" w:themeFillTint="A6"/>
            <w:noWrap/>
            <w:vAlign w:val="center"/>
          </w:tcPr>
          <w:p w14:paraId="19736F90"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02" w:type="dxa"/>
            <w:tcBorders>
              <w:left w:val="nil"/>
            </w:tcBorders>
            <w:shd w:val="clear" w:color="auto" w:fill="595959" w:themeFill="text1" w:themeFillTint="A6"/>
            <w:noWrap/>
            <w:vAlign w:val="center"/>
          </w:tcPr>
          <w:p w14:paraId="7C8B9397"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495" w:type="dxa"/>
            <w:tcBorders>
              <w:right w:val="nil"/>
            </w:tcBorders>
            <w:shd w:val="clear" w:color="auto" w:fill="595959" w:themeFill="text1" w:themeFillTint="A6"/>
            <w:noWrap/>
            <w:vAlign w:val="center"/>
          </w:tcPr>
          <w:p w14:paraId="11AA1579"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right w:val="nil"/>
            </w:tcBorders>
            <w:shd w:val="clear" w:color="auto" w:fill="595959" w:themeFill="text1" w:themeFillTint="A6"/>
            <w:noWrap/>
            <w:vAlign w:val="center"/>
          </w:tcPr>
          <w:p w14:paraId="4506821F"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tcBorders>
            <w:shd w:val="clear" w:color="auto" w:fill="595959" w:themeFill="text1" w:themeFillTint="A6"/>
            <w:noWrap/>
            <w:vAlign w:val="center"/>
          </w:tcPr>
          <w:p w14:paraId="25BABDD3" w14:textId="77777777" w:rsidR="00B24196" w:rsidRPr="00975564" w:rsidRDefault="00B24196" w:rsidP="00D65FE6">
            <w:pPr>
              <w:jc w:val="center"/>
              <w:rPr>
                <w:rFonts w:ascii="Times New Roman" w:hAnsi="Times New Roman" w:cs="Times New Roman"/>
                <w:b/>
                <w:color w:val="FFFFFF" w:themeColor="background1"/>
                <w:sz w:val="20"/>
                <w:szCs w:val="20"/>
              </w:rPr>
            </w:pPr>
          </w:p>
        </w:tc>
      </w:tr>
      <w:tr w:rsidR="00B24196" w:rsidRPr="00975564" w14:paraId="5CE77852" w14:textId="77777777" w:rsidTr="00D65FE6">
        <w:trPr>
          <w:trHeight w:val="315"/>
        </w:trPr>
        <w:tc>
          <w:tcPr>
            <w:tcW w:w="5920" w:type="dxa"/>
            <w:shd w:val="clear" w:color="auto" w:fill="auto"/>
            <w:vAlign w:val="center"/>
          </w:tcPr>
          <w:p w14:paraId="0FD22367" w14:textId="77777777" w:rsidR="00B24196" w:rsidRPr="00975564" w:rsidRDefault="00B24196" w:rsidP="00D65FE6">
            <w:pPr>
              <w:rPr>
                <w:rFonts w:ascii="Times New Roman" w:hAnsi="Times New Roman" w:cs="Times New Roman"/>
                <w:b/>
                <w:color w:val="FFFFFF" w:themeColor="background1"/>
                <w:sz w:val="20"/>
                <w:szCs w:val="20"/>
              </w:rPr>
            </w:pPr>
            <w:r w:rsidRPr="00975564">
              <w:rPr>
                <w:rFonts w:ascii="Times New Roman" w:hAnsi="Times New Roman" w:cs="Times New Roman"/>
                <w:color w:val="000000"/>
                <w:sz w:val="20"/>
                <w:szCs w:val="20"/>
              </w:rPr>
              <w:t>2N. The public health agency’s policies describe the roles and responsibilities of network partners in vertical or horizontal multi-jurisdictional response to emergencies; for example, responsibilities for different levels of government.</w:t>
            </w:r>
          </w:p>
        </w:tc>
        <w:tc>
          <w:tcPr>
            <w:tcW w:w="1663" w:type="dxa"/>
            <w:tcBorders>
              <w:right w:val="nil"/>
            </w:tcBorders>
            <w:shd w:val="clear" w:color="auto" w:fill="auto"/>
            <w:noWrap/>
            <w:vAlign w:val="center"/>
          </w:tcPr>
          <w:p w14:paraId="0BA4E5E3"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6 (1)</w:t>
            </w:r>
          </w:p>
        </w:tc>
        <w:tc>
          <w:tcPr>
            <w:tcW w:w="1168" w:type="dxa"/>
            <w:tcBorders>
              <w:left w:val="nil"/>
              <w:right w:val="nil"/>
            </w:tcBorders>
            <w:shd w:val="clear" w:color="auto" w:fill="auto"/>
            <w:noWrap/>
            <w:vAlign w:val="center"/>
          </w:tcPr>
          <w:p w14:paraId="5013E32C"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29</w:t>
            </w:r>
          </w:p>
        </w:tc>
        <w:tc>
          <w:tcPr>
            <w:tcW w:w="1202" w:type="dxa"/>
            <w:tcBorders>
              <w:left w:val="nil"/>
            </w:tcBorders>
            <w:shd w:val="clear" w:color="auto" w:fill="auto"/>
            <w:noWrap/>
            <w:vAlign w:val="center"/>
          </w:tcPr>
          <w:p w14:paraId="25FEE12F"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87.9</w:t>
            </w:r>
          </w:p>
        </w:tc>
        <w:tc>
          <w:tcPr>
            <w:tcW w:w="1495" w:type="dxa"/>
            <w:tcBorders>
              <w:right w:val="nil"/>
            </w:tcBorders>
            <w:shd w:val="clear" w:color="auto" w:fill="auto"/>
            <w:noWrap/>
            <w:vAlign w:val="center"/>
          </w:tcPr>
          <w:p w14:paraId="3E118584"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5 (2)</w:t>
            </w:r>
          </w:p>
        </w:tc>
        <w:tc>
          <w:tcPr>
            <w:tcW w:w="1276" w:type="dxa"/>
            <w:tcBorders>
              <w:left w:val="nil"/>
              <w:right w:val="nil"/>
            </w:tcBorders>
            <w:shd w:val="clear" w:color="auto" w:fill="auto"/>
            <w:noWrap/>
            <w:vAlign w:val="center"/>
          </w:tcPr>
          <w:p w14:paraId="413BF0B2"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23</w:t>
            </w:r>
          </w:p>
        </w:tc>
        <w:tc>
          <w:tcPr>
            <w:tcW w:w="1276" w:type="dxa"/>
            <w:tcBorders>
              <w:left w:val="nil"/>
            </w:tcBorders>
            <w:shd w:val="clear" w:color="auto" w:fill="auto"/>
            <w:noWrap/>
            <w:vAlign w:val="center"/>
          </w:tcPr>
          <w:p w14:paraId="338DAB0A"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69.7</w:t>
            </w:r>
          </w:p>
        </w:tc>
      </w:tr>
      <w:tr w:rsidR="00B24196" w:rsidRPr="00975564" w14:paraId="04E72522" w14:textId="77777777" w:rsidTr="00D65FE6">
        <w:trPr>
          <w:trHeight w:val="315"/>
        </w:trPr>
        <w:tc>
          <w:tcPr>
            <w:tcW w:w="5920" w:type="dxa"/>
            <w:shd w:val="clear" w:color="auto" w:fill="auto"/>
            <w:vAlign w:val="center"/>
          </w:tcPr>
          <w:p w14:paraId="36FFCBE3" w14:textId="77777777" w:rsidR="00B24196" w:rsidRPr="00975564" w:rsidRDefault="00B24196" w:rsidP="00D65FE6">
            <w:pPr>
              <w:rPr>
                <w:rFonts w:ascii="Times New Roman" w:hAnsi="Times New Roman" w:cs="Times New Roman"/>
                <w:b/>
                <w:color w:val="FFFFFF" w:themeColor="background1"/>
                <w:sz w:val="20"/>
                <w:szCs w:val="20"/>
              </w:rPr>
            </w:pPr>
            <w:r w:rsidRPr="00975564">
              <w:rPr>
                <w:rFonts w:ascii="Times New Roman" w:hAnsi="Times New Roman" w:cs="Times New Roman"/>
                <w:color w:val="000000"/>
                <w:sz w:val="20"/>
                <w:szCs w:val="20"/>
              </w:rPr>
              <w:t>4N. The public health agency engages with policy-makers to address gaps in policy and/or legislation that pertain to the effectiveness of its emergency management plans and/or protocols.</w:t>
            </w:r>
          </w:p>
        </w:tc>
        <w:tc>
          <w:tcPr>
            <w:tcW w:w="1663" w:type="dxa"/>
            <w:tcBorders>
              <w:right w:val="nil"/>
            </w:tcBorders>
            <w:shd w:val="clear" w:color="auto" w:fill="auto"/>
            <w:noWrap/>
            <w:vAlign w:val="center"/>
          </w:tcPr>
          <w:p w14:paraId="0E3DA51A"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6 (2)</w:t>
            </w:r>
          </w:p>
        </w:tc>
        <w:tc>
          <w:tcPr>
            <w:tcW w:w="1168" w:type="dxa"/>
            <w:tcBorders>
              <w:left w:val="nil"/>
              <w:right w:val="nil"/>
            </w:tcBorders>
            <w:shd w:val="clear" w:color="auto" w:fill="auto"/>
            <w:noWrap/>
            <w:vAlign w:val="center"/>
          </w:tcPr>
          <w:p w14:paraId="6DF37D8E"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28</w:t>
            </w:r>
          </w:p>
        </w:tc>
        <w:tc>
          <w:tcPr>
            <w:tcW w:w="1202" w:type="dxa"/>
            <w:tcBorders>
              <w:left w:val="nil"/>
            </w:tcBorders>
            <w:shd w:val="clear" w:color="auto" w:fill="auto"/>
            <w:noWrap/>
            <w:vAlign w:val="center"/>
          </w:tcPr>
          <w:p w14:paraId="3124A9BF"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84.8</w:t>
            </w:r>
          </w:p>
        </w:tc>
        <w:tc>
          <w:tcPr>
            <w:tcW w:w="1495" w:type="dxa"/>
            <w:tcBorders>
              <w:right w:val="nil"/>
            </w:tcBorders>
            <w:shd w:val="clear" w:color="auto" w:fill="auto"/>
            <w:noWrap/>
            <w:vAlign w:val="center"/>
          </w:tcPr>
          <w:p w14:paraId="6690D349"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5 (3)</w:t>
            </w:r>
          </w:p>
        </w:tc>
        <w:tc>
          <w:tcPr>
            <w:tcW w:w="1276" w:type="dxa"/>
            <w:tcBorders>
              <w:left w:val="nil"/>
              <w:right w:val="nil"/>
            </w:tcBorders>
            <w:shd w:val="clear" w:color="auto" w:fill="auto"/>
            <w:noWrap/>
            <w:vAlign w:val="center"/>
          </w:tcPr>
          <w:p w14:paraId="5D067B9F"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19</w:t>
            </w:r>
          </w:p>
        </w:tc>
        <w:tc>
          <w:tcPr>
            <w:tcW w:w="1276" w:type="dxa"/>
            <w:tcBorders>
              <w:left w:val="nil"/>
            </w:tcBorders>
            <w:shd w:val="clear" w:color="auto" w:fill="auto"/>
            <w:noWrap/>
            <w:vAlign w:val="center"/>
          </w:tcPr>
          <w:p w14:paraId="5CC17660"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57.6</w:t>
            </w:r>
          </w:p>
        </w:tc>
      </w:tr>
      <w:tr w:rsidR="00B24196" w:rsidRPr="00975564" w14:paraId="2EFCBF7D" w14:textId="77777777" w:rsidTr="00D65FE6">
        <w:trPr>
          <w:trHeight w:val="315"/>
        </w:trPr>
        <w:tc>
          <w:tcPr>
            <w:tcW w:w="5920" w:type="dxa"/>
            <w:shd w:val="clear" w:color="auto" w:fill="auto"/>
            <w:vAlign w:val="center"/>
          </w:tcPr>
          <w:p w14:paraId="32883E2D" w14:textId="77777777" w:rsidR="00B24196" w:rsidRPr="00975564" w:rsidRDefault="00B24196" w:rsidP="00D65FE6">
            <w:pPr>
              <w:rPr>
                <w:rFonts w:ascii="Times New Roman" w:hAnsi="Times New Roman" w:cs="Times New Roman"/>
                <w:b/>
                <w:color w:val="FFFFFF" w:themeColor="background1"/>
                <w:sz w:val="20"/>
                <w:szCs w:val="20"/>
              </w:rPr>
            </w:pPr>
            <w:r w:rsidRPr="00975564">
              <w:rPr>
                <w:rFonts w:ascii="Times New Roman" w:hAnsi="Times New Roman" w:cs="Times New Roman"/>
                <w:color w:val="000000"/>
                <w:sz w:val="20"/>
                <w:szCs w:val="20"/>
              </w:rPr>
              <w:t>5N. Provincial/territorial policies and/or structure define roles and responsibilities for local/regional public health agencies in public health emergency management.</w:t>
            </w:r>
          </w:p>
        </w:tc>
        <w:tc>
          <w:tcPr>
            <w:tcW w:w="1663" w:type="dxa"/>
            <w:tcBorders>
              <w:right w:val="nil"/>
            </w:tcBorders>
            <w:shd w:val="clear" w:color="auto" w:fill="auto"/>
            <w:noWrap/>
            <w:vAlign w:val="center"/>
          </w:tcPr>
          <w:p w14:paraId="2FC6205C"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6 (2)</w:t>
            </w:r>
          </w:p>
        </w:tc>
        <w:tc>
          <w:tcPr>
            <w:tcW w:w="1168" w:type="dxa"/>
            <w:tcBorders>
              <w:left w:val="nil"/>
              <w:right w:val="nil"/>
            </w:tcBorders>
            <w:shd w:val="clear" w:color="auto" w:fill="auto"/>
            <w:noWrap/>
            <w:vAlign w:val="center"/>
          </w:tcPr>
          <w:p w14:paraId="5ED4455B"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26</w:t>
            </w:r>
          </w:p>
        </w:tc>
        <w:tc>
          <w:tcPr>
            <w:tcW w:w="1202" w:type="dxa"/>
            <w:tcBorders>
              <w:left w:val="nil"/>
            </w:tcBorders>
            <w:shd w:val="clear" w:color="auto" w:fill="auto"/>
            <w:noWrap/>
            <w:vAlign w:val="center"/>
          </w:tcPr>
          <w:p w14:paraId="1075AF65"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78.8</w:t>
            </w:r>
          </w:p>
        </w:tc>
        <w:tc>
          <w:tcPr>
            <w:tcW w:w="1495" w:type="dxa"/>
            <w:tcBorders>
              <w:right w:val="nil"/>
            </w:tcBorders>
            <w:shd w:val="clear" w:color="auto" w:fill="auto"/>
            <w:noWrap/>
            <w:vAlign w:val="center"/>
          </w:tcPr>
          <w:p w14:paraId="0DD6686C"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5 (3)</w:t>
            </w:r>
          </w:p>
        </w:tc>
        <w:tc>
          <w:tcPr>
            <w:tcW w:w="1276" w:type="dxa"/>
            <w:tcBorders>
              <w:left w:val="nil"/>
              <w:right w:val="nil"/>
            </w:tcBorders>
            <w:shd w:val="clear" w:color="auto" w:fill="auto"/>
            <w:noWrap/>
            <w:vAlign w:val="center"/>
          </w:tcPr>
          <w:p w14:paraId="7570A995"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17</w:t>
            </w:r>
          </w:p>
        </w:tc>
        <w:tc>
          <w:tcPr>
            <w:tcW w:w="1276" w:type="dxa"/>
            <w:tcBorders>
              <w:left w:val="nil"/>
            </w:tcBorders>
            <w:shd w:val="clear" w:color="auto" w:fill="auto"/>
            <w:noWrap/>
            <w:vAlign w:val="center"/>
          </w:tcPr>
          <w:p w14:paraId="7E26BBBA"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51.5</w:t>
            </w:r>
          </w:p>
        </w:tc>
      </w:tr>
      <w:tr w:rsidR="00B24196" w:rsidRPr="00975564" w14:paraId="075E6D1E" w14:textId="77777777" w:rsidTr="00D65FE6">
        <w:trPr>
          <w:trHeight w:val="227"/>
        </w:trPr>
        <w:tc>
          <w:tcPr>
            <w:tcW w:w="5920" w:type="dxa"/>
            <w:shd w:val="clear" w:color="auto" w:fill="595959" w:themeFill="text1" w:themeFillTint="A6"/>
            <w:vAlign w:val="center"/>
          </w:tcPr>
          <w:p w14:paraId="314AEE0F" w14:textId="77777777" w:rsidR="00B24196" w:rsidRPr="00975564" w:rsidRDefault="00B24196" w:rsidP="00D65FE6">
            <w:pPr>
              <w:jc w:val="center"/>
              <w:rPr>
                <w:rFonts w:ascii="Times New Roman" w:hAnsi="Times New Roman" w:cs="Times New Roman"/>
                <w:b/>
                <w:color w:val="000000"/>
                <w:sz w:val="20"/>
                <w:szCs w:val="20"/>
              </w:rPr>
            </w:pPr>
            <w:r w:rsidRPr="00975564">
              <w:rPr>
                <w:rFonts w:ascii="Times New Roman" w:hAnsi="Times New Roman" w:cs="Times New Roman"/>
                <w:b/>
                <w:color w:val="FFFFFF" w:themeColor="background1"/>
                <w:sz w:val="20"/>
                <w:szCs w:val="20"/>
              </w:rPr>
              <w:t>Resources</w:t>
            </w:r>
          </w:p>
        </w:tc>
        <w:tc>
          <w:tcPr>
            <w:tcW w:w="1663" w:type="dxa"/>
            <w:tcBorders>
              <w:right w:val="nil"/>
            </w:tcBorders>
            <w:shd w:val="clear" w:color="auto" w:fill="595959" w:themeFill="text1" w:themeFillTint="A6"/>
            <w:noWrap/>
            <w:vAlign w:val="center"/>
          </w:tcPr>
          <w:p w14:paraId="229B9283" w14:textId="77777777" w:rsidR="00B24196" w:rsidRPr="00975564" w:rsidRDefault="00B24196" w:rsidP="00D65FE6">
            <w:pPr>
              <w:jc w:val="center"/>
              <w:rPr>
                <w:rFonts w:ascii="Times New Roman" w:hAnsi="Times New Roman" w:cs="Times New Roman"/>
                <w:sz w:val="20"/>
                <w:szCs w:val="20"/>
              </w:rPr>
            </w:pPr>
          </w:p>
        </w:tc>
        <w:tc>
          <w:tcPr>
            <w:tcW w:w="1168" w:type="dxa"/>
            <w:tcBorders>
              <w:left w:val="nil"/>
              <w:right w:val="nil"/>
            </w:tcBorders>
            <w:shd w:val="clear" w:color="auto" w:fill="595959" w:themeFill="text1" w:themeFillTint="A6"/>
            <w:noWrap/>
            <w:vAlign w:val="center"/>
          </w:tcPr>
          <w:p w14:paraId="455075FE" w14:textId="77777777" w:rsidR="00B24196" w:rsidRPr="00975564" w:rsidRDefault="00B24196" w:rsidP="00D65FE6">
            <w:pPr>
              <w:jc w:val="center"/>
              <w:rPr>
                <w:rFonts w:ascii="Times New Roman" w:hAnsi="Times New Roman" w:cs="Times New Roman"/>
                <w:sz w:val="20"/>
                <w:szCs w:val="20"/>
              </w:rPr>
            </w:pPr>
          </w:p>
        </w:tc>
        <w:tc>
          <w:tcPr>
            <w:tcW w:w="1202" w:type="dxa"/>
            <w:tcBorders>
              <w:left w:val="nil"/>
            </w:tcBorders>
            <w:shd w:val="clear" w:color="auto" w:fill="595959" w:themeFill="text1" w:themeFillTint="A6"/>
            <w:noWrap/>
            <w:vAlign w:val="center"/>
          </w:tcPr>
          <w:p w14:paraId="3ACB7946" w14:textId="77777777" w:rsidR="00B24196" w:rsidRPr="00975564" w:rsidRDefault="00B24196" w:rsidP="00D65FE6">
            <w:pPr>
              <w:jc w:val="center"/>
              <w:rPr>
                <w:rFonts w:ascii="Times New Roman" w:hAnsi="Times New Roman" w:cs="Times New Roman"/>
                <w:sz w:val="20"/>
                <w:szCs w:val="20"/>
              </w:rPr>
            </w:pPr>
          </w:p>
        </w:tc>
        <w:tc>
          <w:tcPr>
            <w:tcW w:w="1495" w:type="dxa"/>
            <w:tcBorders>
              <w:right w:val="nil"/>
            </w:tcBorders>
            <w:shd w:val="clear" w:color="auto" w:fill="595959" w:themeFill="text1" w:themeFillTint="A6"/>
            <w:noWrap/>
            <w:vAlign w:val="center"/>
          </w:tcPr>
          <w:p w14:paraId="2AF850C4" w14:textId="77777777" w:rsidR="00B24196" w:rsidRPr="00975564" w:rsidRDefault="00B24196" w:rsidP="00D65FE6">
            <w:pPr>
              <w:jc w:val="center"/>
              <w:rPr>
                <w:rFonts w:ascii="Times New Roman" w:hAnsi="Times New Roman" w:cs="Times New Roman"/>
                <w:sz w:val="20"/>
                <w:szCs w:val="20"/>
              </w:rPr>
            </w:pPr>
          </w:p>
        </w:tc>
        <w:tc>
          <w:tcPr>
            <w:tcW w:w="1276" w:type="dxa"/>
            <w:tcBorders>
              <w:left w:val="nil"/>
              <w:right w:val="nil"/>
            </w:tcBorders>
            <w:shd w:val="clear" w:color="auto" w:fill="595959" w:themeFill="text1" w:themeFillTint="A6"/>
            <w:noWrap/>
            <w:vAlign w:val="center"/>
          </w:tcPr>
          <w:p w14:paraId="133F3CFB" w14:textId="77777777" w:rsidR="00B24196" w:rsidRPr="00975564" w:rsidRDefault="00B24196" w:rsidP="00D65FE6">
            <w:pPr>
              <w:jc w:val="center"/>
              <w:rPr>
                <w:rFonts w:ascii="Times New Roman" w:hAnsi="Times New Roman" w:cs="Times New Roman"/>
                <w:sz w:val="20"/>
                <w:szCs w:val="20"/>
              </w:rPr>
            </w:pPr>
          </w:p>
        </w:tc>
        <w:tc>
          <w:tcPr>
            <w:tcW w:w="1276" w:type="dxa"/>
            <w:tcBorders>
              <w:left w:val="nil"/>
            </w:tcBorders>
            <w:shd w:val="clear" w:color="auto" w:fill="595959" w:themeFill="text1" w:themeFillTint="A6"/>
            <w:noWrap/>
            <w:vAlign w:val="center"/>
          </w:tcPr>
          <w:p w14:paraId="7C13317C" w14:textId="77777777" w:rsidR="00B24196" w:rsidRPr="00975564" w:rsidRDefault="00B24196" w:rsidP="00D65FE6">
            <w:pPr>
              <w:jc w:val="center"/>
              <w:rPr>
                <w:rFonts w:ascii="Times New Roman" w:hAnsi="Times New Roman" w:cs="Times New Roman"/>
                <w:sz w:val="20"/>
                <w:szCs w:val="20"/>
              </w:rPr>
            </w:pPr>
          </w:p>
        </w:tc>
      </w:tr>
      <w:tr w:rsidR="00B24196" w:rsidRPr="00975564" w14:paraId="682AB75B" w14:textId="77777777" w:rsidTr="00D65FE6">
        <w:trPr>
          <w:trHeight w:val="315"/>
        </w:trPr>
        <w:tc>
          <w:tcPr>
            <w:tcW w:w="5920" w:type="dxa"/>
            <w:shd w:val="clear" w:color="auto" w:fill="auto"/>
          </w:tcPr>
          <w:p w14:paraId="4C8CD02B" w14:textId="77777777" w:rsidR="00B24196" w:rsidRPr="00975564" w:rsidRDefault="00B24196" w:rsidP="00D65FE6">
            <w:pPr>
              <w:rPr>
                <w:rFonts w:ascii="Times New Roman" w:hAnsi="Times New Roman" w:cs="Times New Roman"/>
                <w:color w:val="000000"/>
                <w:sz w:val="20"/>
                <w:szCs w:val="20"/>
              </w:rPr>
            </w:pPr>
            <w:r w:rsidRPr="00975564">
              <w:rPr>
                <w:rFonts w:ascii="Times New Roman" w:hAnsi="Times New Roman" w:cs="Times New Roman"/>
                <w:color w:val="000000"/>
                <w:sz w:val="20"/>
                <w:szCs w:val="20"/>
              </w:rPr>
              <w:t>7N. The public health agency is able to secure financial resources to support response to and recovery from an emergency.</w:t>
            </w:r>
          </w:p>
        </w:tc>
        <w:tc>
          <w:tcPr>
            <w:tcW w:w="1663" w:type="dxa"/>
            <w:tcBorders>
              <w:right w:val="nil"/>
            </w:tcBorders>
            <w:shd w:val="clear" w:color="auto" w:fill="auto"/>
            <w:noWrap/>
            <w:vAlign w:val="center"/>
          </w:tcPr>
          <w:p w14:paraId="511AEB45"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6 (1)</w:t>
            </w:r>
          </w:p>
        </w:tc>
        <w:tc>
          <w:tcPr>
            <w:tcW w:w="1168" w:type="dxa"/>
            <w:tcBorders>
              <w:left w:val="nil"/>
              <w:right w:val="nil"/>
            </w:tcBorders>
            <w:shd w:val="clear" w:color="auto" w:fill="auto"/>
            <w:noWrap/>
            <w:vAlign w:val="center"/>
          </w:tcPr>
          <w:p w14:paraId="10C09441"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29</w:t>
            </w:r>
          </w:p>
        </w:tc>
        <w:tc>
          <w:tcPr>
            <w:tcW w:w="1202" w:type="dxa"/>
            <w:tcBorders>
              <w:left w:val="nil"/>
            </w:tcBorders>
            <w:shd w:val="clear" w:color="auto" w:fill="auto"/>
            <w:noWrap/>
            <w:vAlign w:val="center"/>
          </w:tcPr>
          <w:p w14:paraId="47044174"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87.9</w:t>
            </w:r>
          </w:p>
        </w:tc>
        <w:tc>
          <w:tcPr>
            <w:tcW w:w="1495" w:type="dxa"/>
            <w:tcBorders>
              <w:right w:val="nil"/>
            </w:tcBorders>
            <w:shd w:val="clear" w:color="auto" w:fill="auto"/>
            <w:noWrap/>
            <w:vAlign w:val="center"/>
          </w:tcPr>
          <w:p w14:paraId="094FCFB1"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4 (3)</w:t>
            </w:r>
          </w:p>
        </w:tc>
        <w:tc>
          <w:tcPr>
            <w:tcW w:w="1276" w:type="dxa"/>
            <w:tcBorders>
              <w:left w:val="nil"/>
              <w:right w:val="nil"/>
            </w:tcBorders>
            <w:shd w:val="clear" w:color="auto" w:fill="auto"/>
            <w:noWrap/>
            <w:vAlign w:val="center"/>
          </w:tcPr>
          <w:p w14:paraId="55DF76E4"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14</w:t>
            </w:r>
          </w:p>
        </w:tc>
        <w:tc>
          <w:tcPr>
            <w:tcW w:w="1276" w:type="dxa"/>
            <w:tcBorders>
              <w:left w:val="nil"/>
            </w:tcBorders>
            <w:shd w:val="clear" w:color="auto" w:fill="auto"/>
            <w:noWrap/>
            <w:vAlign w:val="center"/>
          </w:tcPr>
          <w:p w14:paraId="78E0EE81" w14:textId="77777777" w:rsidR="00B24196" w:rsidRPr="00975564" w:rsidRDefault="00B24196" w:rsidP="00D65FE6">
            <w:pPr>
              <w:jc w:val="center"/>
              <w:rPr>
                <w:rFonts w:ascii="Times New Roman" w:hAnsi="Times New Roman" w:cs="Times New Roman"/>
                <w:sz w:val="20"/>
                <w:szCs w:val="20"/>
              </w:rPr>
            </w:pPr>
            <w:r w:rsidRPr="00975564">
              <w:rPr>
                <w:rFonts w:ascii="Times New Roman" w:hAnsi="Times New Roman" w:cs="Times New Roman"/>
                <w:sz w:val="20"/>
                <w:szCs w:val="20"/>
              </w:rPr>
              <w:t>42.4</w:t>
            </w:r>
          </w:p>
        </w:tc>
      </w:tr>
      <w:tr w:rsidR="00B24196" w:rsidRPr="00975564" w14:paraId="2CC3BD4A" w14:textId="77777777" w:rsidTr="00D65FE6">
        <w:trPr>
          <w:trHeight w:val="227"/>
        </w:trPr>
        <w:tc>
          <w:tcPr>
            <w:tcW w:w="5920" w:type="dxa"/>
            <w:shd w:val="clear" w:color="auto" w:fill="595959" w:themeFill="text1" w:themeFillTint="A6"/>
            <w:vAlign w:val="center"/>
            <w:hideMark/>
          </w:tcPr>
          <w:p w14:paraId="49C91EDC"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Collaborative Networks</w:t>
            </w:r>
          </w:p>
        </w:tc>
        <w:tc>
          <w:tcPr>
            <w:tcW w:w="1663" w:type="dxa"/>
            <w:tcBorders>
              <w:right w:val="nil"/>
            </w:tcBorders>
            <w:shd w:val="clear" w:color="auto" w:fill="595959" w:themeFill="text1" w:themeFillTint="A6"/>
            <w:noWrap/>
            <w:vAlign w:val="center"/>
            <w:hideMark/>
          </w:tcPr>
          <w:p w14:paraId="43B1C0FA"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168" w:type="dxa"/>
            <w:tcBorders>
              <w:left w:val="nil"/>
              <w:right w:val="nil"/>
            </w:tcBorders>
            <w:shd w:val="clear" w:color="auto" w:fill="595959" w:themeFill="text1" w:themeFillTint="A6"/>
            <w:noWrap/>
            <w:vAlign w:val="center"/>
            <w:hideMark/>
          </w:tcPr>
          <w:p w14:paraId="1545159C"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02" w:type="dxa"/>
            <w:tcBorders>
              <w:left w:val="nil"/>
            </w:tcBorders>
            <w:shd w:val="clear" w:color="auto" w:fill="595959" w:themeFill="text1" w:themeFillTint="A6"/>
            <w:noWrap/>
            <w:vAlign w:val="center"/>
            <w:hideMark/>
          </w:tcPr>
          <w:p w14:paraId="165AAC89"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495" w:type="dxa"/>
            <w:tcBorders>
              <w:right w:val="nil"/>
            </w:tcBorders>
            <w:shd w:val="clear" w:color="auto" w:fill="595959" w:themeFill="text1" w:themeFillTint="A6"/>
            <w:noWrap/>
            <w:vAlign w:val="center"/>
            <w:hideMark/>
          </w:tcPr>
          <w:p w14:paraId="2F99B35A"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right w:val="nil"/>
            </w:tcBorders>
            <w:shd w:val="clear" w:color="auto" w:fill="595959" w:themeFill="text1" w:themeFillTint="A6"/>
            <w:noWrap/>
            <w:vAlign w:val="center"/>
            <w:hideMark/>
          </w:tcPr>
          <w:p w14:paraId="36824449"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tcBorders>
            <w:shd w:val="clear" w:color="auto" w:fill="595959" w:themeFill="text1" w:themeFillTint="A6"/>
            <w:noWrap/>
            <w:vAlign w:val="center"/>
            <w:hideMark/>
          </w:tcPr>
          <w:p w14:paraId="3E826E06" w14:textId="77777777" w:rsidR="00B24196" w:rsidRPr="00975564" w:rsidRDefault="00B24196" w:rsidP="00D65FE6">
            <w:pPr>
              <w:jc w:val="center"/>
              <w:rPr>
                <w:rFonts w:ascii="Times New Roman" w:hAnsi="Times New Roman" w:cs="Times New Roman"/>
                <w:b/>
                <w:color w:val="FFFFFF" w:themeColor="background1"/>
                <w:sz w:val="20"/>
                <w:szCs w:val="20"/>
              </w:rPr>
            </w:pPr>
          </w:p>
        </w:tc>
      </w:tr>
      <w:tr w:rsidR="00B24196" w:rsidRPr="00975564" w14:paraId="65710DC5" w14:textId="77777777" w:rsidTr="00D65FE6">
        <w:trPr>
          <w:trHeight w:val="318"/>
        </w:trPr>
        <w:tc>
          <w:tcPr>
            <w:tcW w:w="5920" w:type="dxa"/>
          </w:tcPr>
          <w:p w14:paraId="6C4182F1"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28R. The public health agency has established processes, in cooperation with network partners, to effectively manage differences and disputes in the context of an emergency.</w:t>
            </w:r>
          </w:p>
        </w:tc>
        <w:tc>
          <w:tcPr>
            <w:tcW w:w="1663" w:type="dxa"/>
            <w:tcBorders>
              <w:right w:val="nil"/>
            </w:tcBorders>
            <w:noWrap/>
            <w:vAlign w:val="center"/>
          </w:tcPr>
          <w:p w14:paraId="28494732"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(2)</w:t>
            </w:r>
          </w:p>
        </w:tc>
        <w:tc>
          <w:tcPr>
            <w:tcW w:w="1168" w:type="dxa"/>
            <w:tcBorders>
              <w:left w:val="nil"/>
              <w:right w:val="nil"/>
            </w:tcBorders>
            <w:noWrap/>
            <w:vAlign w:val="center"/>
          </w:tcPr>
          <w:p w14:paraId="1E3D1585"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20</w:t>
            </w:r>
          </w:p>
        </w:tc>
        <w:tc>
          <w:tcPr>
            <w:tcW w:w="1202" w:type="dxa"/>
            <w:tcBorders>
              <w:left w:val="nil"/>
            </w:tcBorders>
            <w:noWrap/>
            <w:vAlign w:val="center"/>
          </w:tcPr>
          <w:p w14:paraId="286F4651"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60.6</w:t>
            </w:r>
          </w:p>
        </w:tc>
        <w:tc>
          <w:tcPr>
            <w:tcW w:w="1495" w:type="dxa"/>
            <w:tcBorders>
              <w:right w:val="nil"/>
            </w:tcBorders>
            <w:noWrap/>
            <w:vAlign w:val="center"/>
          </w:tcPr>
          <w:p w14:paraId="4FE95157"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(1)</w:t>
            </w:r>
          </w:p>
        </w:tc>
        <w:tc>
          <w:tcPr>
            <w:tcW w:w="1276" w:type="dxa"/>
            <w:tcBorders>
              <w:left w:val="nil"/>
              <w:right w:val="nil"/>
            </w:tcBorders>
            <w:noWrap/>
            <w:vAlign w:val="center"/>
          </w:tcPr>
          <w:p w14:paraId="44E24E1F"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18</w:t>
            </w:r>
          </w:p>
        </w:tc>
        <w:tc>
          <w:tcPr>
            <w:tcW w:w="1276" w:type="dxa"/>
            <w:tcBorders>
              <w:left w:val="nil"/>
            </w:tcBorders>
            <w:noWrap/>
            <w:vAlign w:val="center"/>
          </w:tcPr>
          <w:p w14:paraId="38DBDB19"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54.5</w:t>
            </w:r>
          </w:p>
        </w:tc>
      </w:tr>
      <w:tr w:rsidR="00B24196" w:rsidRPr="00975564" w14:paraId="75BD30B3" w14:textId="77777777" w:rsidTr="00D65FE6">
        <w:trPr>
          <w:trHeight w:val="318"/>
        </w:trPr>
        <w:tc>
          <w:tcPr>
            <w:tcW w:w="5920" w:type="dxa"/>
          </w:tcPr>
          <w:p w14:paraId="3D2A278B"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bCs/>
                <w:color w:val="000000"/>
                <w:sz w:val="20"/>
                <w:szCs w:val="20"/>
              </w:rPr>
              <w:t>8N. The public health agency and its network partners have demonstrated shared understanding of roles, responsibilities and procedures relevant to the emergency context. This understanding may be demonstrated, for instance, during real or simulated emergencies.</w:t>
            </w:r>
          </w:p>
        </w:tc>
        <w:tc>
          <w:tcPr>
            <w:tcW w:w="1663" w:type="dxa"/>
            <w:tcBorders>
              <w:right w:val="nil"/>
            </w:tcBorders>
            <w:noWrap/>
            <w:vAlign w:val="center"/>
          </w:tcPr>
          <w:p w14:paraId="153BC555"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310E0C72"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29</w:t>
            </w:r>
          </w:p>
        </w:tc>
        <w:tc>
          <w:tcPr>
            <w:tcW w:w="1202" w:type="dxa"/>
            <w:tcBorders>
              <w:left w:val="nil"/>
            </w:tcBorders>
            <w:noWrap/>
            <w:vAlign w:val="center"/>
          </w:tcPr>
          <w:p w14:paraId="03003E98"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87.9</w:t>
            </w:r>
          </w:p>
        </w:tc>
        <w:tc>
          <w:tcPr>
            <w:tcW w:w="1495" w:type="dxa"/>
            <w:tcBorders>
              <w:right w:val="nil"/>
            </w:tcBorders>
            <w:noWrap/>
            <w:vAlign w:val="center"/>
          </w:tcPr>
          <w:p w14:paraId="3B6E0424"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(3)</w:t>
            </w:r>
          </w:p>
        </w:tc>
        <w:tc>
          <w:tcPr>
            <w:tcW w:w="1276" w:type="dxa"/>
            <w:tcBorders>
              <w:left w:val="nil"/>
              <w:right w:val="nil"/>
            </w:tcBorders>
            <w:noWrap/>
            <w:vAlign w:val="center"/>
          </w:tcPr>
          <w:p w14:paraId="06A1B865"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22</w:t>
            </w:r>
          </w:p>
        </w:tc>
        <w:tc>
          <w:tcPr>
            <w:tcW w:w="1276" w:type="dxa"/>
            <w:tcBorders>
              <w:left w:val="nil"/>
            </w:tcBorders>
            <w:noWrap/>
            <w:vAlign w:val="center"/>
          </w:tcPr>
          <w:p w14:paraId="052BA09C"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66.7</w:t>
            </w:r>
          </w:p>
        </w:tc>
      </w:tr>
      <w:tr w:rsidR="00B24196" w:rsidRPr="00975564" w14:paraId="40F39888" w14:textId="77777777" w:rsidTr="00D65FE6">
        <w:trPr>
          <w:trHeight w:val="318"/>
        </w:trPr>
        <w:tc>
          <w:tcPr>
            <w:tcW w:w="5920" w:type="dxa"/>
          </w:tcPr>
          <w:p w14:paraId="76022D6C" w14:textId="77777777" w:rsidR="00B24196" w:rsidRPr="00975564" w:rsidRDefault="00B24196" w:rsidP="00D65FE6">
            <w:pPr>
              <w:rPr>
                <w:rFonts w:ascii="Times New Roman" w:hAnsi="Times New Roman" w:cs="Times New Roman"/>
                <w:bCs/>
                <w:color w:val="000000"/>
                <w:sz w:val="20"/>
                <w:szCs w:val="20"/>
              </w:rPr>
            </w:pPr>
            <w:r w:rsidRPr="00975564">
              <w:rPr>
                <w:rFonts w:ascii="Times New Roman" w:hAnsi="Times New Roman" w:cs="Times New Roman"/>
                <w:color w:val="000000"/>
                <w:sz w:val="20"/>
                <w:szCs w:val="20"/>
              </w:rPr>
              <w:t>9N. The public health agency has mutual aid agreements in place with network partners outside the health sector that describe how resources and/or services will be shared during an emergency, including meeting demands for surge capacity; for example, non-governmental organizations such as the Red Cross.</w:t>
            </w:r>
          </w:p>
        </w:tc>
        <w:tc>
          <w:tcPr>
            <w:tcW w:w="1663" w:type="dxa"/>
            <w:tcBorders>
              <w:right w:val="nil"/>
            </w:tcBorders>
            <w:noWrap/>
            <w:vAlign w:val="center"/>
          </w:tcPr>
          <w:p w14:paraId="4C9585BD"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(1)</w:t>
            </w:r>
          </w:p>
        </w:tc>
        <w:tc>
          <w:tcPr>
            <w:tcW w:w="1168" w:type="dxa"/>
            <w:tcBorders>
              <w:left w:val="nil"/>
              <w:right w:val="nil"/>
            </w:tcBorders>
            <w:noWrap/>
            <w:vAlign w:val="center"/>
          </w:tcPr>
          <w:p w14:paraId="1F388718"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26</w:t>
            </w:r>
          </w:p>
        </w:tc>
        <w:tc>
          <w:tcPr>
            <w:tcW w:w="1202" w:type="dxa"/>
            <w:tcBorders>
              <w:left w:val="nil"/>
            </w:tcBorders>
            <w:noWrap/>
            <w:vAlign w:val="center"/>
          </w:tcPr>
          <w:p w14:paraId="56A3589E"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78.8</w:t>
            </w:r>
          </w:p>
        </w:tc>
        <w:tc>
          <w:tcPr>
            <w:tcW w:w="1495" w:type="dxa"/>
            <w:tcBorders>
              <w:right w:val="nil"/>
            </w:tcBorders>
            <w:noWrap/>
            <w:vAlign w:val="center"/>
          </w:tcPr>
          <w:p w14:paraId="538B8861"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(3)</w:t>
            </w:r>
          </w:p>
        </w:tc>
        <w:tc>
          <w:tcPr>
            <w:tcW w:w="1276" w:type="dxa"/>
            <w:tcBorders>
              <w:left w:val="nil"/>
              <w:right w:val="nil"/>
            </w:tcBorders>
            <w:noWrap/>
            <w:vAlign w:val="center"/>
          </w:tcPr>
          <w:p w14:paraId="2AFBC90E"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20</w:t>
            </w:r>
          </w:p>
        </w:tc>
        <w:tc>
          <w:tcPr>
            <w:tcW w:w="1276" w:type="dxa"/>
            <w:tcBorders>
              <w:left w:val="nil"/>
            </w:tcBorders>
            <w:noWrap/>
            <w:vAlign w:val="center"/>
          </w:tcPr>
          <w:p w14:paraId="185CF36F"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60.6</w:t>
            </w:r>
          </w:p>
        </w:tc>
      </w:tr>
      <w:tr w:rsidR="00B24196" w:rsidRPr="00975564" w14:paraId="3D232EE0" w14:textId="77777777" w:rsidTr="00D65FE6">
        <w:trPr>
          <w:trHeight w:val="227"/>
        </w:trPr>
        <w:tc>
          <w:tcPr>
            <w:tcW w:w="5920" w:type="dxa"/>
            <w:shd w:val="clear" w:color="auto" w:fill="595959" w:themeFill="text1" w:themeFillTint="A6"/>
            <w:vAlign w:val="center"/>
            <w:hideMark/>
          </w:tcPr>
          <w:p w14:paraId="5C2F5D84"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Community Engagement</w:t>
            </w:r>
          </w:p>
        </w:tc>
        <w:tc>
          <w:tcPr>
            <w:tcW w:w="1663" w:type="dxa"/>
            <w:tcBorders>
              <w:right w:val="nil"/>
            </w:tcBorders>
            <w:shd w:val="clear" w:color="auto" w:fill="595959" w:themeFill="text1" w:themeFillTint="A6"/>
            <w:noWrap/>
            <w:vAlign w:val="center"/>
          </w:tcPr>
          <w:p w14:paraId="20236F11"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168" w:type="dxa"/>
            <w:tcBorders>
              <w:left w:val="nil"/>
              <w:right w:val="nil"/>
            </w:tcBorders>
            <w:shd w:val="clear" w:color="auto" w:fill="595959" w:themeFill="text1" w:themeFillTint="A6"/>
            <w:noWrap/>
            <w:vAlign w:val="center"/>
          </w:tcPr>
          <w:p w14:paraId="0A68980D"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02" w:type="dxa"/>
            <w:tcBorders>
              <w:left w:val="nil"/>
            </w:tcBorders>
            <w:shd w:val="clear" w:color="auto" w:fill="595959" w:themeFill="text1" w:themeFillTint="A6"/>
            <w:noWrap/>
            <w:vAlign w:val="center"/>
          </w:tcPr>
          <w:p w14:paraId="699DD907"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495" w:type="dxa"/>
            <w:tcBorders>
              <w:right w:val="nil"/>
            </w:tcBorders>
            <w:shd w:val="clear" w:color="auto" w:fill="595959" w:themeFill="text1" w:themeFillTint="A6"/>
            <w:noWrap/>
            <w:vAlign w:val="center"/>
          </w:tcPr>
          <w:p w14:paraId="679BC51F"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right w:val="nil"/>
            </w:tcBorders>
            <w:shd w:val="clear" w:color="auto" w:fill="595959" w:themeFill="text1" w:themeFillTint="A6"/>
            <w:noWrap/>
            <w:vAlign w:val="center"/>
          </w:tcPr>
          <w:p w14:paraId="5DE61F76"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tcBorders>
            <w:shd w:val="clear" w:color="auto" w:fill="595959" w:themeFill="text1" w:themeFillTint="A6"/>
            <w:noWrap/>
            <w:vAlign w:val="center"/>
          </w:tcPr>
          <w:p w14:paraId="6051CC9B" w14:textId="77777777" w:rsidR="00B24196" w:rsidRPr="00975564" w:rsidRDefault="00B24196" w:rsidP="00D65FE6">
            <w:pPr>
              <w:jc w:val="center"/>
              <w:rPr>
                <w:rFonts w:ascii="Times New Roman" w:hAnsi="Times New Roman" w:cs="Times New Roman"/>
                <w:b/>
                <w:color w:val="FFFFFF" w:themeColor="background1"/>
                <w:sz w:val="20"/>
                <w:szCs w:val="20"/>
              </w:rPr>
            </w:pPr>
          </w:p>
        </w:tc>
      </w:tr>
      <w:tr w:rsidR="00B24196" w:rsidRPr="00975564" w14:paraId="4AD6D9C2" w14:textId="77777777" w:rsidTr="00D65FE6">
        <w:trPr>
          <w:trHeight w:val="630"/>
        </w:trPr>
        <w:tc>
          <w:tcPr>
            <w:tcW w:w="5920" w:type="dxa"/>
          </w:tcPr>
          <w:p w14:paraId="09CA15AE"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32R. The public health agency has a process to ensure transparency with the public with respect to what is known, what is not known and where there are genuine differences of professional opinion; for example, in the context of uncertain science or differences with Indigenous knowledge.</w:t>
            </w:r>
          </w:p>
        </w:tc>
        <w:tc>
          <w:tcPr>
            <w:tcW w:w="1663" w:type="dxa"/>
            <w:tcBorders>
              <w:right w:val="nil"/>
            </w:tcBorders>
            <w:noWrap/>
            <w:vAlign w:val="center"/>
          </w:tcPr>
          <w:p w14:paraId="28AE6092"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168" w:type="dxa"/>
            <w:tcBorders>
              <w:left w:val="nil"/>
              <w:right w:val="nil"/>
            </w:tcBorders>
            <w:noWrap/>
            <w:vAlign w:val="center"/>
          </w:tcPr>
          <w:p w14:paraId="44BB88E5"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22</w:t>
            </w:r>
          </w:p>
        </w:tc>
        <w:tc>
          <w:tcPr>
            <w:tcW w:w="1202" w:type="dxa"/>
            <w:tcBorders>
              <w:left w:val="nil"/>
            </w:tcBorders>
            <w:noWrap/>
            <w:vAlign w:val="center"/>
          </w:tcPr>
          <w:p w14:paraId="697F9A72"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66.7</w:t>
            </w:r>
          </w:p>
        </w:tc>
        <w:tc>
          <w:tcPr>
            <w:tcW w:w="1495" w:type="dxa"/>
            <w:tcBorders>
              <w:right w:val="nil"/>
            </w:tcBorders>
            <w:noWrap/>
            <w:vAlign w:val="center"/>
          </w:tcPr>
          <w:p w14:paraId="5F54FEC6"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(2)</w:t>
            </w:r>
          </w:p>
        </w:tc>
        <w:tc>
          <w:tcPr>
            <w:tcW w:w="1276" w:type="dxa"/>
            <w:tcBorders>
              <w:left w:val="nil"/>
              <w:right w:val="nil"/>
            </w:tcBorders>
            <w:noWrap/>
            <w:vAlign w:val="center"/>
          </w:tcPr>
          <w:p w14:paraId="5ABED954"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21</w:t>
            </w:r>
          </w:p>
        </w:tc>
        <w:tc>
          <w:tcPr>
            <w:tcW w:w="1276" w:type="dxa"/>
            <w:tcBorders>
              <w:left w:val="nil"/>
            </w:tcBorders>
            <w:noWrap/>
            <w:vAlign w:val="center"/>
          </w:tcPr>
          <w:p w14:paraId="66A45ED4"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63.6</w:t>
            </w:r>
          </w:p>
        </w:tc>
      </w:tr>
      <w:tr w:rsidR="00B24196" w:rsidRPr="00975564" w14:paraId="1AC476E7" w14:textId="77777777" w:rsidTr="00D65FE6">
        <w:trPr>
          <w:trHeight w:val="227"/>
        </w:trPr>
        <w:tc>
          <w:tcPr>
            <w:tcW w:w="5920" w:type="dxa"/>
            <w:shd w:val="clear" w:color="auto" w:fill="595959" w:themeFill="text1" w:themeFillTint="A6"/>
            <w:vAlign w:val="center"/>
            <w:hideMark/>
          </w:tcPr>
          <w:p w14:paraId="2F6CD326"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Workforce Capacity</w:t>
            </w:r>
          </w:p>
        </w:tc>
        <w:tc>
          <w:tcPr>
            <w:tcW w:w="1663" w:type="dxa"/>
            <w:tcBorders>
              <w:right w:val="nil"/>
            </w:tcBorders>
            <w:shd w:val="clear" w:color="auto" w:fill="595959" w:themeFill="text1" w:themeFillTint="A6"/>
            <w:noWrap/>
            <w:vAlign w:val="center"/>
          </w:tcPr>
          <w:p w14:paraId="7CED3351"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168" w:type="dxa"/>
            <w:tcBorders>
              <w:left w:val="nil"/>
              <w:right w:val="nil"/>
            </w:tcBorders>
            <w:shd w:val="clear" w:color="auto" w:fill="595959" w:themeFill="text1" w:themeFillTint="A6"/>
            <w:noWrap/>
            <w:vAlign w:val="center"/>
          </w:tcPr>
          <w:p w14:paraId="32D69473"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02" w:type="dxa"/>
            <w:tcBorders>
              <w:left w:val="nil"/>
            </w:tcBorders>
            <w:shd w:val="clear" w:color="auto" w:fill="595959" w:themeFill="text1" w:themeFillTint="A6"/>
            <w:noWrap/>
            <w:vAlign w:val="center"/>
          </w:tcPr>
          <w:p w14:paraId="6D09DA83"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495" w:type="dxa"/>
            <w:tcBorders>
              <w:right w:val="nil"/>
            </w:tcBorders>
            <w:shd w:val="clear" w:color="auto" w:fill="595959" w:themeFill="text1" w:themeFillTint="A6"/>
            <w:noWrap/>
            <w:vAlign w:val="center"/>
          </w:tcPr>
          <w:p w14:paraId="2E10D285"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right w:val="nil"/>
            </w:tcBorders>
            <w:shd w:val="clear" w:color="auto" w:fill="595959" w:themeFill="text1" w:themeFillTint="A6"/>
            <w:noWrap/>
            <w:vAlign w:val="center"/>
          </w:tcPr>
          <w:p w14:paraId="566906C4"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tcBorders>
            <w:shd w:val="clear" w:color="auto" w:fill="595959" w:themeFill="text1" w:themeFillTint="A6"/>
            <w:noWrap/>
            <w:vAlign w:val="center"/>
          </w:tcPr>
          <w:p w14:paraId="16356DDD" w14:textId="77777777" w:rsidR="00B24196" w:rsidRPr="00975564" w:rsidRDefault="00B24196" w:rsidP="00D65FE6">
            <w:pPr>
              <w:jc w:val="center"/>
              <w:rPr>
                <w:rFonts w:ascii="Times New Roman" w:hAnsi="Times New Roman" w:cs="Times New Roman"/>
                <w:b/>
                <w:color w:val="FFFFFF" w:themeColor="background1"/>
                <w:sz w:val="20"/>
                <w:szCs w:val="20"/>
              </w:rPr>
            </w:pPr>
          </w:p>
        </w:tc>
      </w:tr>
      <w:tr w:rsidR="00B24196" w:rsidRPr="00975564" w14:paraId="6BA11F37" w14:textId="77777777" w:rsidTr="00D65FE6">
        <w:trPr>
          <w:trHeight w:val="630"/>
        </w:trPr>
        <w:tc>
          <w:tcPr>
            <w:tcW w:w="5920" w:type="dxa"/>
          </w:tcPr>
          <w:p w14:paraId="7E12378F"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 xml:space="preserve">47R. The public health agency has a process and/or mechanism for integrating volunteers into emergency response and recovery. This </w:t>
            </w:r>
            <w:r w:rsidRPr="00975564">
              <w:rPr>
                <w:rFonts w:ascii="Times New Roman" w:hAnsi="Times New Roman" w:cs="Times New Roman"/>
                <w:sz w:val="20"/>
                <w:szCs w:val="20"/>
              </w:rPr>
              <w:lastRenderedPageBreak/>
              <w:t>may include volunteer recruitment, identification, credentialing and/or training processes and may be linked to processes in the broader health-sector.</w:t>
            </w:r>
          </w:p>
        </w:tc>
        <w:tc>
          <w:tcPr>
            <w:tcW w:w="1663" w:type="dxa"/>
            <w:tcBorders>
              <w:right w:val="nil"/>
            </w:tcBorders>
            <w:noWrap/>
            <w:vAlign w:val="center"/>
          </w:tcPr>
          <w:p w14:paraId="1BEA5945"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lastRenderedPageBreak/>
              <w:t>5 (2)</w:t>
            </w:r>
          </w:p>
        </w:tc>
        <w:tc>
          <w:tcPr>
            <w:tcW w:w="1168" w:type="dxa"/>
            <w:tcBorders>
              <w:left w:val="nil"/>
              <w:right w:val="nil"/>
            </w:tcBorders>
            <w:noWrap/>
            <w:vAlign w:val="center"/>
          </w:tcPr>
          <w:p w14:paraId="086F6A56"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19</w:t>
            </w:r>
          </w:p>
        </w:tc>
        <w:tc>
          <w:tcPr>
            <w:tcW w:w="1202" w:type="dxa"/>
            <w:tcBorders>
              <w:left w:val="nil"/>
            </w:tcBorders>
            <w:noWrap/>
            <w:vAlign w:val="center"/>
          </w:tcPr>
          <w:p w14:paraId="354F168C"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57.6</w:t>
            </w:r>
          </w:p>
        </w:tc>
        <w:tc>
          <w:tcPr>
            <w:tcW w:w="1495" w:type="dxa"/>
            <w:tcBorders>
              <w:right w:val="nil"/>
            </w:tcBorders>
            <w:noWrap/>
            <w:vAlign w:val="center"/>
          </w:tcPr>
          <w:p w14:paraId="3620C044"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(2)</w:t>
            </w:r>
          </w:p>
        </w:tc>
        <w:tc>
          <w:tcPr>
            <w:tcW w:w="1276" w:type="dxa"/>
            <w:tcBorders>
              <w:left w:val="nil"/>
              <w:right w:val="nil"/>
            </w:tcBorders>
            <w:noWrap/>
            <w:vAlign w:val="center"/>
          </w:tcPr>
          <w:p w14:paraId="217CCE84"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20</w:t>
            </w:r>
          </w:p>
        </w:tc>
        <w:tc>
          <w:tcPr>
            <w:tcW w:w="1276" w:type="dxa"/>
            <w:tcBorders>
              <w:left w:val="nil"/>
            </w:tcBorders>
            <w:noWrap/>
            <w:vAlign w:val="center"/>
          </w:tcPr>
          <w:p w14:paraId="4C0B6150"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60.6</w:t>
            </w:r>
          </w:p>
        </w:tc>
      </w:tr>
      <w:tr w:rsidR="00B24196" w:rsidRPr="00975564" w14:paraId="489ECC88" w14:textId="77777777" w:rsidTr="00D65FE6">
        <w:trPr>
          <w:trHeight w:val="227"/>
        </w:trPr>
        <w:tc>
          <w:tcPr>
            <w:tcW w:w="5920" w:type="dxa"/>
            <w:shd w:val="clear" w:color="auto" w:fill="595959" w:themeFill="text1" w:themeFillTint="A6"/>
            <w:vAlign w:val="center"/>
            <w:hideMark/>
          </w:tcPr>
          <w:p w14:paraId="1F376310"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Surveillance and Monitoring</w:t>
            </w:r>
          </w:p>
        </w:tc>
        <w:tc>
          <w:tcPr>
            <w:tcW w:w="1663" w:type="dxa"/>
            <w:tcBorders>
              <w:right w:val="nil"/>
            </w:tcBorders>
            <w:shd w:val="clear" w:color="auto" w:fill="595959" w:themeFill="text1" w:themeFillTint="A6"/>
            <w:noWrap/>
            <w:vAlign w:val="center"/>
          </w:tcPr>
          <w:p w14:paraId="2AE02DD0"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168" w:type="dxa"/>
            <w:tcBorders>
              <w:left w:val="nil"/>
              <w:right w:val="nil"/>
            </w:tcBorders>
            <w:shd w:val="clear" w:color="auto" w:fill="595959" w:themeFill="text1" w:themeFillTint="A6"/>
            <w:noWrap/>
            <w:vAlign w:val="center"/>
          </w:tcPr>
          <w:p w14:paraId="754A4599"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02" w:type="dxa"/>
            <w:tcBorders>
              <w:left w:val="nil"/>
            </w:tcBorders>
            <w:shd w:val="clear" w:color="auto" w:fill="595959" w:themeFill="text1" w:themeFillTint="A6"/>
            <w:noWrap/>
            <w:vAlign w:val="center"/>
          </w:tcPr>
          <w:p w14:paraId="3D5CF1E6"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495" w:type="dxa"/>
            <w:tcBorders>
              <w:right w:val="nil"/>
            </w:tcBorders>
            <w:shd w:val="clear" w:color="auto" w:fill="595959" w:themeFill="text1" w:themeFillTint="A6"/>
            <w:noWrap/>
            <w:vAlign w:val="center"/>
          </w:tcPr>
          <w:p w14:paraId="31B8CD03"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right w:val="nil"/>
            </w:tcBorders>
            <w:shd w:val="clear" w:color="auto" w:fill="595959" w:themeFill="text1" w:themeFillTint="A6"/>
            <w:noWrap/>
            <w:vAlign w:val="center"/>
          </w:tcPr>
          <w:p w14:paraId="199DB85F"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tcBorders>
            <w:shd w:val="clear" w:color="auto" w:fill="595959" w:themeFill="text1" w:themeFillTint="A6"/>
            <w:noWrap/>
            <w:vAlign w:val="center"/>
          </w:tcPr>
          <w:p w14:paraId="52B6C48A" w14:textId="77777777" w:rsidR="00B24196" w:rsidRPr="00975564" w:rsidRDefault="00B24196" w:rsidP="00D65FE6">
            <w:pPr>
              <w:jc w:val="center"/>
              <w:rPr>
                <w:rFonts w:ascii="Times New Roman" w:hAnsi="Times New Roman" w:cs="Times New Roman"/>
                <w:b/>
                <w:color w:val="FFFFFF" w:themeColor="background1"/>
                <w:sz w:val="20"/>
                <w:szCs w:val="20"/>
              </w:rPr>
            </w:pPr>
          </w:p>
        </w:tc>
      </w:tr>
      <w:tr w:rsidR="00B24196" w:rsidRPr="00975564" w14:paraId="113C7558" w14:textId="77777777" w:rsidTr="00D65FE6">
        <w:trPr>
          <w:trHeight w:val="945"/>
        </w:trPr>
        <w:tc>
          <w:tcPr>
            <w:tcW w:w="5920" w:type="dxa"/>
          </w:tcPr>
          <w:p w14:paraId="0F19548D"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52R. Local/regional laboratories (e.g., commercial and/or hospital) have the capability for timely reporting of results to the public health agency for surveillance relevant to public health emergencies.</w:t>
            </w:r>
          </w:p>
        </w:tc>
        <w:tc>
          <w:tcPr>
            <w:tcW w:w="1663" w:type="dxa"/>
            <w:tcBorders>
              <w:right w:val="nil"/>
            </w:tcBorders>
            <w:noWrap/>
            <w:vAlign w:val="center"/>
          </w:tcPr>
          <w:p w14:paraId="59CD6237"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 (1)</w:t>
            </w:r>
          </w:p>
        </w:tc>
        <w:tc>
          <w:tcPr>
            <w:tcW w:w="1168" w:type="dxa"/>
            <w:tcBorders>
              <w:left w:val="nil"/>
              <w:right w:val="nil"/>
            </w:tcBorders>
            <w:noWrap/>
            <w:vAlign w:val="center"/>
          </w:tcPr>
          <w:p w14:paraId="373DAC47"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33</w:t>
            </w:r>
          </w:p>
        </w:tc>
        <w:tc>
          <w:tcPr>
            <w:tcW w:w="1202" w:type="dxa"/>
            <w:tcBorders>
              <w:left w:val="nil"/>
            </w:tcBorders>
            <w:noWrap/>
            <w:vAlign w:val="center"/>
          </w:tcPr>
          <w:p w14:paraId="5406E088"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100</w:t>
            </w:r>
          </w:p>
        </w:tc>
        <w:tc>
          <w:tcPr>
            <w:tcW w:w="1495" w:type="dxa"/>
            <w:tcBorders>
              <w:right w:val="nil"/>
            </w:tcBorders>
            <w:noWrap/>
            <w:vAlign w:val="center"/>
          </w:tcPr>
          <w:p w14:paraId="26E098D9"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(3)</w:t>
            </w:r>
          </w:p>
        </w:tc>
        <w:tc>
          <w:tcPr>
            <w:tcW w:w="1276" w:type="dxa"/>
            <w:tcBorders>
              <w:left w:val="nil"/>
              <w:right w:val="nil"/>
            </w:tcBorders>
            <w:noWrap/>
            <w:vAlign w:val="center"/>
          </w:tcPr>
          <w:p w14:paraId="115495B3"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21</w:t>
            </w:r>
          </w:p>
        </w:tc>
        <w:tc>
          <w:tcPr>
            <w:tcW w:w="1276" w:type="dxa"/>
            <w:tcBorders>
              <w:left w:val="nil"/>
            </w:tcBorders>
            <w:noWrap/>
            <w:vAlign w:val="center"/>
          </w:tcPr>
          <w:p w14:paraId="74FFB7D6"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63.6</w:t>
            </w:r>
          </w:p>
        </w:tc>
      </w:tr>
      <w:tr w:rsidR="00B24196" w:rsidRPr="00975564" w14:paraId="2FE4960C" w14:textId="77777777" w:rsidTr="00D65FE6">
        <w:trPr>
          <w:trHeight w:val="227"/>
        </w:trPr>
        <w:tc>
          <w:tcPr>
            <w:tcW w:w="5920" w:type="dxa"/>
            <w:shd w:val="clear" w:color="auto" w:fill="595959" w:themeFill="text1" w:themeFillTint="A6"/>
            <w:vAlign w:val="center"/>
            <w:hideMark/>
          </w:tcPr>
          <w:p w14:paraId="576E7A53"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Learning and Evaluation</w:t>
            </w:r>
          </w:p>
        </w:tc>
        <w:tc>
          <w:tcPr>
            <w:tcW w:w="1663" w:type="dxa"/>
            <w:tcBorders>
              <w:right w:val="nil"/>
            </w:tcBorders>
            <w:shd w:val="clear" w:color="auto" w:fill="595959" w:themeFill="text1" w:themeFillTint="A6"/>
            <w:noWrap/>
            <w:vAlign w:val="center"/>
          </w:tcPr>
          <w:p w14:paraId="44579553"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168" w:type="dxa"/>
            <w:tcBorders>
              <w:left w:val="nil"/>
              <w:right w:val="nil"/>
            </w:tcBorders>
            <w:shd w:val="clear" w:color="auto" w:fill="595959" w:themeFill="text1" w:themeFillTint="A6"/>
            <w:noWrap/>
            <w:vAlign w:val="center"/>
          </w:tcPr>
          <w:p w14:paraId="6F085C74"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02" w:type="dxa"/>
            <w:tcBorders>
              <w:left w:val="nil"/>
            </w:tcBorders>
            <w:shd w:val="clear" w:color="auto" w:fill="595959" w:themeFill="text1" w:themeFillTint="A6"/>
            <w:noWrap/>
            <w:vAlign w:val="center"/>
          </w:tcPr>
          <w:p w14:paraId="2ECFBD09"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495" w:type="dxa"/>
            <w:tcBorders>
              <w:right w:val="nil"/>
            </w:tcBorders>
            <w:shd w:val="clear" w:color="auto" w:fill="595959" w:themeFill="text1" w:themeFillTint="A6"/>
            <w:noWrap/>
            <w:vAlign w:val="center"/>
          </w:tcPr>
          <w:p w14:paraId="7293D583"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right w:val="nil"/>
            </w:tcBorders>
            <w:shd w:val="clear" w:color="auto" w:fill="595959" w:themeFill="text1" w:themeFillTint="A6"/>
            <w:noWrap/>
            <w:vAlign w:val="center"/>
          </w:tcPr>
          <w:p w14:paraId="2C72FB3A"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tcBorders>
            <w:shd w:val="clear" w:color="auto" w:fill="595959" w:themeFill="text1" w:themeFillTint="A6"/>
            <w:noWrap/>
            <w:vAlign w:val="center"/>
          </w:tcPr>
          <w:p w14:paraId="521CA4A1" w14:textId="77777777" w:rsidR="00B24196" w:rsidRPr="00975564" w:rsidRDefault="00B24196" w:rsidP="00D65FE6">
            <w:pPr>
              <w:jc w:val="center"/>
              <w:rPr>
                <w:rFonts w:ascii="Times New Roman" w:hAnsi="Times New Roman" w:cs="Times New Roman"/>
                <w:b/>
                <w:color w:val="FFFFFF" w:themeColor="background1"/>
                <w:sz w:val="20"/>
                <w:szCs w:val="20"/>
              </w:rPr>
            </w:pPr>
          </w:p>
        </w:tc>
      </w:tr>
      <w:tr w:rsidR="00B24196" w:rsidRPr="00975564" w14:paraId="59739C81" w14:textId="77777777" w:rsidTr="00D65FE6">
        <w:trPr>
          <w:trHeight w:val="630"/>
        </w:trPr>
        <w:tc>
          <w:tcPr>
            <w:tcW w:w="5920" w:type="dxa"/>
          </w:tcPr>
          <w:p w14:paraId="6F5D10DD"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56R. The public health agency has defined an evaluation, learning and/or research agenda that aims to address knowledge gaps relevant to emergency management.</w:t>
            </w:r>
          </w:p>
        </w:tc>
        <w:tc>
          <w:tcPr>
            <w:tcW w:w="1663" w:type="dxa"/>
            <w:tcBorders>
              <w:right w:val="nil"/>
            </w:tcBorders>
            <w:noWrap/>
            <w:vAlign w:val="center"/>
          </w:tcPr>
          <w:p w14:paraId="605CEB90"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(2)</w:t>
            </w:r>
          </w:p>
        </w:tc>
        <w:tc>
          <w:tcPr>
            <w:tcW w:w="1168" w:type="dxa"/>
            <w:tcBorders>
              <w:left w:val="nil"/>
              <w:right w:val="nil"/>
            </w:tcBorders>
            <w:noWrap/>
            <w:vAlign w:val="center"/>
          </w:tcPr>
          <w:p w14:paraId="67C5E820"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21</w:t>
            </w:r>
          </w:p>
        </w:tc>
        <w:tc>
          <w:tcPr>
            <w:tcW w:w="1202" w:type="dxa"/>
            <w:tcBorders>
              <w:left w:val="nil"/>
            </w:tcBorders>
            <w:noWrap/>
            <w:vAlign w:val="center"/>
          </w:tcPr>
          <w:p w14:paraId="2E66F449"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63.6</w:t>
            </w:r>
          </w:p>
        </w:tc>
        <w:tc>
          <w:tcPr>
            <w:tcW w:w="1495" w:type="dxa"/>
            <w:tcBorders>
              <w:right w:val="nil"/>
            </w:tcBorders>
            <w:noWrap/>
            <w:vAlign w:val="center"/>
          </w:tcPr>
          <w:p w14:paraId="3EB65422"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(2)</w:t>
            </w:r>
          </w:p>
        </w:tc>
        <w:tc>
          <w:tcPr>
            <w:tcW w:w="1276" w:type="dxa"/>
            <w:tcBorders>
              <w:left w:val="nil"/>
              <w:right w:val="nil"/>
            </w:tcBorders>
            <w:noWrap/>
            <w:vAlign w:val="center"/>
          </w:tcPr>
          <w:p w14:paraId="73C67E5B"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20</w:t>
            </w:r>
          </w:p>
        </w:tc>
        <w:tc>
          <w:tcPr>
            <w:tcW w:w="1276" w:type="dxa"/>
            <w:tcBorders>
              <w:left w:val="nil"/>
            </w:tcBorders>
            <w:noWrap/>
            <w:vAlign w:val="center"/>
          </w:tcPr>
          <w:p w14:paraId="20EA5961"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60.6</w:t>
            </w:r>
          </w:p>
        </w:tc>
      </w:tr>
      <w:tr w:rsidR="00B24196" w:rsidRPr="00975564" w14:paraId="388C1367" w14:textId="77777777" w:rsidTr="00D65FE6">
        <w:trPr>
          <w:trHeight w:val="630"/>
        </w:trPr>
        <w:tc>
          <w:tcPr>
            <w:tcW w:w="5920" w:type="dxa"/>
          </w:tcPr>
          <w:p w14:paraId="4347D888"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 xml:space="preserve">57R. The public health agency has resources allocated and/or identified for evaluation, learning and/or research to address knowledge gaps relevant to emergency management. </w:t>
            </w:r>
          </w:p>
        </w:tc>
        <w:tc>
          <w:tcPr>
            <w:tcW w:w="1663" w:type="dxa"/>
            <w:tcBorders>
              <w:right w:val="nil"/>
            </w:tcBorders>
            <w:noWrap/>
            <w:vAlign w:val="center"/>
          </w:tcPr>
          <w:p w14:paraId="364AA0D0"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(2)</w:t>
            </w:r>
          </w:p>
        </w:tc>
        <w:tc>
          <w:tcPr>
            <w:tcW w:w="1168" w:type="dxa"/>
            <w:tcBorders>
              <w:left w:val="nil"/>
              <w:right w:val="nil"/>
            </w:tcBorders>
            <w:noWrap/>
            <w:vAlign w:val="center"/>
          </w:tcPr>
          <w:p w14:paraId="6808295F"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23</w:t>
            </w:r>
          </w:p>
        </w:tc>
        <w:tc>
          <w:tcPr>
            <w:tcW w:w="1202" w:type="dxa"/>
            <w:tcBorders>
              <w:left w:val="nil"/>
            </w:tcBorders>
            <w:noWrap/>
            <w:vAlign w:val="center"/>
          </w:tcPr>
          <w:p w14:paraId="1C280B3D"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69.7</w:t>
            </w:r>
          </w:p>
        </w:tc>
        <w:tc>
          <w:tcPr>
            <w:tcW w:w="1495" w:type="dxa"/>
            <w:tcBorders>
              <w:right w:val="nil"/>
            </w:tcBorders>
            <w:noWrap/>
            <w:vAlign w:val="center"/>
          </w:tcPr>
          <w:p w14:paraId="4743E1F3"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(2)</w:t>
            </w:r>
          </w:p>
        </w:tc>
        <w:tc>
          <w:tcPr>
            <w:tcW w:w="1276" w:type="dxa"/>
            <w:tcBorders>
              <w:left w:val="nil"/>
              <w:right w:val="nil"/>
            </w:tcBorders>
            <w:noWrap/>
            <w:vAlign w:val="center"/>
          </w:tcPr>
          <w:p w14:paraId="1240095D"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22</w:t>
            </w:r>
          </w:p>
        </w:tc>
        <w:tc>
          <w:tcPr>
            <w:tcW w:w="1276" w:type="dxa"/>
            <w:tcBorders>
              <w:left w:val="nil"/>
            </w:tcBorders>
            <w:noWrap/>
            <w:vAlign w:val="center"/>
          </w:tcPr>
          <w:p w14:paraId="3DB3DF58"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66.7</w:t>
            </w:r>
          </w:p>
        </w:tc>
      </w:tr>
    </w:tbl>
    <w:p w14:paraId="70D1277D" w14:textId="77777777" w:rsidR="00B24196" w:rsidRPr="00975564" w:rsidRDefault="00B24196" w:rsidP="00B24196">
      <w:pPr>
        <w:spacing w:after="0" w:line="240" w:lineRule="auto"/>
      </w:pPr>
      <w:r w:rsidRPr="00975564">
        <w:rPr>
          <w:rFonts w:ascii="Times New Roman" w:eastAsiaTheme="minorEastAsia" w:hAnsi="Times New Roman" w:cs="Times New Roman"/>
          <w:sz w:val="20"/>
          <w:szCs w:val="20"/>
          <w:vertAlign w:val="superscript"/>
          <w:lang w:eastAsia="en-CA"/>
        </w:rPr>
        <w:t>a</w:t>
      </w:r>
      <w:r w:rsidRPr="00975564">
        <w:rPr>
          <w:rFonts w:ascii="Times New Roman" w:eastAsiaTheme="minorEastAsia" w:hAnsi="Times New Roman" w:cs="Times New Roman"/>
          <w:sz w:val="20"/>
          <w:szCs w:val="20"/>
          <w:lang w:eastAsia="en-CA"/>
        </w:rPr>
        <w:t xml:space="preserve">R denotes a </w:t>
      </w:r>
      <w:r w:rsidRPr="00975564">
        <w:rPr>
          <w:rFonts w:ascii="Times New Roman" w:eastAsiaTheme="minorEastAsia" w:hAnsi="Times New Roman" w:cs="Times New Roman"/>
          <w:b/>
          <w:sz w:val="20"/>
          <w:szCs w:val="20"/>
          <w:lang w:eastAsia="en-CA"/>
        </w:rPr>
        <w:t>revised</w:t>
      </w:r>
      <w:r w:rsidRPr="00975564">
        <w:rPr>
          <w:rFonts w:ascii="Times New Roman" w:eastAsiaTheme="minorEastAsia" w:hAnsi="Times New Roman" w:cs="Times New Roman"/>
          <w:sz w:val="20"/>
          <w:szCs w:val="20"/>
          <w:lang w:eastAsia="en-CA"/>
        </w:rPr>
        <w:t xml:space="preserve"> indicator; N denotes a </w:t>
      </w:r>
      <w:r w:rsidRPr="00975564">
        <w:rPr>
          <w:rFonts w:ascii="Times New Roman" w:eastAsiaTheme="minorEastAsia" w:hAnsi="Times New Roman" w:cs="Times New Roman"/>
          <w:b/>
          <w:sz w:val="20"/>
          <w:szCs w:val="20"/>
          <w:lang w:eastAsia="en-CA"/>
        </w:rPr>
        <w:t>new</w:t>
      </w:r>
      <w:r w:rsidRPr="00975564">
        <w:rPr>
          <w:rFonts w:ascii="Times New Roman" w:eastAsiaTheme="minorEastAsia" w:hAnsi="Times New Roman" w:cs="Times New Roman"/>
          <w:sz w:val="20"/>
          <w:szCs w:val="20"/>
          <w:lang w:eastAsia="en-CA"/>
        </w:rPr>
        <w:t xml:space="preserve"> indicator suggested by the panel</w:t>
      </w:r>
    </w:p>
    <w:p w14:paraId="66DBDC01" w14:textId="77777777" w:rsidR="00B24196" w:rsidRDefault="00B24196" w:rsidP="00975564">
      <w:pPr>
        <w:rPr>
          <w:rFonts w:ascii="Times New Roman" w:eastAsiaTheme="minorEastAsia" w:hAnsi="Times New Roman" w:cs="Times New Roman"/>
          <w:sz w:val="20"/>
          <w:szCs w:val="20"/>
          <w:lang w:eastAsia="en-CA"/>
        </w:rPr>
      </w:pPr>
    </w:p>
    <w:p w14:paraId="22E4D4C8" w14:textId="77777777" w:rsidR="00B24196" w:rsidRDefault="00B24196" w:rsidP="00975564">
      <w:pPr>
        <w:rPr>
          <w:rFonts w:ascii="Times New Roman" w:eastAsiaTheme="minorEastAsia" w:hAnsi="Times New Roman" w:cs="Times New Roman"/>
          <w:sz w:val="20"/>
          <w:szCs w:val="20"/>
          <w:lang w:eastAsia="en-CA"/>
        </w:rPr>
      </w:pPr>
    </w:p>
    <w:p w14:paraId="3FC3C590" w14:textId="77777777" w:rsidR="00B24196" w:rsidRDefault="00B24196" w:rsidP="00975564">
      <w:pPr>
        <w:rPr>
          <w:rFonts w:ascii="Times New Roman" w:eastAsiaTheme="minorEastAsia" w:hAnsi="Times New Roman" w:cs="Times New Roman"/>
          <w:sz w:val="20"/>
          <w:szCs w:val="20"/>
          <w:lang w:eastAsia="en-CA"/>
        </w:rPr>
      </w:pPr>
    </w:p>
    <w:p w14:paraId="547EF509" w14:textId="77777777" w:rsidR="00B24196" w:rsidRDefault="00B24196" w:rsidP="00975564">
      <w:pPr>
        <w:rPr>
          <w:rFonts w:ascii="Times New Roman" w:eastAsiaTheme="minorEastAsia" w:hAnsi="Times New Roman" w:cs="Times New Roman"/>
          <w:sz w:val="20"/>
          <w:szCs w:val="20"/>
          <w:lang w:eastAsia="en-CA"/>
        </w:rPr>
      </w:pPr>
    </w:p>
    <w:p w14:paraId="258B3E4D" w14:textId="77777777" w:rsidR="00B24196" w:rsidRDefault="00B24196" w:rsidP="00975564">
      <w:pPr>
        <w:rPr>
          <w:rFonts w:ascii="Times New Roman" w:eastAsiaTheme="minorEastAsia" w:hAnsi="Times New Roman" w:cs="Times New Roman"/>
          <w:sz w:val="20"/>
          <w:szCs w:val="20"/>
          <w:lang w:eastAsia="en-CA"/>
        </w:rPr>
      </w:pPr>
    </w:p>
    <w:p w14:paraId="69E1D641" w14:textId="77777777" w:rsidR="00B24196" w:rsidRDefault="00B24196" w:rsidP="00975564">
      <w:pPr>
        <w:rPr>
          <w:rFonts w:ascii="Times New Roman" w:eastAsiaTheme="minorEastAsia" w:hAnsi="Times New Roman" w:cs="Times New Roman"/>
          <w:sz w:val="20"/>
          <w:szCs w:val="20"/>
          <w:lang w:eastAsia="en-CA"/>
        </w:rPr>
      </w:pPr>
    </w:p>
    <w:p w14:paraId="17E563FE" w14:textId="77777777" w:rsidR="00B24196" w:rsidRDefault="00B24196" w:rsidP="00975564">
      <w:pPr>
        <w:rPr>
          <w:rFonts w:ascii="Times New Roman" w:eastAsiaTheme="minorEastAsia" w:hAnsi="Times New Roman" w:cs="Times New Roman"/>
          <w:sz w:val="20"/>
          <w:szCs w:val="20"/>
          <w:lang w:eastAsia="en-CA"/>
        </w:rPr>
      </w:pPr>
    </w:p>
    <w:p w14:paraId="5639BBB9" w14:textId="77777777" w:rsidR="00B24196" w:rsidRDefault="00B24196" w:rsidP="00975564">
      <w:pPr>
        <w:rPr>
          <w:rFonts w:ascii="Times New Roman" w:eastAsiaTheme="minorEastAsia" w:hAnsi="Times New Roman" w:cs="Times New Roman"/>
          <w:sz w:val="20"/>
          <w:szCs w:val="20"/>
          <w:lang w:eastAsia="en-CA"/>
        </w:rPr>
      </w:pPr>
    </w:p>
    <w:p w14:paraId="7FE387BD" w14:textId="77777777" w:rsidR="00B24196" w:rsidRDefault="00B24196" w:rsidP="00975564">
      <w:pPr>
        <w:rPr>
          <w:rFonts w:ascii="Times New Roman" w:eastAsiaTheme="minorEastAsia" w:hAnsi="Times New Roman" w:cs="Times New Roman"/>
          <w:sz w:val="20"/>
          <w:szCs w:val="20"/>
          <w:lang w:eastAsia="en-CA"/>
        </w:rPr>
      </w:pPr>
    </w:p>
    <w:p w14:paraId="638B599F" w14:textId="37205499" w:rsidR="00B24196" w:rsidRPr="00C20892" w:rsidRDefault="00B24196" w:rsidP="00B24196">
      <w:pPr>
        <w:pStyle w:val="Heading1"/>
        <w:rPr>
          <w:rFonts w:ascii="Times New Roman" w:eastAsiaTheme="minorEastAsia" w:hAnsi="Times New Roman" w:cs="Times New Roman"/>
          <w:color w:val="auto"/>
          <w:sz w:val="20"/>
          <w:szCs w:val="20"/>
          <w:lang w:eastAsia="en-CA"/>
        </w:rPr>
      </w:pPr>
      <w:bookmarkStart w:id="16" w:name="_Toc505158650"/>
      <w:bookmarkStart w:id="17" w:name="_Toc505695039"/>
      <w:bookmarkStart w:id="18" w:name="_Toc535852485"/>
      <w:bookmarkStart w:id="19" w:name="_Toc535852612"/>
      <w:bookmarkStart w:id="20" w:name="_Toc535853111"/>
      <w:r>
        <w:rPr>
          <w:rFonts w:ascii="Times New Roman" w:eastAsiaTheme="minorEastAsia" w:hAnsi="Times New Roman" w:cs="Times New Roman"/>
          <w:color w:val="auto"/>
          <w:sz w:val="20"/>
          <w:szCs w:val="20"/>
          <w:lang w:eastAsia="en-CA"/>
        </w:rPr>
        <w:lastRenderedPageBreak/>
        <w:t>S</w:t>
      </w:r>
      <w:r w:rsidR="00B067A4">
        <w:rPr>
          <w:rFonts w:ascii="Times New Roman" w:eastAsiaTheme="minorEastAsia" w:hAnsi="Times New Roman" w:cs="Times New Roman"/>
          <w:color w:val="auto"/>
          <w:sz w:val="20"/>
          <w:szCs w:val="20"/>
          <w:lang w:eastAsia="en-CA"/>
        </w:rPr>
        <w:t>4</w:t>
      </w:r>
      <w:r>
        <w:rPr>
          <w:rFonts w:ascii="Times New Roman" w:eastAsiaTheme="minorEastAsia" w:hAnsi="Times New Roman" w:cs="Times New Roman"/>
          <w:color w:val="auto"/>
          <w:sz w:val="20"/>
          <w:szCs w:val="20"/>
          <w:lang w:eastAsia="en-CA"/>
        </w:rPr>
        <w:t xml:space="preserve"> Table 6</w:t>
      </w:r>
      <w:r w:rsidRPr="00C20892">
        <w:rPr>
          <w:rFonts w:ascii="Times New Roman" w:eastAsiaTheme="minorEastAsia" w:hAnsi="Times New Roman" w:cs="Times New Roman"/>
          <w:color w:val="auto"/>
          <w:sz w:val="20"/>
          <w:szCs w:val="20"/>
          <w:lang w:eastAsia="en-CA"/>
        </w:rPr>
        <w:t xml:space="preserve">. </w:t>
      </w:r>
      <w:bookmarkEnd w:id="16"/>
      <w:bookmarkEnd w:id="17"/>
      <w:r w:rsidRPr="00C20892">
        <w:rPr>
          <w:rFonts w:ascii="Times New Roman" w:eastAsiaTheme="minorEastAsia" w:hAnsi="Times New Roman" w:cs="Times New Roman"/>
          <w:color w:val="auto"/>
          <w:sz w:val="20"/>
          <w:szCs w:val="20"/>
          <w:lang w:eastAsia="en-CA"/>
        </w:rPr>
        <w:t>Round three survey indicators that achieved ≥ 70% consensus level on both criteria</w:t>
      </w:r>
      <w:bookmarkEnd w:id="18"/>
      <w:bookmarkEnd w:id="19"/>
      <w:bookmarkEnd w:id="20"/>
    </w:p>
    <w:tbl>
      <w:tblPr>
        <w:tblStyle w:val="TableGrid1"/>
        <w:tblW w:w="13149" w:type="dxa"/>
        <w:tblLayout w:type="fixed"/>
        <w:tblLook w:val="04A0" w:firstRow="1" w:lastRow="0" w:firstColumn="1" w:lastColumn="0" w:noHBand="0" w:noVBand="1"/>
      </w:tblPr>
      <w:tblGrid>
        <w:gridCol w:w="4503"/>
        <w:gridCol w:w="1275"/>
        <w:gridCol w:w="851"/>
        <w:gridCol w:w="1276"/>
        <w:gridCol w:w="850"/>
        <w:gridCol w:w="1418"/>
        <w:gridCol w:w="850"/>
        <w:gridCol w:w="1276"/>
        <w:gridCol w:w="850"/>
      </w:tblGrid>
      <w:tr w:rsidR="00B24196" w:rsidRPr="00975564" w14:paraId="435CB66F" w14:textId="77777777" w:rsidTr="00D65FE6">
        <w:trPr>
          <w:trHeight w:val="396"/>
          <w:tblHeader/>
        </w:trPr>
        <w:tc>
          <w:tcPr>
            <w:tcW w:w="4503" w:type="dxa"/>
            <w:tcBorders>
              <w:top w:val="nil"/>
              <w:left w:val="nil"/>
            </w:tcBorders>
          </w:tcPr>
          <w:p w14:paraId="73FA255D" w14:textId="77777777" w:rsidR="00B24196" w:rsidRPr="00975564" w:rsidRDefault="00B24196" w:rsidP="00D65FE6">
            <w:pPr>
              <w:outlineLvl w:val="0"/>
              <w:rPr>
                <w:rFonts w:ascii="Times New Roman" w:hAnsi="Times New Roman" w:cs="Times New Roman"/>
                <w:color w:val="FFFFFF" w:themeColor="background1"/>
                <w:sz w:val="20"/>
                <w:szCs w:val="20"/>
              </w:rPr>
            </w:pPr>
          </w:p>
        </w:tc>
        <w:tc>
          <w:tcPr>
            <w:tcW w:w="4252" w:type="dxa"/>
            <w:gridSpan w:val="4"/>
            <w:shd w:val="clear" w:color="auto" w:fill="auto"/>
            <w:vAlign w:val="center"/>
          </w:tcPr>
          <w:p w14:paraId="5E78639C"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Important</w:t>
            </w:r>
          </w:p>
        </w:tc>
        <w:tc>
          <w:tcPr>
            <w:tcW w:w="4394" w:type="dxa"/>
            <w:gridSpan w:val="4"/>
            <w:shd w:val="clear" w:color="auto" w:fill="auto"/>
            <w:vAlign w:val="center"/>
          </w:tcPr>
          <w:p w14:paraId="4B923734"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Actionable</w:t>
            </w:r>
          </w:p>
        </w:tc>
      </w:tr>
      <w:tr w:rsidR="00B24196" w:rsidRPr="00975564" w14:paraId="516EB8D4" w14:textId="77777777" w:rsidTr="00D65FE6">
        <w:trPr>
          <w:tblHeader/>
        </w:trPr>
        <w:tc>
          <w:tcPr>
            <w:tcW w:w="4503" w:type="dxa"/>
            <w:tcBorders>
              <w:bottom w:val="single" w:sz="4" w:space="0" w:color="auto"/>
            </w:tcBorders>
            <w:vAlign w:val="center"/>
          </w:tcPr>
          <w:p w14:paraId="56CF936B"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Indicators (n=3)</w:t>
            </w:r>
            <w:r w:rsidRPr="00975564">
              <w:rPr>
                <w:rFonts w:ascii="Times New Roman" w:hAnsi="Times New Roman" w:cs="Times New Roman"/>
                <w:sz w:val="20"/>
                <w:szCs w:val="20"/>
                <w:vertAlign w:val="superscript"/>
              </w:rPr>
              <w:t>a</w:t>
            </w:r>
          </w:p>
        </w:tc>
        <w:tc>
          <w:tcPr>
            <w:tcW w:w="1275" w:type="dxa"/>
            <w:tcBorders>
              <w:right w:val="nil"/>
            </w:tcBorders>
            <w:vAlign w:val="center"/>
          </w:tcPr>
          <w:p w14:paraId="74575A91"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Median (IQR)</w:t>
            </w:r>
          </w:p>
        </w:tc>
        <w:tc>
          <w:tcPr>
            <w:tcW w:w="851" w:type="dxa"/>
            <w:tcBorders>
              <w:left w:val="nil"/>
              <w:bottom w:val="single" w:sz="4" w:space="0" w:color="auto"/>
              <w:right w:val="nil"/>
            </w:tcBorders>
            <w:vAlign w:val="center"/>
          </w:tcPr>
          <w:p w14:paraId="563A5FB1"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 xml:space="preserve">No. </w:t>
            </w:r>
          </w:p>
        </w:tc>
        <w:tc>
          <w:tcPr>
            <w:tcW w:w="1276" w:type="dxa"/>
            <w:tcBorders>
              <w:left w:val="nil"/>
              <w:right w:val="nil"/>
            </w:tcBorders>
            <w:vAlign w:val="center"/>
          </w:tcPr>
          <w:p w14:paraId="1875DC40"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 xml:space="preserve">Consensus Level (%) </w:t>
            </w:r>
          </w:p>
        </w:tc>
        <w:tc>
          <w:tcPr>
            <w:tcW w:w="850" w:type="dxa"/>
            <w:tcBorders>
              <w:left w:val="nil"/>
              <w:bottom w:val="single" w:sz="4" w:space="0" w:color="auto"/>
            </w:tcBorders>
            <w:vAlign w:val="center"/>
          </w:tcPr>
          <w:p w14:paraId="7C8F39A5"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n</w:t>
            </w:r>
          </w:p>
        </w:tc>
        <w:tc>
          <w:tcPr>
            <w:tcW w:w="1418" w:type="dxa"/>
            <w:tcBorders>
              <w:right w:val="nil"/>
            </w:tcBorders>
            <w:vAlign w:val="center"/>
          </w:tcPr>
          <w:p w14:paraId="1DA36A33"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Median (IQR)</w:t>
            </w:r>
          </w:p>
        </w:tc>
        <w:tc>
          <w:tcPr>
            <w:tcW w:w="850" w:type="dxa"/>
            <w:tcBorders>
              <w:left w:val="nil"/>
              <w:bottom w:val="single" w:sz="4" w:space="0" w:color="auto"/>
              <w:right w:val="nil"/>
            </w:tcBorders>
            <w:vAlign w:val="center"/>
          </w:tcPr>
          <w:p w14:paraId="212DF8BA"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 xml:space="preserve">No. </w:t>
            </w:r>
          </w:p>
        </w:tc>
        <w:tc>
          <w:tcPr>
            <w:tcW w:w="1276" w:type="dxa"/>
            <w:tcBorders>
              <w:left w:val="nil"/>
              <w:right w:val="nil"/>
            </w:tcBorders>
            <w:vAlign w:val="center"/>
          </w:tcPr>
          <w:p w14:paraId="7BABB502"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 xml:space="preserve">Consensus Level (%) </w:t>
            </w:r>
          </w:p>
        </w:tc>
        <w:tc>
          <w:tcPr>
            <w:tcW w:w="850" w:type="dxa"/>
            <w:tcBorders>
              <w:left w:val="nil"/>
              <w:bottom w:val="single" w:sz="4" w:space="0" w:color="auto"/>
            </w:tcBorders>
            <w:vAlign w:val="center"/>
          </w:tcPr>
          <w:p w14:paraId="054C0BD6"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n</w:t>
            </w:r>
          </w:p>
        </w:tc>
      </w:tr>
      <w:tr w:rsidR="00B24196" w:rsidRPr="00975564" w14:paraId="2A1614E0" w14:textId="77777777" w:rsidTr="00D65FE6">
        <w:trPr>
          <w:trHeight w:val="227"/>
        </w:trPr>
        <w:tc>
          <w:tcPr>
            <w:tcW w:w="4503" w:type="dxa"/>
            <w:shd w:val="clear" w:color="auto" w:fill="595959" w:themeFill="text1" w:themeFillTint="A6"/>
            <w:vAlign w:val="center"/>
            <w:hideMark/>
          </w:tcPr>
          <w:p w14:paraId="1FB57DAD"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Governance and Leadership</w:t>
            </w:r>
          </w:p>
        </w:tc>
        <w:tc>
          <w:tcPr>
            <w:tcW w:w="1275" w:type="dxa"/>
            <w:tcBorders>
              <w:bottom w:val="single" w:sz="4" w:space="0" w:color="auto"/>
              <w:right w:val="nil"/>
            </w:tcBorders>
            <w:shd w:val="clear" w:color="auto" w:fill="595959" w:themeFill="text1" w:themeFillTint="A6"/>
            <w:noWrap/>
            <w:vAlign w:val="center"/>
          </w:tcPr>
          <w:p w14:paraId="10A31577"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851" w:type="dxa"/>
            <w:tcBorders>
              <w:left w:val="nil"/>
              <w:bottom w:val="single" w:sz="4" w:space="0" w:color="auto"/>
              <w:right w:val="nil"/>
            </w:tcBorders>
            <w:shd w:val="clear" w:color="auto" w:fill="595959" w:themeFill="text1" w:themeFillTint="A6"/>
            <w:noWrap/>
            <w:vAlign w:val="center"/>
          </w:tcPr>
          <w:p w14:paraId="5B7B31DF"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right w:val="nil"/>
            </w:tcBorders>
            <w:shd w:val="clear" w:color="auto" w:fill="595959" w:themeFill="text1" w:themeFillTint="A6"/>
            <w:noWrap/>
            <w:vAlign w:val="center"/>
          </w:tcPr>
          <w:p w14:paraId="20352855"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850" w:type="dxa"/>
            <w:tcBorders>
              <w:left w:val="nil"/>
              <w:bottom w:val="single" w:sz="4" w:space="0" w:color="auto"/>
            </w:tcBorders>
            <w:shd w:val="clear" w:color="auto" w:fill="595959" w:themeFill="text1" w:themeFillTint="A6"/>
          </w:tcPr>
          <w:p w14:paraId="32590312"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418" w:type="dxa"/>
            <w:tcBorders>
              <w:right w:val="nil"/>
            </w:tcBorders>
            <w:shd w:val="clear" w:color="auto" w:fill="595959" w:themeFill="text1" w:themeFillTint="A6"/>
            <w:noWrap/>
            <w:vAlign w:val="center"/>
          </w:tcPr>
          <w:p w14:paraId="1BD79A3D"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850" w:type="dxa"/>
            <w:tcBorders>
              <w:left w:val="nil"/>
              <w:bottom w:val="single" w:sz="4" w:space="0" w:color="auto"/>
              <w:right w:val="nil"/>
            </w:tcBorders>
            <w:shd w:val="clear" w:color="auto" w:fill="595959" w:themeFill="text1" w:themeFillTint="A6"/>
            <w:noWrap/>
            <w:vAlign w:val="center"/>
          </w:tcPr>
          <w:p w14:paraId="3944E1B0"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bottom w:val="single" w:sz="4" w:space="0" w:color="auto"/>
              <w:right w:val="nil"/>
            </w:tcBorders>
            <w:shd w:val="clear" w:color="auto" w:fill="595959" w:themeFill="text1" w:themeFillTint="A6"/>
            <w:noWrap/>
            <w:vAlign w:val="center"/>
          </w:tcPr>
          <w:p w14:paraId="2292FA60"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850" w:type="dxa"/>
            <w:tcBorders>
              <w:left w:val="nil"/>
              <w:bottom w:val="single" w:sz="4" w:space="0" w:color="auto"/>
            </w:tcBorders>
            <w:shd w:val="clear" w:color="auto" w:fill="595959" w:themeFill="text1" w:themeFillTint="A6"/>
          </w:tcPr>
          <w:p w14:paraId="7B9BFBC1" w14:textId="77777777" w:rsidR="00B24196" w:rsidRPr="00975564" w:rsidRDefault="00B24196" w:rsidP="00D65FE6">
            <w:pPr>
              <w:jc w:val="center"/>
              <w:rPr>
                <w:rFonts w:ascii="Times New Roman" w:hAnsi="Times New Roman" w:cs="Times New Roman"/>
                <w:b/>
                <w:color w:val="FFFFFF" w:themeColor="background1"/>
                <w:sz w:val="20"/>
                <w:szCs w:val="20"/>
              </w:rPr>
            </w:pPr>
          </w:p>
        </w:tc>
      </w:tr>
      <w:tr w:rsidR="00B24196" w:rsidRPr="00975564" w14:paraId="33564815" w14:textId="77777777" w:rsidTr="00D65FE6">
        <w:trPr>
          <w:trHeight w:val="945"/>
        </w:trPr>
        <w:tc>
          <w:tcPr>
            <w:tcW w:w="4503" w:type="dxa"/>
          </w:tcPr>
          <w:p w14:paraId="2C2B8F4C"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2N. The public health agencies plans are linked to the mandate of network partners in vertical or horizontal multi-jurisdictional response to emergencies; for example, responsibilities for different levels of government.</w:t>
            </w:r>
          </w:p>
        </w:tc>
        <w:tc>
          <w:tcPr>
            <w:tcW w:w="1275" w:type="dxa"/>
            <w:tcBorders>
              <w:bottom w:val="single" w:sz="4" w:space="0" w:color="auto"/>
              <w:right w:val="nil"/>
            </w:tcBorders>
            <w:noWrap/>
            <w:vAlign w:val="center"/>
          </w:tcPr>
          <w:p w14:paraId="1E2519BF"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(0)</w:t>
            </w:r>
          </w:p>
        </w:tc>
        <w:tc>
          <w:tcPr>
            <w:tcW w:w="851" w:type="dxa"/>
            <w:tcBorders>
              <w:left w:val="nil"/>
              <w:bottom w:val="single" w:sz="4" w:space="0" w:color="auto"/>
              <w:right w:val="nil"/>
            </w:tcBorders>
            <w:noWrap/>
            <w:vAlign w:val="center"/>
          </w:tcPr>
          <w:p w14:paraId="105984A3"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23</w:t>
            </w:r>
          </w:p>
        </w:tc>
        <w:tc>
          <w:tcPr>
            <w:tcW w:w="1276" w:type="dxa"/>
            <w:tcBorders>
              <w:left w:val="nil"/>
              <w:bottom w:val="single" w:sz="4" w:space="0" w:color="auto"/>
              <w:right w:val="nil"/>
            </w:tcBorders>
            <w:noWrap/>
            <w:vAlign w:val="center"/>
          </w:tcPr>
          <w:p w14:paraId="5542294B"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88.5</w:t>
            </w:r>
          </w:p>
        </w:tc>
        <w:tc>
          <w:tcPr>
            <w:tcW w:w="850" w:type="dxa"/>
            <w:tcBorders>
              <w:left w:val="nil"/>
              <w:bottom w:val="single" w:sz="4" w:space="0" w:color="auto"/>
            </w:tcBorders>
            <w:vAlign w:val="center"/>
          </w:tcPr>
          <w:p w14:paraId="66371868"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26</w:t>
            </w:r>
          </w:p>
        </w:tc>
        <w:tc>
          <w:tcPr>
            <w:tcW w:w="1418" w:type="dxa"/>
            <w:tcBorders>
              <w:bottom w:val="single" w:sz="4" w:space="0" w:color="auto"/>
              <w:right w:val="nil"/>
            </w:tcBorders>
            <w:noWrap/>
            <w:vAlign w:val="center"/>
          </w:tcPr>
          <w:p w14:paraId="6AB038C7"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(1)</w:t>
            </w:r>
          </w:p>
        </w:tc>
        <w:tc>
          <w:tcPr>
            <w:tcW w:w="850" w:type="dxa"/>
            <w:tcBorders>
              <w:left w:val="nil"/>
              <w:bottom w:val="single" w:sz="4" w:space="0" w:color="auto"/>
              <w:right w:val="nil"/>
            </w:tcBorders>
            <w:noWrap/>
            <w:vAlign w:val="center"/>
          </w:tcPr>
          <w:p w14:paraId="057F12D2"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23</w:t>
            </w:r>
          </w:p>
        </w:tc>
        <w:tc>
          <w:tcPr>
            <w:tcW w:w="1276" w:type="dxa"/>
            <w:tcBorders>
              <w:left w:val="nil"/>
              <w:bottom w:val="single" w:sz="4" w:space="0" w:color="auto"/>
              <w:right w:val="nil"/>
            </w:tcBorders>
            <w:noWrap/>
            <w:vAlign w:val="center"/>
          </w:tcPr>
          <w:p w14:paraId="7701C4AC"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88.5</w:t>
            </w:r>
          </w:p>
        </w:tc>
        <w:tc>
          <w:tcPr>
            <w:tcW w:w="850" w:type="dxa"/>
            <w:tcBorders>
              <w:left w:val="nil"/>
              <w:bottom w:val="single" w:sz="4" w:space="0" w:color="auto"/>
            </w:tcBorders>
            <w:vAlign w:val="center"/>
          </w:tcPr>
          <w:p w14:paraId="19E2F824"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26</w:t>
            </w:r>
          </w:p>
        </w:tc>
      </w:tr>
      <w:tr w:rsidR="00B24196" w:rsidRPr="00975564" w14:paraId="60A2B211" w14:textId="77777777" w:rsidTr="00D65FE6">
        <w:trPr>
          <w:trHeight w:val="945"/>
        </w:trPr>
        <w:tc>
          <w:tcPr>
            <w:tcW w:w="4503" w:type="dxa"/>
          </w:tcPr>
          <w:p w14:paraId="101820A7"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color w:val="000000"/>
                <w:sz w:val="20"/>
                <w:szCs w:val="20"/>
              </w:rPr>
              <w:t>4N. The public health agency engages with policy-makers to address gaps in policy and/or legislation that pertain to the effectiveness of its emergency management plans and/or protocols.</w:t>
            </w:r>
          </w:p>
        </w:tc>
        <w:tc>
          <w:tcPr>
            <w:tcW w:w="1275" w:type="dxa"/>
            <w:tcBorders>
              <w:right w:val="nil"/>
            </w:tcBorders>
            <w:noWrap/>
            <w:vAlign w:val="center"/>
          </w:tcPr>
          <w:p w14:paraId="08A9640A"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(1)</w:t>
            </w:r>
          </w:p>
        </w:tc>
        <w:tc>
          <w:tcPr>
            <w:tcW w:w="851" w:type="dxa"/>
            <w:tcBorders>
              <w:left w:val="nil"/>
              <w:right w:val="nil"/>
            </w:tcBorders>
            <w:noWrap/>
            <w:vAlign w:val="center"/>
          </w:tcPr>
          <w:p w14:paraId="656F7E0A"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24</w:t>
            </w:r>
          </w:p>
        </w:tc>
        <w:tc>
          <w:tcPr>
            <w:tcW w:w="1276" w:type="dxa"/>
            <w:tcBorders>
              <w:left w:val="nil"/>
              <w:right w:val="nil"/>
            </w:tcBorders>
            <w:noWrap/>
            <w:vAlign w:val="center"/>
          </w:tcPr>
          <w:p w14:paraId="01433E7F"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92.3</w:t>
            </w:r>
          </w:p>
        </w:tc>
        <w:tc>
          <w:tcPr>
            <w:tcW w:w="850" w:type="dxa"/>
            <w:tcBorders>
              <w:left w:val="nil"/>
            </w:tcBorders>
            <w:vAlign w:val="center"/>
          </w:tcPr>
          <w:p w14:paraId="0BC14117"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26</w:t>
            </w:r>
          </w:p>
        </w:tc>
        <w:tc>
          <w:tcPr>
            <w:tcW w:w="1418" w:type="dxa"/>
            <w:tcBorders>
              <w:right w:val="nil"/>
            </w:tcBorders>
            <w:noWrap/>
            <w:vAlign w:val="center"/>
          </w:tcPr>
          <w:p w14:paraId="0FEAD69E"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(1)</w:t>
            </w:r>
          </w:p>
        </w:tc>
        <w:tc>
          <w:tcPr>
            <w:tcW w:w="850" w:type="dxa"/>
            <w:tcBorders>
              <w:left w:val="nil"/>
              <w:right w:val="nil"/>
            </w:tcBorders>
            <w:noWrap/>
            <w:vAlign w:val="center"/>
          </w:tcPr>
          <w:p w14:paraId="3F382069"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22</w:t>
            </w:r>
          </w:p>
        </w:tc>
        <w:tc>
          <w:tcPr>
            <w:tcW w:w="1276" w:type="dxa"/>
            <w:tcBorders>
              <w:left w:val="nil"/>
              <w:right w:val="nil"/>
            </w:tcBorders>
            <w:noWrap/>
            <w:vAlign w:val="center"/>
          </w:tcPr>
          <w:p w14:paraId="67403665"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91.7</w:t>
            </w:r>
          </w:p>
        </w:tc>
        <w:tc>
          <w:tcPr>
            <w:tcW w:w="850" w:type="dxa"/>
            <w:tcBorders>
              <w:left w:val="nil"/>
            </w:tcBorders>
            <w:vAlign w:val="center"/>
          </w:tcPr>
          <w:p w14:paraId="2573A58C"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24</w:t>
            </w:r>
          </w:p>
        </w:tc>
      </w:tr>
      <w:tr w:rsidR="00B24196" w:rsidRPr="00975564" w14:paraId="39CA32A5" w14:textId="77777777" w:rsidTr="00D65FE6">
        <w:trPr>
          <w:trHeight w:val="227"/>
        </w:trPr>
        <w:tc>
          <w:tcPr>
            <w:tcW w:w="4503" w:type="dxa"/>
            <w:shd w:val="clear" w:color="auto" w:fill="595959" w:themeFill="text1" w:themeFillTint="A6"/>
            <w:vAlign w:val="center"/>
          </w:tcPr>
          <w:p w14:paraId="5C961795" w14:textId="77777777" w:rsidR="00B24196" w:rsidRPr="00975564" w:rsidRDefault="00B24196" w:rsidP="00D65FE6">
            <w:pPr>
              <w:jc w:val="center"/>
              <w:rPr>
                <w:rFonts w:ascii="Times New Roman" w:hAnsi="Times New Roman" w:cs="Times New Roman"/>
                <w:b/>
                <w:color w:val="000000"/>
                <w:sz w:val="20"/>
                <w:szCs w:val="20"/>
              </w:rPr>
            </w:pPr>
            <w:r w:rsidRPr="00975564">
              <w:rPr>
                <w:rFonts w:ascii="Times New Roman" w:hAnsi="Times New Roman" w:cs="Times New Roman"/>
                <w:b/>
                <w:color w:val="FFFFFF" w:themeColor="background1"/>
                <w:sz w:val="20"/>
                <w:szCs w:val="20"/>
              </w:rPr>
              <w:t>Resources</w:t>
            </w:r>
          </w:p>
        </w:tc>
        <w:tc>
          <w:tcPr>
            <w:tcW w:w="1275" w:type="dxa"/>
            <w:tcBorders>
              <w:right w:val="nil"/>
            </w:tcBorders>
            <w:shd w:val="clear" w:color="auto" w:fill="595959" w:themeFill="text1" w:themeFillTint="A6"/>
            <w:noWrap/>
            <w:vAlign w:val="center"/>
          </w:tcPr>
          <w:p w14:paraId="05138E11" w14:textId="77777777" w:rsidR="00B24196" w:rsidRPr="00975564" w:rsidRDefault="00B24196" w:rsidP="00D65FE6">
            <w:pPr>
              <w:jc w:val="center"/>
              <w:rPr>
                <w:rFonts w:ascii="Times New Roman" w:hAnsi="Times New Roman" w:cs="Times New Roman"/>
                <w:color w:val="000000"/>
                <w:sz w:val="20"/>
                <w:szCs w:val="20"/>
              </w:rPr>
            </w:pPr>
          </w:p>
        </w:tc>
        <w:tc>
          <w:tcPr>
            <w:tcW w:w="851" w:type="dxa"/>
            <w:tcBorders>
              <w:left w:val="nil"/>
              <w:right w:val="nil"/>
            </w:tcBorders>
            <w:shd w:val="clear" w:color="auto" w:fill="595959" w:themeFill="text1" w:themeFillTint="A6"/>
            <w:noWrap/>
            <w:vAlign w:val="center"/>
          </w:tcPr>
          <w:p w14:paraId="5A3DDAF8" w14:textId="77777777" w:rsidR="00B24196" w:rsidRPr="00975564" w:rsidRDefault="00B24196" w:rsidP="00D65FE6">
            <w:pPr>
              <w:jc w:val="center"/>
              <w:rPr>
                <w:rFonts w:ascii="Times New Roman" w:hAnsi="Times New Roman" w:cs="Times New Roman"/>
                <w:color w:val="000000"/>
                <w:sz w:val="20"/>
                <w:szCs w:val="20"/>
              </w:rPr>
            </w:pPr>
          </w:p>
        </w:tc>
        <w:tc>
          <w:tcPr>
            <w:tcW w:w="1276" w:type="dxa"/>
            <w:tcBorders>
              <w:left w:val="nil"/>
              <w:right w:val="nil"/>
            </w:tcBorders>
            <w:shd w:val="clear" w:color="auto" w:fill="595959" w:themeFill="text1" w:themeFillTint="A6"/>
            <w:noWrap/>
            <w:vAlign w:val="center"/>
          </w:tcPr>
          <w:p w14:paraId="12065029" w14:textId="77777777" w:rsidR="00B24196" w:rsidRPr="00975564" w:rsidRDefault="00B24196" w:rsidP="00D65FE6">
            <w:pPr>
              <w:jc w:val="center"/>
              <w:rPr>
                <w:rFonts w:ascii="Times New Roman" w:hAnsi="Times New Roman" w:cs="Times New Roman"/>
                <w:color w:val="000000"/>
                <w:sz w:val="20"/>
                <w:szCs w:val="20"/>
              </w:rPr>
            </w:pPr>
          </w:p>
        </w:tc>
        <w:tc>
          <w:tcPr>
            <w:tcW w:w="850" w:type="dxa"/>
            <w:tcBorders>
              <w:left w:val="nil"/>
            </w:tcBorders>
            <w:shd w:val="clear" w:color="auto" w:fill="595959" w:themeFill="text1" w:themeFillTint="A6"/>
            <w:vAlign w:val="center"/>
          </w:tcPr>
          <w:p w14:paraId="173DF63C" w14:textId="77777777" w:rsidR="00B24196" w:rsidRPr="00975564" w:rsidRDefault="00B24196" w:rsidP="00D65FE6">
            <w:pPr>
              <w:jc w:val="center"/>
              <w:rPr>
                <w:rFonts w:ascii="Times New Roman" w:hAnsi="Times New Roman" w:cs="Times New Roman"/>
                <w:color w:val="000000"/>
                <w:sz w:val="20"/>
                <w:szCs w:val="20"/>
              </w:rPr>
            </w:pPr>
          </w:p>
        </w:tc>
        <w:tc>
          <w:tcPr>
            <w:tcW w:w="1418" w:type="dxa"/>
            <w:tcBorders>
              <w:right w:val="nil"/>
            </w:tcBorders>
            <w:shd w:val="clear" w:color="auto" w:fill="595959" w:themeFill="text1" w:themeFillTint="A6"/>
            <w:noWrap/>
            <w:vAlign w:val="center"/>
          </w:tcPr>
          <w:p w14:paraId="3F1C1E42" w14:textId="77777777" w:rsidR="00B24196" w:rsidRPr="00975564" w:rsidRDefault="00B24196" w:rsidP="00D65FE6">
            <w:pPr>
              <w:jc w:val="center"/>
              <w:rPr>
                <w:rFonts w:ascii="Times New Roman" w:hAnsi="Times New Roman" w:cs="Times New Roman"/>
                <w:color w:val="000000"/>
                <w:sz w:val="20"/>
                <w:szCs w:val="20"/>
              </w:rPr>
            </w:pPr>
          </w:p>
        </w:tc>
        <w:tc>
          <w:tcPr>
            <w:tcW w:w="850" w:type="dxa"/>
            <w:tcBorders>
              <w:left w:val="nil"/>
              <w:right w:val="nil"/>
            </w:tcBorders>
            <w:shd w:val="clear" w:color="auto" w:fill="595959" w:themeFill="text1" w:themeFillTint="A6"/>
            <w:noWrap/>
            <w:vAlign w:val="center"/>
          </w:tcPr>
          <w:p w14:paraId="34C1A83D" w14:textId="77777777" w:rsidR="00B24196" w:rsidRPr="00975564" w:rsidRDefault="00B24196" w:rsidP="00D65FE6">
            <w:pPr>
              <w:jc w:val="center"/>
              <w:rPr>
                <w:rFonts w:ascii="Times New Roman" w:hAnsi="Times New Roman" w:cs="Times New Roman"/>
                <w:color w:val="000000"/>
                <w:sz w:val="20"/>
                <w:szCs w:val="20"/>
              </w:rPr>
            </w:pPr>
          </w:p>
        </w:tc>
        <w:tc>
          <w:tcPr>
            <w:tcW w:w="1276" w:type="dxa"/>
            <w:tcBorders>
              <w:left w:val="nil"/>
              <w:right w:val="nil"/>
            </w:tcBorders>
            <w:shd w:val="clear" w:color="auto" w:fill="595959" w:themeFill="text1" w:themeFillTint="A6"/>
            <w:noWrap/>
            <w:vAlign w:val="center"/>
          </w:tcPr>
          <w:p w14:paraId="045FF2F9" w14:textId="77777777" w:rsidR="00B24196" w:rsidRPr="00975564" w:rsidRDefault="00B24196" w:rsidP="00D65FE6">
            <w:pPr>
              <w:jc w:val="center"/>
              <w:rPr>
                <w:rFonts w:ascii="Times New Roman" w:hAnsi="Times New Roman" w:cs="Times New Roman"/>
                <w:color w:val="000000"/>
                <w:sz w:val="20"/>
                <w:szCs w:val="20"/>
              </w:rPr>
            </w:pPr>
          </w:p>
        </w:tc>
        <w:tc>
          <w:tcPr>
            <w:tcW w:w="850" w:type="dxa"/>
            <w:tcBorders>
              <w:left w:val="nil"/>
            </w:tcBorders>
            <w:shd w:val="clear" w:color="auto" w:fill="595959" w:themeFill="text1" w:themeFillTint="A6"/>
            <w:vAlign w:val="center"/>
          </w:tcPr>
          <w:p w14:paraId="6FF8E085" w14:textId="77777777" w:rsidR="00B24196" w:rsidRPr="00975564" w:rsidRDefault="00B24196" w:rsidP="00D65FE6">
            <w:pPr>
              <w:jc w:val="center"/>
              <w:rPr>
                <w:rFonts w:ascii="Times New Roman" w:hAnsi="Times New Roman" w:cs="Times New Roman"/>
                <w:color w:val="000000"/>
                <w:sz w:val="20"/>
                <w:szCs w:val="20"/>
              </w:rPr>
            </w:pPr>
          </w:p>
        </w:tc>
      </w:tr>
      <w:tr w:rsidR="00B24196" w:rsidRPr="00975564" w14:paraId="20072A9E" w14:textId="77777777" w:rsidTr="00D65FE6">
        <w:trPr>
          <w:trHeight w:val="782"/>
        </w:trPr>
        <w:tc>
          <w:tcPr>
            <w:tcW w:w="4503" w:type="dxa"/>
          </w:tcPr>
          <w:p w14:paraId="1D05C62D" w14:textId="77777777" w:rsidR="00B24196" w:rsidRPr="00975564" w:rsidRDefault="00B24196" w:rsidP="00D65FE6">
            <w:pPr>
              <w:rPr>
                <w:rFonts w:ascii="Times New Roman" w:hAnsi="Times New Roman" w:cs="Times New Roman"/>
                <w:color w:val="000000"/>
                <w:sz w:val="20"/>
                <w:szCs w:val="20"/>
              </w:rPr>
            </w:pPr>
            <w:r w:rsidRPr="00975564">
              <w:rPr>
                <w:rFonts w:ascii="Times New Roman" w:hAnsi="Times New Roman" w:cs="Times New Roman"/>
                <w:sz w:val="20"/>
                <w:szCs w:val="20"/>
              </w:rPr>
              <w:t>7N. The public health agency has mechanisms to secure or reallocate financial resources to support response to and recovery from an emergency.</w:t>
            </w:r>
          </w:p>
        </w:tc>
        <w:tc>
          <w:tcPr>
            <w:tcW w:w="1275" w:type="dxa"/>
            <w:tcBorders>
              <w:right w:val="nil"/>
            </w:tcBorders>
            <w:noWrap/>
            <w:vAlign w:val="center"/>
          </w:tcPr>
          <w:p w14:paraId="019064D9"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(1)</w:t>
            </w:r>
          </w:p>
        </w:tc>
        <w:tc>
          <w:tcPr>
            <w:tcW w:w="851" w:type="dxa"/>
            <w:tcBorders>
              <w:left w:val="nil"/>
              <w:right w:val="nil"/>
            </w:tcBorders>
            <w:noWrap/>
            <w:vAlign w:val="center"/>
          </w:tcPr>
          <w:p w14:paraId="1B798AA9"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26</w:t>
            </w:r>
          </w:p>
        </w:tc>
        <w:tc>
          <w:tcPr>
            <w:tcW w:w="1276" w:type="dxa"/>
            <w:tcBorders>
              <w:left w:val="nil"/>
              <w:right w:val="nil"/>
            </w:tcBorders>
            <w:noWrap/>
            <w:vAlign w:val="center"/>
          </w:tcPr>
          <w:p w14:paraId="20C94738"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96.3</w:t>
            </w:r>
          </w:p>
        </w:tc>
        <w:tc>
          <w:tcPr>
            <w:tcW w:w="850" w:type="dxa"/>
            <w:tcBorders>
              <w:left w:val="nil"/>
            </w:tcBorders>
            <w:vAlign w:val="center"/>
          </w:tcPr>
          <w:p w14:paraId="64BDFBCE"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27</w:t>
            </w:r>
          </w:p>
        </w:tc>
        <w:tc>
          <w:tcPr>
            <w:tcW w:w="1418" w:type="dxa"/>
            <w:tcBorders>
              <w:right w:val="nil"/>
            </w:tcBorders>
            <w:noWrap/>
            <w:vAlign w:val="center"/>
          </w:tcPr>
          <w:p w14:paraId="677208D4"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4 (1)</w:t>
            </w:r>
          </w:p>
        </w:tc>
        <w:tc>
          <w:tcPr>
            <w:tcW w:w="850" w:type="dxa"/>
            <w:tcBorders>
              <w:left w:val="nil"/>
              <w:right w:val="nil"/>
            </w:tcBorders>
            <w:noWrap/>
            <w:vAlign w:val="center"/>
          </w:tcPr>
          <w:p w14:paraId="1CC9A042"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20</w:t>
            </w:r>
          </w:p>
        </w:tc>
        <w:tc>
          <w:tcPr>
            <w:tcW w:w="1276" w:type="dxa"/>
            <w:tcBorders>
              <w:left w:val="nil"/>
              <w:right w:val="nil"/>
            </w:tcBorders>
            <w:noWrap/>
            <w:vAlign w:val="center"/>
          </w:tcPr>
          <w:p w14:paraId="7E15C563"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80</w:t>
            </w:r>
          </w:p>
        </w:tc>
        <w:tc>
          <w:tcPr>
            <w:tcW w:w="850" w:type="dxa"/>
            <w:tcBorders>
              <w:left w:val="nil"/>
            </w:tcBorders>
            <w:vAlign w:val="center"/>
          </w:tcPr>
          <w:p w14:paraId="244256C3"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25</w:t>
            </w:r>
          </w:p>
        </w:tc>
      </w:tr>
    </w:tbl>
    <w:p w14:paraId="4DFAB694" w14:textId="77777777" w:rsidR="00B24196" w:rsidRPr="00975564" w:rsidRDefault="00B24196" w:rsidP="00B24196">
      <w:pPr>
        <w:spacing w:after="0" w:line="240" w:lineRule="auto"/>
        <w:rPr>
          <w:rFonts w:ascii="Times New Roman" w:eastAsiaTheme="minorEastAsia" w:hAnsi="Times New Roman" w:cs="Times New Roman"/>
          <w:sz w:val="20"/>
          <w:szCs w:val="20"/>
          <w:lang w:eastAsia="en-CA"/>
        </w:rPr>
      </w:pPr>
    </w:p>
    <w:p w14:paraId="263B3B09" w14:textId="77777777" w:rsidR="00B24196" w:rsidRPr="00975564" w:rsidRDefault="00B24196" w:rsidP="00B24196">
      <w:pPr>
        <w:spacing w:after="0" w:line="240" w:lineRule="auto"/>
        <w:rPr>
          <w:rFonts w:ascii="Times New Roman" w:eastAsiaTheme="minorEastAsia" w:hAnsi="Times New Roman" w:cs="Times New Roman"/>
          <w:sz w:val="20"/>
          <w:szCs w:val="20"/>
          <w:lang w:eastAsia="en-CA"/>
        </w:rPr>
      </w:pPr>
      <w:r w:rsidRPr="00975564">
        <w:rPr>
          <w:rFonts w:ascii="Times New Roman" w:eastAsiaTheme="minorEastAsia" w:hAnsi="Times New Roman" w:cs="Times New Roman"/>
          <w:sz w:val="20"/>
          <w:szCs w:val="20"/>
          <w:vertAlign w:val="superscript"/>
          <w:lang w:eastAsia="en-CA"/>
        </w:rPr>
        <w:t>a</w:t>
      </w:r>
      <w:r w:rsidRPr="00975564">
        <w:rPr>
          <w:rFonts w:ascii="Times New Roman" w:eastAsiaTheme="minorEastAsia" w:hAnsi="Times New Roman" w:cs="Times New Roman"/>
          <w:sz w:val="20"/>
          <w:szCs w:val="20"/>
          <w:lang w:eastAsia="en-CA"/>
        </w:rPr>
        <w:t xml:space="preserve">R denotes a </w:t>
      </w:r>
      <w:r w:rsidRPr="00975564">
        <w:rPr>
          <w:rFonts w:ascii="Times New Roman" w:eastAsiaTheme="minorEastAsia" w:hAnsi="Times New Roman" w:cs="Times New Roman"/>
          <w:b/>
          <w:sz w:val="20"/>
          <w:szCs w:val="20"/>
          <w:lang w:eastAsia="en-CA"/>
        </w:rPr>
        <w:t>revised</w:t>
      </w:r>
      <w:r w:rsidRPr="00975564">
        <w:rPr>
          <w:rFonts w:ascii="Times New Roman" w:eastAsiaTheme="minorEastAsia" w:hAnsi="Times New Roman" w:cs="Times New Roman"/>
          <w:sz w:val="20"/>
          <w:szCs w:val="20"/>
          <w:lang w:eastAsia="en-CA"/>
        </w:rPr>
        <w:t xml:space="preserve"> indicator; N denotes a </w:t>
      </w:r>
      <w:r w:rsidRPr="00975564">
        <w:rPr>
          <w:rFonts w:ascii="Times New Roman" w:eastAsiaTheme="minorEastAsia" w:hAnsi="Times New Roman" w:cs="Times New Roman"/>
          <w:b/>
          <w:sz w:val="20"/>
          <w:szCs w:val="20"/>
          <w:lang w:eastAsia="en-CA"/>
        </w:rPr>
        <w:t>new</w:t>
      </w:r>
      <w:r w:rsidRPr="00975564">
        <w:rPr>
          <w:rFonts w:ascii="Times New Roman" w:eastAsiaTheme="minorEastAsia" w:hAnsi="Times New Roman" w:cs="Times New Roman"/>
          <w:sz w:val="20"/>
          <w:szCs w:val="20"/>
          <w:lang w:eastAsia="en-CA"/>
        </w:rPr>
        <w:t xml:space="preserve"> indicator suggested by the panel</w:t>
      </w:r>
    </w:p>
    <w:p w14:paraId="495497FE" w14:textId="77777777" w:rsidR="00B24196" w:rsidRPr="00975564" w:rsidRDefault="00B24196" w:rsidP="00B24196">
      <w:pPr>
        <w:outlineLvl w:val="0"/>
        <w:rPr>
          <w:rFonts w:ascii="Times New Roman" w:eastAsiaTheme="minorEastAsia" w:hAnsi="Times New Roman" w:cs="Times New Roman"/>
          <w:sz w:val="20"/>
          <w:szCs w:val="20"/>
          <w:lang w:eastAsia="en-CA"/>
        </w:rPr>
      </w:pPr>
      <w:bookmarkStart w:id="21" w:name="_Toc535852486"/>
      <w:bookmarkStart w:id="22" w:name="_Toc535852613"/>
      <w:bookmarkStart w:id="23" w:name="_Toc535853112"/>
      <w:r w:rsidRPr="00975564">
        <w:rPr>
          <w:rFonts w:ascii="Times New Roman" w:eastAsiaTheme="minorEastAsia" w:hAnsi="Times New Roman" w:cs="Times New Roman"/>
          <w:sz w:val="20"/>
          <w:szCs w:val="20"/>
          <w:lang w:eastAsia="en-CA"/>
        </w:rPr>
        <w:t>n = number of panel members who voted in indicator poll</w:t>
      </w:r>
      <w:bookmarkEnd w:id="21"/>
      <w:bookmarkEnd w:id="22"/>
      <w:bookmarkEnd w:id="23"/>
      <w:r w:rsidRPr="00975564">
        <w:rPr>
          <w:rFonts w:ascii="Times New Roman" w:eastAsiaTheme="minorEastAsia" w:hAnsi="Times New Roman" w:cs="Times New Roman"/>
          <w:sz w:val="20"/>
          <w:szCs w:val="20"/>
          <w:lang w:eastAsia="en-CA"/>
        </w:rPr>
        <w:t xml:space="preserve"> </w:t>
      </w:r>
    </w:p>
    <w:p w14:paraId="4D57CF4D" w14:textId="77777777" w:rsidR="00B24196" w:rsidRPr="00975564" w:rsidRDefault="00B24196" w:rsidP="00B24196">
      <w:pPr>
        <w:pStyle w:val="Heading1"/>
      </w:pPr>
    </w:p>
    <w:p w14:paraId="56DB4E34" w14:textId="77777777" w:rsidR="00B24196" w:rsidRDefault="00B24196" w:rsidP="00975564">
      <w:pPr>
        <w:rPr>
          <w:rFonts w:ascii="Times New Roman" w:eastAsiaTheme="minorEastAsia" w:hAnsi="Times New Roman" w:cs="Times New Roman"/>
          <w:sz w:val="20"/>
          <w:szCs w:val="20"/>
          <w:lang w:eastAsia="en-CA"/>
        </w:rPr>
      </w:pPr>
    </w:p>
    <w:p w14:paraId="3CB8A99F" w14:textId="77777777" w:rsidR="00B24196" w:rsidRDefault="00B24196" w:rsidP="00975564">
      <w:pPr>
        <w:rPr>
          <w:rFonts w:ascii="Times New Roman" w:eastAsiaTheme="minorEastAsia" w:hAnsi="Times New Roman" w:cs="Times New Roman"/>
          <w:sz w:val="20"/>
          <w:szCs w:val="20"/>
          <w:lang w:eastAsia="en-CA"/>
        </w:rPr>
      </w:pPr>
    </w:p>
    <w:p w14:paraId="134FFAC7" w14:textId="77777777" w:rsidR="00B24196" w:rsidRDefault="00B24196" w:rsidP="00975564">
      <w:pPr>
        <w:rPr>
          <w:rFonts w:ascii="Times New Roman" w:eastAsiaTheme="minorEastAsia" w:hAnsi="Times New Roman" w:cs="Times New Roman"/>
          <w:sz w:val="20"/>
          <w:szCs w:val="20"/>
          <w:lang w:eastAsia="en-CA"/>
        </w:rPr>
      </w:pPr>
    </w:p>
    <w:p w14:paraId="7E5458BD" w14:textId="77777777" w:rsidR="00B24196" w:rsidRDefault="00B24196" w:rsidP="00975564">
      <w:pPr>
        <w:rPr>
          <w:rFonts w:ascii="Times New Roman" w:eastAsiaTheme="minorEastAsia" w:hAnsi="Times New Roman" w:cs="Times New Roman"/>
          <w:sz w:val="20"/>
          <w:szCs w:val="20"/>
          <w:lang w:eastAsia="en-CA"/>
        </w:rPr>
      </w:pPr>
    </w:p>
    <w:p w14:paraId="04DD5090" w14:textId="77777777" w:rsidR="00B24196" w:rsidRDefault="00B24196" w:rsidP="00975564">
      <w:pPr>
        <w:rPr>
          <w:rFonts w:ascii="Times New Roman" w:eastAsiaTheme="minorEastAsia" w:hAnsi="Times New Roman" w:cs="Times New Roman"/>
          <w:sz w:val="20"/>
          <w:szCs w:val="20"/>
          <w:lang w:eastAsia="en-CA"/>
        </w:rPr>
      </w:pPr>
    </w:p>
    <w:p w14:paraId="39684834" w14:textId="77777777" w:rsidR="00B24196" w:rsidRDefault="00B24196" w:rsidP="00975564">
      <w:pPr>
        <w:rPr>
          <w:rFonts w:ascii="Times New Roman" w:eastAsiaTheme="minorEastAsia" w:hAnsi="Times New Roman" w:cs="Times New Roman"/>
          <w:sz w:val="20"/>
          <w:szCs w:val="20"/>
          <w:lang w:eastAsia="en-CA"/>
        </w:rPr>
      </w:pPr>
    </w:p>
    <w:p w14:paraId="70A6CCF4" w14:textId="77777777" w:rsidR="00B24196" w:rsidRDefault="00B24196" w:rsidP="00975564">
      <w:pPr>
        <w:rPr>
          <w:rFonts w:ascii="Times New Roman" w:eastAsiaTheme="minorEastAsia" w:hAnsi="Times New Roman" w:cs="Times New Roman"/>
          <w:sz w:val="20"/>
          <w:szCs w:val="20"/>
          <w:lang w:eastAsia="en-CA"/>
        </w:rPr>
      </w:pPr>
    </w:p>
    <w:p w14:paraId="70B03974" w14:textId="19EC75D2" w:rsidR="00B24196" w:rsidRPr="00C20892" w:rsidRDefault="00B24196" w:rsidP="00B24196">
      <w:pPr>
        <w:pStyle w:val="Heading1"/>
        <w:rPr>
          <w:rFonts w:ascii="Times New Roman" w:eastAsiaTheme="minorEastAsia" w:hAnsi="Times New Roman" w:cs="Times New Roman"/>
          <w:color w:val="auto"/>
          <w:sz w:val="20"/>
          <w:szCs w:val="20"/>
          <w:lang w:eastAsia="en-CA"/>
        </w:rPr>
      </w:pPr>
      <w:bookmarkStart w:id="24" w:name="_Toc505158651"/>
      <w:bookmarkStart w:id="25" w:name="_Toc505695041"/>
      <w:bookmarkStart w:id="26" w:name="_Toc535852490"/>
      <w:bookmarkStart w:id="27" w:name="_Toc535852617"/>
      <w:bookmarkStart w:id="28" w:name="_Toc535853116"/>
      <w:r>
        <w:rPr>
          <w:rFonts w:ascii="Times New Roman" w:eastAsiaTheme="minorEastAsia" w:hAnsi="Times New Roman" w:cs="Times New Roman"/>
          <w:color w:val="auto"/>
          <w:sz w:val="20"/>
          <w:szCs w:val="20"/>
          <w:lang w:eastAsia="en-CA"/>
        </w:rPr>
        <w:lastRenderedPageBreak/>
        <w:t>S</w:t>
      </w:r>
      <w:r w:rsidR="00B067A4">
        <w:rPr>
          <w:rFonts w:ascii="Times New Roman" w:eastAsiaTheme="minorEastAsia" w:hAnsi="Times New Roman" w:cs="Times New Roman"/>
          <w:color w:val="auto"/>
          <w:sz w:val="20"/>
          <w:szCs w:val="20"/>
          <w:lang w:eastAsia="en-CA"/>
        </w:rPr>
        <w:t>4</w:t>
      </w:r>
      <w:r>
        <w:rPr>
          <w:rFonts w:ascii="Times New Roman" w:eastAsiaTheme="minorEastAsia" w:hAnsi="Times New Roman" w:cs="Times New Roman"/>
          <w:color w:val="auto"/>
          <w:sz w:val="20"/>
          <w:szCs w:val="20"/>
          <w:lang w:eastAsia="en-CA"/>
        </w:rPr>
        <w:t xml:space="preserve"> Table 7</w:t>
      </w:r>
      <w:r w:rsidRPr="00C20892">
        <w:rPr>
          <w:rFonts w:ascii="Times New Roman" w:eastAsiaTheme="minorEastAsia" w:hAnsi="Times New Roman" w:cs="Times New Roman"/>
          <w:color w:val="auto"/>
          <w:sz w:val="20"/>
          <w:szCs w:val="20"/>
          <w:lang w:eastAsia="en-CA"/>
        </w:rPr>
        <w:t>. Discarded indicators due to low consensus on agreement for importance and actionability</w:t>
      </w:r>
      <w:bookmarkEnd w:id="24"/>
      <w:r w:rsidRPr="00C20892">
        <w:rPr>
          <w:rFonts w:ascii="Times New Roman" w:eastAsiaTheme="minorEastAsia" w:hAnsi="Times New Roman" w:cs="Times New Roman"/>
          <w:color w:val="auto"/>
          <w:sz w:val="20"/>
          <w:szCs w:val="20"/>
          <w:lang w:eastAsia="en-CA"/>
        </w:rPr>
        <w:t xml:space="preserve"> (&lt; 70%)</w:t>
      </w:r>
      <w:bookmarkEnd w:id="25"/>
      <w:bookmarkEnd w:id="26"/>
      <w:bookmarkEnd w:id="27"/>
      <w:bookmarkEnd w:id="28"/>
    </w:p>
    <w:p w14:paraId="33990E21" w14:textId="77777777" w:rsidR="00B24196" w:rsidRPr="00975564" w:rsidRDefault="00B24196" w:rsidP="00B24196">
      <w:pPr>
        <w:spacing w:after="0" w:line="240" w:lineRule="auto"/>
        <w:rPr>
          <w:rFonts w:ascii="Times New Roman" w:eastAsiaTheme="minorEastAsia" w:hAnsi="Times New Roman" w:cs="Times New Roman"/>
          <w:sz w:val="20"/>
          <w:szCs w:val="20"/>
          <w:lang w:eastAsia="en-CA"/>
        </w:rPr>
      </w:pPr>
    </w:p>
    <w:tbl>
      <w:tblPr>
        <w:tblStyle w:val="TableGrid2"/>
        <w:tblW w:w="13149" w:type="dxa"/>
        <w:tblLayout w:type="fixed"/>
        <w:tblLook w:val="04A0" w:firstRow="1" w:lastRow="0" w:firstColumn="1" w:lastColumn="0" w:noHBand="0" w:noVBand="1"/>
      </w:tblPr>
      <w:tblGrid>
        <w:gridCol w:w="4503"/>
        <w:gridCol w:w="1275"/>
        <w:gridCol w:w="851"/>
        <w:gridCol w:w="1276"/>
        <w:gridCol w:w="850"/>
        <w:gridCol w:w="1418"/>
        <w:gridCol w:w="850"/>
        <w:gridCol w:w="1276"/>
        <w:gridCol w:w="850"/>
      </w:tblGrid>
      <w:tr w:rsidR="00B24196" w:rsidRPr="00975564" w14:paraId="006D4B29" w14:textId="77777777" w:rsidTr="00D65FE6">
        <w:trPr>
          <w:trHeight w:val="396"/>
          <w:tblHeader/>
        </w:trPr>
        <w:tc>
          <w:tcPr>
            <w:tcW w:w="4503" w:type="dxa"/>
            <w:tcBorders>
              <w:top w:val="nil"/>
              <w:left w:val="nil"/>
            </w:tcBorders>
          </w:tcPr>
          <w:p w14:paraId="11BFCC8D" w14:textId="77777777" w:rsidR="00B24196" w:rsidRPr="00975564" w:rsidRDefault="00B24196" w:rsidP="00D65FE6">
            <w:pPr>
              <w:rPr>
                <w:rFonts w:ascii="Times New Roman" w:eastAsiaTheme="minorEastAsia" w:hAnsi="Times New Roman" w:cs="Times New Roman"/>
                <w:color w:val="FFFFFF" w:themeColor="background1"/>
                <w:lang w:eastAsia="en-CA"/>
              </w:rPr>
            </w:pPr>
          </w:p>
        </w:tc>
        <w:tc>
          <w:tcPr>
            <w:tcW w:w="4252" w:type="dxa"/>
            <w:gridSpan w:val="4"/>
            <w:vAlign w:val="center"/>
          </w:tcPr>
          <w:p w14:paraId="0616F86B" w14:textId="77777777" w:rsidR="00B24196" w:rsidRPr="00975564" w:rsidRDefault="00B24196" w:rsidP="00D65FE6">
            <w:pPr>
              <w:jc w:val="center"/>
              <w:rPr>
                <w:rFonts w:ascii="Times New Roman" w:eastAsiaTheme="minorEastAsia" w:hAnsi="Times New Roman" w:cs="Times New Roman"/>
                <w:lang w:eastAsia="en-CA"/>
              </w:rPr>
            </w:pPr>
            <w:r w:rsidRPr="00975564">
              <w:rPr>
                <w:rFonts w:ascii="Times New Roman" w:eastAsiaTheme="minorEastAsia" w:hAnsi="Times New Roman" w:cs="Times New Roman"/>
                <w:lang w:eastAsia="en-CA"/>
              </w:rPr>
              <w:t>Important</w:t>
            </w:r>
          </w:p>
        </w:tc>
        <w:tc>
          <w:tcPr>
            <w:tcW w:w="4394" w:type="dxa"/>
            <w:gridSpan w:val="4"/>
            <w:vAlign w:val="center"/>
          </w:tcPr>
          <w:p w14:paraId="3A44E761" w14:textId="77777777" w:rsidR="00B24196" w:rsidRPr="00975564" w:rsidRDefault="00B24196" w:rsidP="00D65FE6">
            <w:pPr>
              <w:jc w:val="center"/>
              <w:rPr>
                <w:rFonts w:ascii="Times New Roman" w:eastAsiaTheme="minorEastAsia" w:hAnsi="Times New Roman" w:cs="Times New Roman"/>
                <w:lang w:eastAsia="en-CA"/>
              </w:rPr>
            </w:pPr>
            <w:r w:rsidRPr="00975564">
              <w:rPr>
                <w:rFonts w:ascii="Times New Roman" w:eastAsiaTheme="minorEastAsia" w:hAnsi="Times New Roman" w:cs="Times New Roman"/>
                <w:lang w:eastAsia="en-CA"/>
              </w:rPr>
              <w:t>Actionable</w:t>
            </w:r>
          </w:p>
        </w:tc>
      </w:tr>
      <w:tr w:rsidR="00B24196" w:rsidRPr="00975564" w14:paraId="1B3A71BC" w14:textId="77777777" w:rsidTr="00D65FE6">
        <w:trPr>
          <w:tblHeader/>
        </w:trPr>
        <w:tc>
          <w:tcPr>
            <w:tcW w:w="4503" w:type="dxa"/>
            <w:tcBorders>
              <w:bottom w:val="single" w:sz="4" w:space="0" w:color="auto"/>
            </w:tcBorders>
            <w:vAlign w:val="center"/>
          </w:tcPr>
          <w:p w14:paraId="7BE90BFA" w14:textId="77777777" w:rsidR="00B24196" w:rsidRPr="00975564" w:rsidRDefault="00B24196" w:rsidP="00D65FE6">
            <w:pPr>
              <w:jc w:val="center"/>
              <w:rPr>
                <w:rFonts w:ascii="Times New Roman" w:eastAsiaTheme="minorEastAsia" w:hAnsi="Times New Roman" w:cs="Times New Roman"/>
                <w:lang w:eastAsia="en-CA"/>
              </w:rPr>
            </w:pPr>
            <w:r w:rsidRPr="00975564">
              <w:rPr>
                <w:rFonts w:ascii="Times New Roman" w:eastAsiaTheme="minorEastAsia" w:hAnsi="Times New Roman" w:cs="Times New Roman"/>
                <w:lang w:eastAsia="en-CA"/>
              </w:rPr>
              <w:t>Indicators (n=2)</w:t>
            </w:r>
            <w:r w:rsidRPr="00975564">
              <w:rPr>
                <w:rFonts w:ascii="Times New Roman" w:eastAsiaTheme="minorEastAsia" w:hAnsi="Times New Roman" w:cs="Times New Roman"/>
                <w:vertAlign w:val="superscript"/>
                <w:lang w:eastAsia="en-CA"/>
              </w:rPr>
              <w:t>a</w:t>
            </w:r>
          </w:p>
        </w:tc>
        <w:tc>
          <w:tcPr>
            <w:tcW w:w="1275" w:type="dxa"/>
            <w:tcBorders>
              <w:right w:val="nil"/>
            </w:tcBorders>
            <w:vAlign w:val="center"/>
          </w:tcPr>
          <w:p w14:paraId="367D7CD8" w14:textId="77777777" w:rsidR="00B24196" w:rsidRPr="00975564" w:rsidRDefault="00B24196" w:rsidP="00D65FE6">
            <w:pPr>
              <w:jc w:val="center"/>
              <w:rPr>
                <w:rFonts w:ascii="Times New Roman" w:eastAsiaTheme="minorEastAsia" w:hAnsi="Times New Roman" w:cs="Times New Roman"/>
                <w:lang w:eastAsia="en-CA"/>
              </w:rPr>
            </w:pPr>
            <w:r w:rsidRPr="00975564">
              <w:rPr>
                <w:rFonts w:ascii="Times New Roman" w:eastAsiaTheme="minorEastAsia" w:hAnsi="Times New Roman" w:cs="Times New Roman"/>
                <w:lang w:eastAsia="en-CA"/>
              </w:rPr>
              <w:t>Median</w:t>
            </w:r>
          </w:p>
          <w:p w14:paraId="072B35A0" w14:textId="77777777" w:rsidR="00B24196" w:rsidRPr="00975564" w:rsidRDefault="00B24196" w:rsidP="00D65FE6">
            <w:pPr>
              <w:jc w:val="center"/>
              <w:rPr>
                <w:rFonts w:ascii="Times New Roman" w:eastAsiaTheme="minorEastAsia" w:hAnsi="Times New Roman" w:cs="Times New Roman"/>
                <w:lang w:eastAsia="en-CA"/>
              </w:rPr>
            </w:pPr>
            <w:r w:rsidRPr="00975564">
              <w:rPr>
                <w:rFonts w:ascii="Times New Roman" w:eastAsiaTheme="minorEastAsia" w:hAnsi="Times New Roman" w:cs="Times New Roman"/>
                <w:lang w:eastAsia="en-CA"/>
              </w:rPr>
              <w:t>(IQR)</w:t>
            </w:r>
          </w:p>
        </w:tc>
        <w:tc>
          <w:tcPr>
            <w:tcW w:w="851" w:type="dxa"/>
            <w:tcBorders>
              <w:left w:val="nil"/>
              <w:bottom w:val="single" w:sz="4" w:space="0" w:color="auto"/>
              <w:right w:val="nil"/>
            </w:tcBorders>
            <w:vAlign w:val="center"/>
          </w:tcPr>
          <w:p w14:paraId="1FB4F5B9" w14:textId="77777777" w:rsidR="00B24196" w:rsidRPr="00975564" w:rsidRDefault="00B24196" w:rsidP="00D65FE6">
            <w:pPr>
              <w:jc w:val="center"/>
              <w:rPr>
                <w:rFonts w:ascii="Times New Roman" w:eastAsiaTheme="minorEastAsia" w:hAnsi="Times New Roman" w:cs="Times New Roman"/>
                <w:lang w:eastAsia="en-CA"/>
              </w:rPr>
            </w:pPr>
            <w:r w:rsidRPr="00975564">
              <w:rPr>
                <w:rFonts w:ascii="Times New Roman" w:eastAsiaTheme="minorEastAsia" w:hAnsi="Times New Roman" w:cs="Times New Roman"/>
                <w:lang w:eastAsia="en-CA"/>
              </w:rPr>
              <w:t xml:space="preserve">No. </w:t>
            </w:r>
          </w:p>
        </w:tc>
        <w:tc>
          <w:tcPr>
            <w:tcW w:w="1276" w:type="dxa"/>
            <w:tcBorders>
              <w:left w:val="nil"/>
              <w:right w:val="nil"/>
            </w:tcBorders>
            <w:vAlign w:val="center"/>
          </w:tcPr>
          <w:p w14:paraId="7C436F54" w14:textId="77777777" w:rsidR="00B24196" w:rsidRPr="00975564" w:rsidRDefault="00B24196" w:rsidP="00D65FE6">
            <w:pPr>
              <w:jc w:val="center"/>
              <w:rPr>
                <w:rFonts w:ascii="Times New Roman" w:eastAsiaTheme="minorEastAsia" w:hAnsi="Times New Roman" w:cs="Times New Roman"/>
                <w:lang w:eastAsia="en-CA"/>
              </w:rPr>
            </w:pPr>
            <w:r w:rsidRPr="00975564">
              <w:rPr>
                <w:rFonts w:ascii="Times New Roman" w:eastAsiaTheme="minorEastAsia" w:hAnsi="Times New Roman" w:cs="Times New Roman"/>
                <w:lang w:eastAsia="en-CA"/>
              </w:rPr>
              <w:t>Consensus Level (%)</w:t>
            </w:r>
          </w:p>
        </w:tc>
        <w:tc>
          <w:tcPr>
            <w:tcW w:w="850" w:type="dxa"/>
            <w:tcBorders>
              <w:left w:val="nil"/>
              <w:bottom w:val="single" w:sz="4" w:space="0" w:color="auto"/>
            </w:tcBorders>
            <w:vAlign w:val="center"/>
          </w:tcPr>
          <w:p w14:paraId="4212E167" w14:textId="77777777" w:rsidR="00B24196" w:rsidRPr="00975564" w:rsidRDefault="00B24196" w:rsidP="00D65FE6">
            <w:pPr>
              <w:jc w:val="center"/>
              <w:rPr>
                <w:rFonts w:ascii="Times New Roman" w:eastAsiaTheme="minorEastAsia" w:hAnsi="Times New Roman" w:cs="Times New Roman"/>
                <w:lang w:eastAsia="en-CA"/>
              </w:rPr>
            </w:pPr>
            <w:r w:rsidRPr="00975564">
              <w:rPr>
                <w:rFonts w:ascii="Times New Roman" w:eastAsiaTheme="minorEastAsia" w:hAnsi="Times New Roman" w:cs="Times New Roman"/>
                <w:lang w:eastAsia="en-CA"/>
              </w:rPr>
              <w:t>n</w:t>
            </w:r>
          </w:p>
        </w:tc>
        <w:tc>
          <w:tcPr>
            <w:tcW w:w="1418" w:type="dxa"/>
            <w:tcBorders>
              <w:right w:val="nil"/>
            </w:tcBorders>
            <w:vAlign w:val="center"/>
          </w:tcPr>
          <w:p w14:paraId="695DF7DE" w14:textId="77777777" w:rsidR="00B24196" w:rsidRPr="00975564" w:rsidRDefault="00B24196" w:rsidP="00D65FE6">
            <w:pPr>
              <w:jc w:val="center"/>
              <w:rPr>
                <w:rFonts w:ascii="Times New Roman" w:eastAsiaTheme="minorEastAsia" w:hAnsi="Times New Roman" w:cs="Times New Roman"/>
                <w:lang w:eastAsia="en-CA"/>
              </w:rPr>
            </w:pPr>
            <w:r w:rsidRPr="00975564">
              <w:rPr>
                <w:rFonts w:ascii="Times New Roman" w:eastAsiaTheme="minorEastAsia" w:hAnsi="Times New Roman" w:cs="Times New Roman"/>
                <w:lang w:eastAsia="en-CA"/>
              </w:rPr>
              <w:t>Median (IQR)</w:t>
            </w:r>
          </w:p>
        </w:tc>
        <w:tc>
          <w:tcPr>
            <w:tcW w:w="850" w:type="dxa"/>
            <w:tcBorders>
              <w:left w:val="nil"/>
              <w:bottom w:val="single" w:sz="4" w:space="0" w:color="auto"/>
              <w:right w:val="nil"/>
            </w:tcBorders>
            <w:vAlign w:val="center"/>
          </w:tcPr>
          <w:p w14:paraId="54FAFC7A" w14:textId="77777777" w:rsidR="00B24196" w:rsidRPr="00975564" w:rsidRDefault="00B24196" w:rsidP="00D65FE6">
            <w:pPr>
              <w:jc w:val="center"/>
              <w:rPr>
                <w:rFonts w:ascii="Times New Roman" w:eastAsiaTheme="minorEastAsia" w:hAnsi="Times New Roman" w:cs="Times New Roman"/>
                <w:lang w:eastAsia="en-CA"/>
              </w:rPr>
            </w:pPr>
            <w:r w:rsidRPr="00975564">
              <w:rPr>
                <w:rFonts w:ascii="Times New Roman" w:eastAsiaTheme="minorEastAsia" w:hAnsi="Times New Roman" w:cs="Times New Roman"/>
                <w:lang w:eastAsia="en-CA"/>
              </w:rPr>
              <w:t xml:space="preserve">No. </w:t>
            </w:r>
          </w:p>
        </w:tc>
        <w:tc>
          <w:tcPr>
            <w:tcW w:w="1276" w:type="dxa"/>
            <w:tcBorders>
              <w:left w:val="nil"/>
              <w:right w:val="nil"/>
            </w:tcBorders>
            <w:vAlign w:val="center"/>
          </w:tcPr>
          <w:p w14:paraId="3BB4C5B0" w14:textId="77777777" w:rsidR="00B24196" w:rsidRPr="00975564" w:rsidRDefault="00B24196" w:rsidP="00D65FE6">
            <w:pPr>
              <w:jc w:val="center"/>
              <w:rPr>
                <w:rFonts w:ascii="Times New Roman" w:eastAsiaTheme="minorEastAsia" w:hAnsi="Times New Roman" w:cs="Times New Roman"/>
                <w:lang w:eastAsia="en-CA"/>
              </w:rPr>
            </w:pPr>
            <w:r w:rsidRPr="00975564">
              <w:rPr>
                <w:rFonts w:ascii="Times New Roman" w:eastAsiaTheme="minorEastAsia" w:hAnsi="Times New Roman" w:cs="Times New Roman"/>
                <w:lang w:eastAsia="en-CA"/>
              </w:rPr>
              <w:t xml:space="preserve">Consensus Level (%) </w:t>
            </w:r>
          </w:p>
        </w:tc>
        <w:tc>
          <w:tcPr>
            <w:tcW w:w="850" w:type="dxa"/>
            <w:tcBorders>
              <w:left w:val="nil"/>
              <w:bottom w:val="single" w:sz="4" w:space="0" w:color="auto"/>
            </w:tcBorders>
            <w:vAlign w:val="center"/>
          </w:tcPr>
          <w:p w14:paraId="2110C3F6" w14:textId="77777777" w:rsidR="00B24196" w:rsidRPr="00975564" w:rsidRDefault="00B24196" w:rsidP="00D65FE6">
            <w:pPr>
              <w:jc w:val="center"/>
              <w:rPr>
                <w:rFonts w:ascii="Times New Roman" w:eastAsiaTheme="minorEastAsia" w:hAnsi="Times New Roman" w:cs="Times New Roman"/>
                <w:lang w:eastAsia="en-CA"/>
              </w:rPr>
            </w:pPr>
            <w:r w:rsidRPr="00975564">
              <w:rPr>
                <w:rFonts w:ascii="Times New Roman" w:eastAsiaTheme="minorEastAsia" w:hAnsi="Times New Roman" w:cs="Times New Roman"/>
                <w:lang w:eastAsia="en-CA"/>
              </w:rPr>
              <w:t>n</w:t>
            </w:r>
          </w:p>
        </w:tc>
      </w:tr>
      <w:tr w:rsidR="00B24196" w:rsidRPr="00975564" w14:paraId="4C257DFB" w14:textId="77777777" w:rsidTr="00D65FE6">
        <w:trPr>
          <w:trHeight w:val="227"/>
        </w:trPr>
        <w:tc>
          <w:tcPr>
            <w:tcW w:w="4503" w:type="dxa"/>
            <w:shd w:val="clear" w:color="auto" w:fill="595959" w:themeFill="text1" w:themeFillTint="A6"/>
            <w:vAlign w:val="center"/>
            <w:hideMark/>
          </w:tcPr>
          <w:p w14:paraId="2C2A0A12" w14:textId="77777777" w:rsidR="00B24196" w:rsidRPr="00975564" w:rsidRDefault="00B24196" w:rsidP="00D65FE6">
            <w:pPr>
              <w:jc w:val="center"/>
              <w:rPr>
                <w:rFonts w:ascii="Times New Roman" w:eastAsiaTheme="minorEastAsia" w:hAnsi="Times New Roman" w:cs="Times New Roman"/>
                <w:color w:val="FFFFFF" w:themeColor="background1"/>
                <w:lang w:eastAsia="en-CA"/>
              </w:rPr>
            </w:pPr>
            <w:r w:rsidRPr="00975564">
              <w:rPr>
                <w:rFonts w:ascii="Times New Roman" w:eastAsiaTheme="minorEastAsia" w:hAnsi="Times New Roman" w:cs="Times New Roman"/>
                <w:color w:val="FFFFFF" w:themeColor="background1"/>
                <w:lang w:eastAsia="en-CA"/>
              </w:rPr>
              <w:t>Collaborative Networks</w:t>
            </w:r>
          </w:p>
        </w:tc>
        <w:tc>
          <w:tcPr>
            <w:tcW w:w="1275" w:type="dxa"/>
            <w:tcBorders>
              <w:right w:val="nil"/>
            </w:tcBorders>
            <w:shd w:val="clear" w:color="auto" w:fill="595959" w:themeFill="text1" w:themeFillTint="A6"/>
            <w:noWrap/>
            <w:vAlign w:val="center"/>
            <w:hideMark/>
          </w:tcPr>
          <w:p w14:paraId="63D12709" w14:textId="77777777" w:rsidR="00B24196" w:rsidRPr="00975564" w:rsidRDefault="00B24196" w:rsidP="00D65FE6">
            <w:pPr>
              <w:jc w:val="center"/>
              <w:rPr>
                <w:rFonts w:ascii="Times New Roman" w:eastAsiaTheme="minorEastAsia" w:hAnsi="Times New Roman" w:cs="Times New Roman"/>
                <w:color w:val="FFFFFF" w:themeColor="background1"/>
                <w:lang w:eastAsia="en-CA"/>
              </w:rPr>
            </w:pPr>
          </w:p>
        </w:tc>
        <w:tc>
          <w:tcPr>
            <w:tcW w:w="851" w:type="dxa"/>
            <w:tcBorders>
              <w:left w:val="nil"/>
              <w:bottom w:val="single" w:sz="4" w:space="0" w:color="auto"/>
              <w:right w:val="nil"/>
            </w:tcBorders>
            <w:shd w:val="clear" w:color="auto" w:fill="595959" w:themeFill="text1" w:themeFillTint="A6"/>
            <w:noWrap/>
            <w:vAlign w:val="center"/>
            <w:hideMark/>
          </w:tcPr>
          <w:p w14:paraId="69D35D95" w14:textId="77777777" w:rsidR="00B24196" w:rsidRPr="00975564" w:rsidRDefault="00B24196" w:rsidP="00D65FE6">
            <w:pPr>
              <w:jc w:val="center"/>
              <w:rPr>
                <w:rFonts w:ascii="Times New Roman" w:eastAsiaTheme="minorEastAsia" w:hAnsi="Times New Roman" w:cs="Times New Roman"/>
                <w:color w:val="FFFFFF" w:themeColor="background1"/>
                <w:lang w:eastAsia="en-CA"/>
              </w:rPr>
            </w:pPr>
          </w:p>
        </w:tc>
        <w:tc>
          <w:tcPr>
            <w:tcW w:w="1276" w:type="dxa"/>
            <w:tcBorders>
              <w:left w:val="nil"/>
              <w:bottom w:val="single" w:sz="4" w:space="0" w:color="auto"/>
              <w:right w:val="nil"/>
            </w:tcBorders>
            <w:shd w:val="clear" w:color="auto" w:fill="595959" w:themeFill="text1" w:themeFillTint="A6"/>
            <w:noWrap/>
            <w:vAlign w:val="center"/>
            <w:hideMark/>
          </w:tcPr>
          <w:p w14:paraId="6CBA0ABF" w14:textId="77777777" w:rsidR="00B24196" w:rsidRPr="00975564" w:rsidRDefault="00B24196" w:rsidP="00D65FE6">
            <w:pPr>
              <w:jc w:val="center"/>
              <w:rPr>
                <w:rFonts w:ascii="Times New Roman" w:eastAsiaTheme="minorEastAsia" w:hAnsi="Times New Roman" w:cs="Times New Roman"/>
                <w:color w:val="FFFFFF" w:themeColor="background1"/>
                <w:lang w:eastAsia="en-CA"/>
              </w:rPr>
            </w:pPr>
          </w:p>
        </w:tc>
        <w:tc>
          <w:tcPr>
            <w:tcW w:w="850" w:type="dxa"/>
            <w:tcBorders>
              <w:left w:val="nil"/>
              <w:bottom w:val="single" w:sz="4" w:space="0" w:color="auto"/>
            </w:tcBorders>
            <w:shd w:val="clear" w:color="auto" w:fill="595959" w:themeFill="text1" w:themeFillTint="A6"/>
          </w:tcPr>
          <w:p w14:paraId="383B37A0" w14:textId="77777777" w:rsidR="00B24196" w:rsidRPr="00975564" w:rsidRDefault="00B24196" w:rsidP="00D65FE6">
            <w:pPr>
              <w:jc w:val="center"/>
              <w:rPr>
                <w:rFonts w:ascii="Times New Roman" w:eastAsiaTheme="minorEastAsia" w:hAnsi="Times New Roman" w:cs="Times New Roman"/>
                <w:color w:val="FFFFFF" w:themeColor="background1"/>
                <w:lang w:eastAsia="en-CA"/>
              </w:rPr>
            </w:pPr>
          </w:p>
        </w:tc>
        <w:tc>
          <w:tcPr>
            <w:tcW w:w="1418" w:type="dxa"/>
            <w:tcBorders>
              <w:bottom w:val="single" w:sz="4" w:space="0" w:color="auto"/>
              <w:right w:val="nil"/>
            </w:tcBorders>
            <w:shd w:val="clear" w:color="auto" w:fill="595959" w:themeFill="text1" w:themeFillTint="A6"/>
            <w:noWrap/>
            <w:vAlign w:val="center"/>
            <w:hideMark/>
          </w:tcPr>
          <w:p w14:paraId="52D1C0E0" w14:textId="77777777" w:rsidR="00B24196" w:rsidRPr="00975564" w:rsidRDefault="00B24196" w:rsidP="00D65FE6">
            <w:pPr>
              <w:jc w:val="center"/>
              <w:rPr>
                <w:rFonts w:ascii="Times New Roman" w:eastAsiaTheme="minorEastAsia" w:hAnsi="Times New Roman" w:cs="Times New Roman"/>
                <w:color w:val="FFFFFF" w:themeColor="background1"/>
                <w:lang w:eastAsia="en-CA"/>
              </w:rPr>
            </w:pPr>
          </w:p>
        </w:tc>
        <w:tc>
          <w:tcPr>
            <w:tcW w:w="850" w:type="dxa"/>
            <w:tcBorders>
              <w:left w:val="nil"/>
              <w:right w:val="nil"/>
            </w:tcBorders>
            <w:shd w:val="clear" w:color="auto" w:fill="595959" w:themeFill="text1" w:themeFillTint="A6"/>
            <w:noWrap/>
            <w:vAlign w:val="center"/>
            <w:hideMark/>
          </w:tcPr>
          <w:p w14:paraId="53E143B7" w14:textId="77777777" w:rsidR="00B24196" w:rsidRPr="00975564" w:rsidRDefault="00B24196" w:rsidP="00D65FE6">
            <w:pPr>
              <w:jc w:val="center"/>
              <w:rPr>
                <w:rFonts w:ascii="Times New Roman" w:eastAsiaTheme="minorEastAsia" w:hAnsi="Times New Roman" w:cs="Times New Roman"/>
                <w:color w:val="FFFFFF" w:themeColor="background1"/>
                <w:lang w:eastAsia="en-CA"/>
              </w:rPr>
            </w:pPr>
          </w:p>
        </w:tc>
        <w:tc>
          <w:tcPr>
            <w:tcW w:w="1276" w:type="dxa"/>
            <w:tcBorders>
              <w:left w:val="nil"/>
              <w:bottom w:val="single" w:sz="4" w:space="0" w:color="auto"/>
              <w:right w:val="nil"/>
            </w:tcBorders>
            <w:shd w:val="clear" w:color="auto" w:fill="595959" w:themeFill="text1" w:themeFillTint="A6"/>
            <w:noWrap/>
            <w:vAlign w:val="center"/>
            <w:hideMark/>
          </w:tcPr>
          <w:p w14:paraId="03EFA45E" w14:textId="77777777" w:rsidR="00B24196" w:rsidRPr="00975564" w:rsidRDefault="00B24196" w:rsidP="00D65FE6">
            <w:pPr>
              <w:jc w:val="center"/>
              <w:rPr>
                <w:rFonts w:ascii="Times New Roman" w:eastAsiaTheme="minorEastAsia" w:hAnsi="Times New Roman" w:cs="Times New Roman"/>
                <w:color w:val="FFFFFF" w:themeColor="background1"/>
                <w:lang w:eastAsia="en-CA"/>
              </w:rPr>
            </w:pPr>
          </w:p>
        </w:tc>
        <w:tc>
          <w:tcPr>
            <w:tcW w:w="850" w:type="dxa"/>
            <w:tcBorders>
              <w:left w:val="nil"/>
              <w:bottom w:val="single" w:sz="4" w:space="0" w:color="auto"/>
            </w:tcBorders>
            <w:shd w:val="clear" w:color="auto" w:fill="595959" w:themeFill="text1" w:themeFillTint="A6"/>
          </w:tcPr>
          <w:p w14:paraId="1B81584F" w14:textId="77777777" w:rsidR="00B24196" w:rsidRPr="00975564" w:rsidRDefault="00B24196" w:rsidP="00D65FE6">
            <w:pPr>
              <w:jc w:val="center"/>
              <w:rPr>
                <w:rFonts w:ascii="Times New Roman" w:eastAsiaTheme="minorEastAsia" w:hAnsi="Times New Roman" w:cs="Times New Roman"/>
                <w:color w:val="FFFFFF" w:themeColor="background1"/>
                <w:lang w:eastAsia="en-CA"/>
              </w:rPr>
            </w:pPr>
          </w:p>
        </w:tc>
      </w:tr>
      <w:tr w:rsidR="00B24196" w:rsidRPr="00975564" w14:paraId="09971C34" w14:textId="77777777" w:rsidTr="00D65FE6">
        <w:trPr>
          <w:trHeight w:val="318"/>
        </w:trPr>
        <w:tc>
          <w:tcPr>
            <w:tcW w:w="4503" w:type="dxa"/>
          </w:tcPr>
          <w:p w14:paraId="555ED143" w14:textId="77777777" w:rsidR="00B24196" w:rsidRPr="00975564" w:rsidRDefault="00B24196" w:rsidP="00D65FE6">
            <w:pPr>
              <w:rPr>
                <w:rFonts w:ascii="Times New Roman" w:eastAsiaTheme="minorEastAsia" w:hAnsi="Times New Roman" w:cs="Times New Roman"/>
                <w:lang w:eastAsia="en-CA"/>
              </w:rPr>
            </w:pPr>
            <w:r w:rsidRPr="00975564">
              <w:rPr>
                <w:rFonts w:ascii="Times New Roman" w:eastAsiaTheme="minorEastAsia" w:hAnsi="Times New Roman" w:cs="Times New Roman"/>
                <w:color w:val="000000"/>
                <w:lang w:eastAsia="en-CA"/>
              </w:rPr>
              <w:t>28. The public health agency has established processes, in cooperation with network partners, to effectively manage differences and disputes in the context of an emergency.</w:t>
            </w:r>
          </w:p>
        </w:tc>
        <w:tc>
          <w:tcPr>
            <w:tcW w:w="1275" w:type="dxa"/>
            <w:tcBorders>
              <w:right w:val="nil"/>
            </w:tcBorders>
            <w:noWrap/>
            <w:vAlign w:val="center"/>
          </w:tcPr>
          <w:p w14:paraId="318ED154" w14:textId="77777777" w:rsidR="00B24196" w:rsidRPr="00975564" w:rsidRDefault="00B24196" w:rsidP="00D65FE6">
            <w:pPr>
              <w:jc w:val="center"/>
              <w:rPr>
                <w:rFonts w:ascii="Times New Roman" w:eastAsiaTheme="minorEastAsia" w:hAnsi="Times New Roman" w:cs="Times New Roman"/>
                <w:color w:val="000000"/>
                <w:lang w:eastAsia="en-CA"/>
              </w:rPr>
            </w:pPr>
            <w:r w:rsidRPr="00975564">
              <w:rPr>
                <w:rFonts w:ascii="Times New Roman" w:eastAsiaTheme="minorEastAsia" w:hAnsi="Times New Roman" w:cs="Times New Roman"/>
                <w:color w:val="000000"/>
                <w:lang w:eastAsia="en-CA"/>
              </w:rPr>
              <w:t>3 (3)</w:t>
            </w:r>
          </w:p>
        </w:tc>
        <w:tc>
          <w:tcPr>
            <w:tcW w:w="851" w:type="dxa"/>
            <w:tcBorders>
              <w:left w:val="nil"/>
              <w:bottom w:val="single" w:sz="4" w:space="0" w:color="auto"/>
              <w:right w:val="nil"/>
            </w:tcBorders>
            <w:noWrap/>
            <w:vAlign w:val="center"/>
          </w:tcPr>
          <w:p w14:paraId="4F016320" w14:textId="77777777" w:rsidR="00B24196" w:rsidRPr="00975564" w:rsidRDefault="00B24196" w:rsidP="00D65FE6">
            <w:pPr>
              <w:jc w:val="center"/>
              <w:rPr>
                <w:rFonts w:ascii="Times New Roman" w:eastAsiaTheme="minorEastAsia" w:hAnsi="Times New Roman" w:cs="Times New Roman"/>
                <w:color w:val="000000"/>
                <w:lang w:eastAsia="en-CA"/>
              </w:rPr>
            </w:pPr>
            <w:r w:rsidRPr="00975564">
              <w:rPr>
                <w:rFonts w:ascii="Times New Roman" w:eastAsiaTheme="minorEastAsia" w:hAnsi="Times New Roman" w:cs="Times New Roman"/>
                <w:color w:val="000000"/>
                <w:lang w:eastAsia="en-CA"/>
              </w:rPr>
              <w:t>12</w:t>
            </w:r>
          </w:p>
        </w:tc>
        <w:tc>
          <w:tcPr>
            <w:tcW w:w="1276" w:type="dxa"/>
            <w:tcBorders>
              <w:left w:val="nil"/>
              <w:bottom w:val="single" w:sz="4" w:space="0" w:color="auto"/>
              <w:right w:val="nil"/>
            </w:tcBorders>
            <w:noWrap/>
            <w:vAlign w:val="center"/>
          </w:tcPr>
          <w:p w14:paraId="034493C7" w14:textId="77777777" w:rsidR="00B24196" w:rsidRPr="00975564" w:rsidRDefault="00B24196" w:rsidP="00D65FE6">
            <w:pPr>
              <w:jc w:val="center"/>
              <w:rPr>
                <w:rFonts w:ascii="Times New Roman" w:eastAsiaTheme="minorEastAsia" w:hAnsi="Times New Roman" w:cs="Times New Roman"/>
                <w:color w:val="000000"/>
                <w:lang w:eastAsia="en-CA"/>
              </w:rPr>
            </w:pPr>
            <w:r w:rsidRPr="00975564">
              <w:rPr>
                <w:rFonts w:ascii="Times New Roman" w:eastAsiaTheme="minorEastAsia" w:hAnsi="Times New Roman" w:cs="Times New Roman"/>
                <w:color w:val="000000"/>
                <w:lang w:eastAsia="en-CA"/>
              </w:rPr>
              <w:t>48</w:t>
            </w:r>
          </w:p>
        </w:tc>
        <w:tc>
          <w:tcPr>
            <w:tcW w:w="850" w:type="dxa"/>
            <w:tcBorders>
              <w:left w:val="nil"/>
              <w:bottom w:val="single" w:sz="4" w:space="0" w:color="auto"/>
            </w:tcBorders>
            <w:vAlign w:val="center"/>
          </w:tcPr>
          <w:p w14:paraId="78E5E1E7" w14:textId="77777777" w:rsidR="00B24196" w:rsidRPr="00975564" w:rsidRDefault="00B24196" w:rsidP="00D65FE6">
            <w:pPr>
              <w:jc w:val="center"/>
              <w:rPr>
                <w:rFonts w:ascii="Times New Roman" w:eastAsiaTheme="minorEastAsia" w:hAnsi="Times New Roman" w:cs="Times New Roman"/>
                <w:color w:val="000000"/>
                <w:lang w:eastAsia="en-CA"/>
              </w:rPr>
            </w:pPr>
            <w:r w:rsidRPr="00975564">
              <w:rPr>
                <w:rFonts w:ascii="Times New Roman" w:eastAsiaTheme="minorEastAsia" w:hAnsi="Times New Roman" w:cs="Times New Roman"/>
                <w:color w:val="000000"/>
                <w:lang w:eastAsia="en-CA"/>
              </w:rPr>
              <w:t>25</w:t>
            </w:r>
          </w:p>
        </w:tc>
        <w:tc>
          <w:tcPr>
            <w:tcW w:w="1418" w:type="dxa"/>
            <w:tcBorders>
              <w:right w:val="nil"/>
            </w:tcBorders>
            <w:noWrap/>
            <w:vAlign w:val="center"/>
          </w:tcPr>
          <w:p w14:paraId="261845FF" w14:textId="77777777" w:rsidR="00B24196" w:rsidRPr="00975564" w:rsidRDefault="00B24196" w:rsidP="00D65FE6">
            <w:pPr>
              <w:jc w:val="center"/>
              <w:rPr>
                <w:rFonts w:ascii="Times New Roman" w:eastAsiaTheme="minorEastAsia" w:hAnsi="Times New Roman" w:cs="Times New Roman"/>
                <w:color w:val="000000"/>
                <w:lang w:eastAsia="en-CA"/>
              </w:rPr>
            </w:pPr>
            <w:r w:rsidRPr="00975564">
              <w:rPr>
                <w:rFonts w:ascii="Times New Roman" w:eastAsiaTheme="minorEastAsia" w:hAnsi="Times New Roman" w:cs="Times New Roman"/>
                <w:color w:val="000000"/>
                <w:lang w:eastAsia="en-CA"/>
              </w:rPr>
              <w:t>2 (1.5)</w:t>
            </w:r>
          </w:p>
        </w:tc>
        <w:tc>
          <w:tcPr>
            <w:tcW w:w="850" w:type="dxa"/>
            <w:tcBorders>
              <w:left w:val="nil"/>
              <w:bottom w:val="single" w:sz="4" w:space="0" w:color="auto"/>
              <w:right w:val="nil"/>
            </w:tcBorders>
            <w:noWrap/>
            <w:vAlign w:val="center"/>
          </w:tcPr>
          <w:p w14:paraId="0C420169" w14:textId="77777777" w:rsidR="00B24196" w:rsidRPr="00975564" w:rsidRDefault="00B24196" w:rsidP="00D65FE6">
            <w:pPr>
              <w:jc w:val="center"/>
              <w:rPr>
                <w:rFonts w:ascii="Times New Roman" w:eastAsiaTheme="minorEastAsia" w:hAnsi="Times New Roman" w:cs="Times New Roman"/>
                <w:color w:val="000000"/>
                <w:lang w:eastAsia="en-CA"/>
              </w:rPr>
            </w:pPr>
            <w:r w:rsidRPr="00975564">
              <w:rPr>
                <w:rFonts w:ascii="Times New Roman" w:eastAsiaTheme="minorEastAsia" w:hAnsi="Times New Roman" w:cs="Times New Roman"/>
                <w:color w:val="000000"/>
                <w:lang w:eastAsia="en-CA"/>
              </w:rPr>
              <w:t>6</w:t>
            </w:r>
          </w:p>
        </w:tc>
        <w:tc>
          <w:tcPr>
            <w:tcW w:w="1276" w:type="dxa"/>
            <w:tcBorders>
              <w:left w:val="nil"/>
              <w:bottom w:val="single" w:sz="4" w:space="0" w:color="auto"/>
              <w:right w:val="nil"/>
            </w:tcBorders>
            <w:noWrap/>
            <w:vAlign w:val="center"/>
          </w:tcPr>
          <w:p w14:paraId="5B3CCE58" w14:textId="77777777" w:rsidR="00B24196" w:rsidRPr="00975564" w:rsidRDefault="00B24196" w:rsidP="00D65FE6">
            <w:pPr>
              <w:jc w:val="center"/>
              <w:rPr>
                <w:rFonts w:ascii="Times New Roman" w:eastAsiaTheme="minorEastAsia" w:hAnsi="Times New Roman" w:cs="Times New Roman"/>
                <w:color w:val="000000"/>
                <w:lang w:eastAsia="en-CA"/>
              </w:rPr>
            </w:pPr>
            <w:r w:rsidRPr="00975564">
              <w:rPr>
                <w:rFonts w:ascii="Times New Roman" w:eastAsiaTheme="minorEastAsia" w:hAnsi="Times New Roman" w:cs="Times New Roman"/>
                <w:color w:val="000000"/>
                <w:lang w:eastAsia="en-CA"/>
              </w:rPr>
              <w:t>25</w:t>
            </w:r>
          </w:p>
        </w:tc>
        <w:tc>
          <w:tcPr>
            <w:tcW w:w="850" w:type="dxa"/>
            <w:tcBorders>
              <w:left w:val="nil"/>
              <w:bottom w:val="single" w:sz="4" w:space="0" w:color="auto"/>
            </w:tcBorders>
            <w:vAlign w:val="center"/>
          </w:tcPr>
          <w:p w14:paraId="46C4DE75" w14:textId="77777777" w:rsidR="00B24196" w:rsidRPr="00975564" w:rsidRDefault="00B24196" w:rsidP="00D65FE6">
            <w:pPr>
              <w:jc w:val="center"/>
              <w:rPr>
                <w:rFonts w:ascii="Times New Roman" w:eastAsiaTheme="minorEastAsia" w:hAnsi="Times New Roman" w:cs="Times New Roman"/>
                <w:color w:val="000000"/>
                <w:lang w:eastAsia="en-CA"/>
              </w:rPr>
            </w:pPr>
            <w:r w:rsidRPr="00975564">
              <w:rPr>
                <w:rFonts w:ascii="Times New Roman" w:eastAsiaTheme="minorEastAsia" w:hAnsi="Times New Roman" w:cs="Times New Roman"/>
                <w:color w:val="000000"/>
                <w:lang w:eastAsia="en-CA"/>
              </w:rPr>
              <w:t>24</w:t>
            </w:r>
          </w:p>
        </w:tc>
      </w:tr>
      <w:tr w:rsidR="00B24196" w:rsidRPr="00975564" w14:paraId="5C63649E" w14:textId="77777777" w:rsidTr="00D65FE6">
        <w:trPr>
          <w:trHeight w:val="227"/>
        </w:trPr>
        <w:tc>
          <w:tcPr>
            <w:tcW w:w="4503" w:type="dxa"/>
            <w:shd w:val="clear" w:color="auto" w:fill="595959" w:themeFill="text1" w:themeFillTint="A6"/>
            <w:vAlign w:val="center"/>
            <w:hideMark/>
          </w:tcPr>
          <w:p w14:paraId="0521A760" w14:textId="77777777" w:rsidR="00B24196" w:rsidRPr="00975564" w:rsidRDefault="00B24196" w:rsidP="00D65FE6">
            <w:pPr>
              <w:jc w:val="center"/>
              <w:rPr>
                <w:rFonts w:ascii="Times New Roman" w:eastAsiaTheme="minorEastAsia" w:hAnsi="Times New Roman" w:cs="Times New Roman"/>
                <w:color w:val="FFFFFF" w:themeColor="background1"/>
                <w:lang w:eastAsia="en-CA"/>
              </w:rPr>
            </w:pPr>
            <w:r w:rsidRPr="00975564">
              <w:rPr>
                <w:rFonts w:ascii="Times New Roman" w:eastAsiaTheme="minorEastAsia" w:hAnsi="Times New Roman" w:cs="Times New Roman"/>
                <w:color w:val="FFFFFF" w:themeColor="background1"/>
                <w:lang w:eastAsia="en-CA"/>
              </w:rPr>
              <w:t>Learning and Evaluation</w:t>
            </w:r>
          </w:p>
        </w:tc>
        <w:tc>
          <w:tcPr>
            <w:tcW w:w="1275" w:type="dxa"/>
            <w:tcBorders>
              <w:bottom w:val="single" w:sz="4" w:space="0" w:color="auto"/>
              <w:right w:val="nil"/>
            </w:tcBorders>
            <w:shd w:val="clear" w:color="auto" w:fill="595959" w:themeFill="text1" w:themeFillTint="A6"/>
            <w:noWrap/>
            <w:vAlign w:val="center"/>
          </w:tcPr>
          <w:p w14:paraId="771EAEFE" w14:textId="77777777" w:rsidR="00B24196" w:rsidRPr="00975564" w:rsidRDefault="00B24196" w:rsidP="00D65FE6">
            <w:pPr>
              <w:jc w:val="center"/>
              <w:rPr>
                <w:rFonts w:ascii="Times New Roman" w:eastAsiaTheme="minorEastAsia" w:hAnsi="Times New Roman" w:cs="Times New Roman"/>
                <w:color w:val="FFFFFF" w:themeColor="background1"/>
                <w:lang w:eastAsia="en-CA"/>
              </w:rPr>
            </w:pPr>
          </w:p>
        </w:tc>
        <w:tc>
          <w:tcPr>
            <w:tcW w:w="851" w:type="dxa"/>
            <w:tcBorders>
              <w:left w:val="nil"/>
              <w:bottom w:val="single" w:sz="4" w:space="0" w:color="auto"/>
              <w:right w:val="nil"/>
            </w:tcBorders>
            <w:shd w:val="clear" w:color="auto" w:fill="595959" w:themeFill="text1" w:themeFillTint="A6"/>
            <w:noWrap/>
            <w:vAlign w:val="center"/>
          </w:tcPr>
          <w:p w14:paraId="6F2C2B0D" w14:textId="77777777" w:rsidR="00B24196" w:rsidRPr="00975564" w:rsidRDefault="00B24196" w:rsidP="00D65FE6">
            <w:pPr>
              <w:jc w:val="center"/>
              <w:rPr>
                <w:rFonts w:ascii="Times New Roman" w:eastAsiaTheme="minorEastAsia" w:hAnsi="Times New Roman" w:cs="Times New Roman"/>
                <w:color w:val="FFFFFF" w:themeColor="background1"/>
                <w:lang w:eastAsia="en-CA"/>
              </w:rPr>
            </w:pPr>
          </w:p>
        </w:tc>
        <w:tc>
          <w:tcPr>
            <w:tcW w:w="1276" w:type="dxa"/>
            <w:tcBorders>
              <w:left w:val="nil"/>
              <w:right w:val="nil"/>
            </w:tcBorders>
            <w:shd w:val="clear" w:color="auto" w:fill="595959" w:themeFill="text1" w:themeFillTint="A6"/>
            <w:noWrap/>
            <w:vAlign w:val="center"/>
          </w:tcPr>
          <w:p w14:paraId="0C7C7767" w14:textId="77777777" w:rsidR="00B24196" w:rsidRPr="00975564" w:rsidRDefault="00B24196" w:rsidP="00D65FE6">
            <w:pPr>
              <w:jc w:val="center"/>
              <w:rPr>
                <w:rFonts w:ascii="Times New Roman" w:eastAsiaTheme="minorEastAsia" w:hAnsi="Times New Roman" w:cs="Times New Roman"/>
                <w:color w:val="FFFFFF" w:themeColor="background1"/>
                <w:lang w:eastAsia="en-CA"/>
              </w:rPr>
            </w:pPr>
          </w:p>
        </w:tc>
        <w:tc>
          <w:tcPr>
            <w:tcW w:w="850" w:type="dxa"/>
            <w:tcBorders>
              <w:left w:val="nil"/>
              <w:bottom w:val="single" w:sz="4" w:space="0" w:color="auto"/>
            </w:tcBorders>
            <w:shd w:val="clear" w:color="auto" w:fill="595959" w:themeFill="text1" w:themeFillTint="A6"/>
          </w:tcPr>
          <w:p w14:paraId="1DFD70A1" w14:textId="77777777" w:rsidR="00B24196" w:rsidRPr="00975564" w:rsidRDefault="00B24196" w:rsidP="00D65FE6">
            <w:pPr>
              <w:jc w:val="center"/>
              <w:rPr>
                <w:rFonts w:ascii="Times New Roman" w:eastAsiaTheme="minorEastAsia" w:hAnsi="Times New Roman" w:cs="Times New Roman"/>
                <w:color w:val="FFFFFF" w:themeColor="background1"/>
                <w:lang w:eastAsia="en-CA"/>
              </w:rPr>
            </w:pPr>
          </w:p>
        </w:tc>
        <w:tc>
          <w:tcPr>
            <w:tcW w:w="1418" w:type="dxa"/>
            <w:tcBorders>
              <w:right w:val="nil"/>
            </w:tcBorders>
            <w:shd w:val="clear" w:color="auto" w:fill="595959" w:themeFill="text1" w:themeFillTint="A6"/>
            <w:noWrap/>
            <w:vAlign w:val="center"/>
          </w:tcPr>
          <w:p w14:paraId="1ED68B89" w14:textId="77777777" w:rsidR="00B24196" w:rsidRPr="00975564" w:rsidRDefault="00B24196" w:rsidP="00D65FE6">
            <w:pPr>
              <w:jc w:val="center"/>
              <w:rPr>
                <w:rFonts w:ascii="Times New Roman" w:eastAsiaTheme="minorEastAsia" w:hAnsi="Times New Roman" w:cs="Times New Roman"/>
                <w:color w:val="FFFFFF" w:themeColor="background1"/>
                <w:lang w:eastAsia="en-CA"/>
              </w:rPr>
            </w:pPr>
          </w:p>
        </w:tc>
        <w:tc>
          <w:tcPr>
            <w:tcW w:w="850" w:type="dxa"/>
            <w:tcBorders>
              <w:left w:val="nil"/>
              <w:bottom w:val="single" w:sz="4" w:space="0" w:color="auto"/>
              <w:right w:val="nil"/>
            </w:tcBorders>
            <w:shd w:val="clear" w:color="auto" w:fill="595959" w:themeFill="text1" w:themeFillTint="A6"/>
            <w:noWrap/>
            <w:vAlign w:val="center"/>
          </w:tcPr>
          <w:p w14:paraId="27B3BF58" w14:textId="77777777" w:rsidR="00B24196" w:rsidRPr="00975564" w:rsidRDefault="00B24196" w:rsidP="00D65FE6">
            <w:pPr>
              <w:jc w:val="center"/>
              <w:rPr>
                <w:rFonts w:ascii="Times New Roman" w:eastAsiaTheme="minorEastAsia" w:hAnsi="Times New Roman" w:cs="Times New Roman"/>
                <w:color w:val="FFFFFF" w:themeColor="background1"/>
                <w:lang w:eastAsia="en-CA"/>
              </w:rPr>
            </w:pPr>
          </w:p>
        </w:tc>
        <w:tc>
          <w:tcPr>
            <w:tcW w:w="1276" w:type="dxa"/>
            <w:tcBorders>
              <w:left w:val="nil"/>
              <w:bottom w:val="single" w:sz="4" w:space="0" w:color="auto"/>
              <w:right w:val="nil"/>
            </w:tcBorders>
            <w:shd w:val="clear" w:color="auto" w:fill="595959" w:themeFill="text1" w:themeFillTint="A6"/>
            <w:noWrap/>
            <w:vAlign w:val="center"/>
          </w:tcPr>
          <w:p w14:paraId="35C04BC4" w14:textId="77777777" w:rsidR="00B24196" w:rsidRPr="00975564" w:rsidRDefault="00B24196" w:rsidP="00D65FE6">
            <w:pPr>
              <w:jc w:val="center"/>
              <w:rPr>
                <w:rFonts w:ascii="Times New Roman" w:eastAsiaTheme="minorEastAsia" w:hAnsi="Times New Roman" w:cs="Times New Roman"/>
                <w:color w:val="FFFFFF" w:themeColor="background1"/>
                <w:lang w:eastAsia="en-CA"/>
              </w:rPr>
            </w:pPr>
          </w:p>
        </w:tc>
        <w:tc>
          <w:tcPr>
            <w:tcW w:w="850" w:type="dxa"/>
            <w:tcBorders>
              <w:left w:val="nil"/>
              <w:bottom w:val="single" w:sz="4" w:space="0" w:color="auto"/>
            </w:tcBorders>
            <w:shd w:val="clear" w:color="auto" w:fill="595959" w:themeFill="text1" w:themeFillTint="A6"/>
          </w:tcPr>
          <w:p w14:paraId="2D276BE8" w14:textId="77777777" w:rsidR="00B24196" w:rsidRPr="00975564" w:rsidRDefault="00B24196" w:rsidP="00D65FE6">
            <w:pPr>
              <w:jc w:val="center"/>
              <w:rPr>
                <w:rFonts w:ascii="Times New Roman" w:eastAsiaTheme="minorEastAsia" w:hAnsi="Times New Roman" w:cs="Times New Roman"/>
                <w:color w:val="FFFFFF" w:themeColor="background1"/>
                <w:lang w:eastAsia="en-CA"/>
              </w:rPr>
            </w:pPr>
          </w:p>
        </w:tc>
      </w:tr>
      <w:tr w:rsidR="00B24196" w:rsidRPr="00975564" w14:paraId="233B728C" w14:textId="77777777" w:rsidTr="00D65FE6">
        <w:trPr>
          <w:trHeight w:val="945"/>
        </w:trPr>
        <w:tc>
          <w:tcPr>
            <w:tcW w:w="4503" w:type="dxa"/>
          </w:tcPr>
          <w:p w14:paraId="6C17EA39" w14:textId="77777777" w:rsidR="00B24196" w:rsidRPr="00975564" w:rsidRDefault="00B24196" w:rsidP="00D65FE6">
            <w:pPr>
              <w:rPr>
                <w:rFonts w:ascii="Times New Roman" w:eastAsiaTheme="minorEastAsia" w:hAnsi="Times New Roman" w:cs="Times New Roman"/>
                <w:lang w:eastAsia="en-CA"/>
              </w:rPr>
            </w:pPr>
            <w:r w:rsidRPr="00975564">
              <w:rPr>
                <w:rFonts w:ascii="Times New Roman" w:eastAsiaTheme="minorEastAsia" w:hAnsi="Times New Roman" w:cs="Times New Roman"/>
                <w:color w:val="000000"/>
                <w:lang w:eastAsia="en-CA"/>
              </w:rPr>
              <w:t>56. The public health agency has defined an evaluation, learning and/or research agenda that aims to address knowledge gaps relevant to emergency management.</w:t>
            </w:r>
          </w:p>
        </w:tc>
        <w:tc>
          <w:tcPr>
            <w:tcW w:w="1275" w:type="dxa"/>
            <w:tcBorders>
              <w:bottom w:val="single" w:sz="4" w:space="0" w:color="auto"/>
              <w:right w:val="nil"/>
            </w:tcBorders>
            <w:noWrap/>
            <w:vAlign w:val="center"/>
          </w:tcPr>
          <w:p w14:paraId="6C816AF7" w14:textId="77777777" w:rsidR="00B24196" w:rsidRPr="00975564" w:rsidRDefault="00B24196" w:rsidP="00D65FE6">
            <w:pPr>
              <w:jc w:val="center"/>
              <w:rPr>
                <w:rFonts w:ascii="Times New Roman" w:eastAsiaTheme="minorEastAsia" w:hAnsi="Times New Roman" w:cs="Times New Roman"/>
                <w:color w:val="000000"/>
                <w:lang w:eastAsia="en-CA"/>
              </w:rPr>
            </w:pPr>
            <w:r w:rsidRPr="00975564">
              <w:rPr>
                <w:rFonts w:ascii="Times New Roman" w:eastAsiaTheme="minorEastAsia" w:hAnsi="Times New Roman" w:cs="Times New Roman"/>
                <w:color w:val="000000"/>
                <w:lang w:eastAsia="en-CA"/>
              </w:rPr>
              <w:t>4 (3)</w:t>
            </w:r>
          </w:p>
        </w:tc>
        <w:tc>
          <w:tcPr>
            <w:tcW w:w="851" w:type="dxa"/>
            <w:tcBorders>
              <w:left w:val="nil"/>
              <w:bottom w:val="single" w:sz="4" w:space="0" w:color="auto"/>
              <w:right w:val="nil"/>
            </w:tcBorders>
            <w:noWrap/>
            <w:vAlign w:val="center"/>
          </w:tcPr>
          <w:p w14:paraId="3BF1730D" w14:textId="77777777" w:rsidR="00B24196" w:rsidRPr="00975564" w:rsidRDefault="00B24196" w:rsidP="00D65FE6">
            <w:pPr>
              <w:jc w:val="center"/>
              <w:rPr>
                <w:rFonts w:ascii="Times New Roman" w:eastAsiaTheme="minorEastAsia" w:hAnsi="Times New Roman" w:cs="Times New Roman"/>
                <w:color w:val="000000"/>
                <w:lang w:eastAsia="en-CA"/>
              </w:rPr>
            </w:pPr>
            <w:r w:rsidRPr="00975564">
              <w:rPr>
                <w:rFonts w:ascii="Times New Roman" w:eastAsiaTheme="minorEastAsia" w:hAnsi="Times New Roman" w:cs="Times New Roman"/>
                <w:color w:val="000000"/>
                <w:lang w:eastAsia="en-CA"/>
              </w:rPr>
              <w:t>15</w:t>
            </w:r>
          </w:p>
        </w:tc>
        <w:tc>
          <w:tcPr>
            <w:tcW w:w="1276" w:type="dxa"/>
            <w:tcBorders>
              <w:left w:val="nil"/>
              <w:bottom w:val="single" w:sz="4" w:space="0" w:color="auto"/>
              <w:right w:val="nil"/>
            </w:tcBorders>
            <w:noWrap/>
            <w:vAlign w:val="center"/>
          </w:tcPr>
          <w:p w14:paraId="38D79429" w14:textId="77777777" w:rsidR="00B24196" w:rsidRPr="00975564" w:rsidRDefault="00B24196" w:rsidP="00D65FE6">
            <w:pPr>
              <w:jc w:val="center"/>
              <w:rPr>
                <w:rFonts w:ascii="Times New Roman" w:eastAsiaTheme="minorEastAsia" w:hAnsi="Times New Roman" w:cs="Times New Roman"/>
                <w:color w:val="000000"/>
                <w:lang w:eastAsia="en-CA"/>
              </w:rPr>
            </w:pPr>
            <w:r w:rsidRPr="00975564">
              <w:rPr>
                <w:rFonts w:ascii="Times New Roman" w:eastAsiaTheme="minorEastAsia" w:hAnsi="Times New Roman" w:cs="Times New Roman"/>
                <w:color w:val="000000"/>
                <w:lang w:eastAsia="en-CA"/>
              </w:rPr>
              <w:t>57.7</w:t>
            </w:r>
          </w:p>
        </w:tc>
        <w:tc>
          <w:tcPr>
            <w:tcW w:w="850" w:type="dxa"/>
            <w:tcBorders>
              <w:left w:val="nil"/>
              <w:bottom w:val="single" w:sz="4" w:space="0" w:color="auto"/>
            </w:tcBorders>
            <w:vAlign w:val="center"/>
          </w:tcPr>
          <w:p w14:paraId="415BCBF3" w14:textId="77777777" w:rsidR="00B24196" w:rsidRPr="00975564" w:rsidRDefault="00B24196" w:rsidP="00D65FE6">
            <w:pPr>
              <w:jc w:val="center"/>
              <w:rPr>
                <w:rFonts w:ascii="Times New Roman" w:eastAsiaTheme="minorEastAsia" w:hAnsi="Times New Roman" w:cs="Times New Roman"/>
                <w:color w:val="000000"/>
                <w:lang w:eastAsia="en-CA"/>
              </w:rPr>
            </w:pPr>
            <w:r w:rsidRPr="00975564">
              <w:rPr>
                <w:rFonts w:ascii="Times New Roman" w:eastAsiaTheme="minorEastAsia" w:hAnsi="Times New Roman" w:cs="Times New Roman"/>
                <w:color w:val="000000"/>
                <w:lang w:eastAsia="en-CA"/>
              </w:rPr>
              <w:t>26</w:t>
            </w:r>
          </w:p>
        </w:tc>
        <w:tc>
          <w:tcPr>
            <w:tcW w:w="1418" w:type="dxa"/>
            <w:tcBorders>
              <w:bottom w:val="single" w:sz="4" w:space="0" w:color="auto"/>
              <w:right w:val="nil"/>
            </w:tcBorders>
            <w:noWrap/>
            <w:vAlign w:val="center"/>
          </w:tcPr>
          <w:p w14:paraId="79AC080F" w14:textId="77777777" w:rsidR="00B24196" w:rsidRPr="00975564" w:rsidRDefault="00B24196" w:rsidP="00D65FE6">
            <w:pPr>
              <w:jc w:val="center"/>
              <w:rPr>
                <w:rFonts w:ascii="Times New Roman" w:eastAsiaTheme="minorEastAsia" w:hAnsi="Times New Roman" w:cs="Times New Roman"/>
                <w:color w:val="000000"/>
                <w:lang w:eastAsia="en-CA"/>
              </w:rPr>
            </w:pPr>
            <w:r w:rsidRPr="00975564">
              <w:rPr>
                <w:rFonts w:ascii="Times New Roman" w:eastAsiaTheme="minorEastAsia" w:hAnsi="Times New Roman" w:cs="Times New Roman"/>
                <w:color w:val="000000"/>
                <w:lang w:eastAsia="en-CA"/>
              </w:rPr>
              <w:t>4 (2.75)</w:t>
            </w:r>
          </w:p>
        </w:tc>
        <w:tc>
          <w:tcPr>
            <w:tcW w:w="850" w:type="dxa"/>
            <w:tcBorders>
              <w:left w:val="nil"/>
              <w:bottom w:val="single" w:sz="4" w:space="0" w:color="auto"/>
              <w:right w:val="nil"/>
            </w:tcBorders>
            <w:noWrap/>
            <w:vAlign w:val="center"/>
          </w:tcPr>
          <w:p w14:paraId="57BE1F09" w14:textId="77777777" w:rsidR="00B24196" w:rsidRPr="00975564" w:rsidRDefault="00B24196" w:rsidP="00D65FE6">
            <w:pPr>
              <w:jc w:val="center"/>
              <w:rPr>
                <w:rFonts w:ascii="Times New Roman" w:eastAsiaTheme="minorEastAsia" w:hAnsi="Times New Roman" w:cs="Times New Roman"/>
                <w:color w:val="000000"/>
                <w:lang w:eastAsia="en-CA"/>
              </w:rPr>
            </w:pPr>
            <w:r w:rsidRPr="00975564">
              <w:rPr>
                <w:rFonts w:ascii="Times New Roman" w:eastAsiaTheme="minorEastAsia" w:hAnsi="Times New Roman" w:cs="Times New Roman"/>
                <w:color w:val="000000"/>
                <w:lang w:eastAsia="en-CA"/>
              </w:rPr>
              <w:t>16</w:t>
            </w:r>
          </w:p>
        </w:tc>
        <w:tc>
          <w:tcPr>
            <w:tcW w:w="1276" w:type="dxa"/>
            <w:tcBorders>
              <w:left w:val="nil"/>
              <w:bottom w:val="single" w:sz="4" w:space="0" w:color="auto"/>
              <w:right w:val="nil"/>
            </w:tcBorders>
            <w:noWrap/>
            <w:vAlign w:val="center"/>
          </w:tcPr>
          <w:p w14:paraId="33B97237" w14:textId="77777777" w:rsidR="00B24196" w:rsidRPr="00975564" w:rsidRDefault="00B24196" w:rsidP="00D65FE6">
            <w:pPr>
              <w:jc w:val="center"/>
              <w:rPr>
                <w:rFonts w:ascii="Times New Roman" w:eastAsiaTheme="minorEastAsia" w:hAnsi="Times New Roman" w:cs="Times New Roman"/>
                <w:color w:val="000000"/>
                <w:lang w:eastAsia="en-CA"/>
              </w:rPr>
            </w:pPr>
            <w:r w:rsidRPr="00975564">
              <w:rPr>
                <w:rFonts w:ascii="Times New Roman" w:eastAsiaTheme="minorEastAsia" w:hAnsi="Times New Roman" w:cs="Times New Roman"/>
                <w:color w:val="000000"/>
                <w:lang w:eastAsia="en-CA"/>
              </w:rPr>
              <w:t>61.5</w:t>
            </w:r>
          </w:p>
        </w:tc>
        <w:tc>
          <w:tcPr>
            <w:tcW w:w="850" w:type="dxa"/>
            <w:tcBorders>
              <w:left w:val="nil"/>
              <w:bottom w:val="single" w:sz="4" w:space="0" w:color="auto"/>
            </w:tcBorders>
            <w:vAlign w:val="center"/>
          </w:tcPr>
          <w:p w14:paraId="6C5F6891" w14:textId="77777777" w:rsidR="00B24196" w:rsidRPr="00975564" w:rsidRDefault="00B24196" w:rsidP="00D65FE6">
            <w:pPr>
              <w:jc w:val="center"/>
              <w:rPr>
                <w:rFonts w:ascii="Times New Roman" w:eastAsiaTheme="minorEastAsia" w:hAnsi="Times New Roman" w:cs="Times New Roman"/>
                <w:color w:val="000000"/>
                <w:lang w:eastAsia="en-CA"/>
              </w:rPr>
            </w:pPr>
            <w:r w:rsidRPr="00975564">
              <w:rPr>
                <w:rFonts w:ascii="Times New Roman" w:eastAsiaTheme="minorEastAsia" w:hAnsi="Times New Roman" w:cs="Times New Roman"/>
                <w:color w:val="000000"/>
                <w:lang w:eastAsia="en-CA"/>
              </w:rPr>
              <w:t>26</w:t>
            </w:r>
          </w:p>
        </w:tc>
      </w:tr>
    </w:tbl>
    <w:p w14:paraId="3AA61FAE" w14:textId="77777777" w:rsidR="00B24196" w:rsidRPr="00975564" w:rsidRDefault="00B24196" w:rsidP="00B24196">
      <w:pPr>
        <w:spacing w:after="0" w:line="240" w:lineRule="auto"/>
        <w:rPr>
          <w:rFonts w:ascii="Times New Roman" w:eastAsiaTheme="minorEastAsia" w:hAnsi="Times New Roman" w:cs="Times New Roman"/>
          <w:sz w:val="20"/>
          <w:szCs w:val="20"/>
          <w:lang w:eastAsia="en-CA"/>
        </w:rPr>
      </w:pPr>
    </w:p>
    <w:p w14:paraId="121A203E" w14:textId="77777777" w:rsidR="00B24196" w:rsidRPr="00975564" w:rsidRDefault="00B24196" w:rsidP="00B24196">
      <w:pPr>
        <w:outlineLvl w:val="0"/>
        <w:rPr>
          <w:rFonts w:ascii="Times New Roman" w:eastAsiaTheme="minorEastAsia" w:hAnsi="Times New Roman" w:cs="Times New Roman"/>
          <w:sz w:val="20"/>
          <w:szCs w:val="20"/>
          <w:lang w:eastAsia="en-CA"/>
        </w:rPr>
      </w:pPr>
      <w:bookmarkStart w:id="29" w:name="_Toc535852491"/>
      <w:bookmarkStart w:id="30" w:name="_Toc535852618"/>
      <w:bookmarkStart w:id="31" w:name="_Toc535853117"/>
      <w:r w:rsidRPr="00975564">
        <w:rPr>
          <w:rFonts w:ascii="Times New Roman" w:eastAsiaTheme="minorEastAsia" w:hAnsi="Times New Roman" w:cs="Times New Roman"/>
          <w:sz w:val="20"/>
          <w:szCs w:val="20"/>
          <w:vertAlign w:val="superscript"/>
          <w:lang w:eastAsia="en-CA"/>
        </w:rPr>
        <w:t>a</w:t>
      </w:r>
      <w:r w:rsidRPr="00975564">
        <w:rPr>
          <w:rFonts w:ascii="Times New Roman" w:eastAsiaTheme="minorEastAsia" w:hAnsi="Times New Roman" w:cs="Times New Roman"/>
          <w:sz w:val="20"/>
          <w:szCs w:val="20"/>
          <w:lang w:eastAsia="en-CA"/>
        </w:rPr>
        <w:t>n = number of panel members who voted in indicator poll</w:t>
      </w:r>
      <w:bookmarkEnd w:id="29"/>
      <w:bookmarkEnd w:id="30"/>
      <w:bookmarkEnd w:id="31"/>
      <w:r w:rsidRPr="00975564">
        <w:rPr>
          <w:rFonts w:ascii="Times New Roman" w:eastAsiaTheme="minorEastAsia" w:hAnsi="Times New Roman" w:cs="Times New Roman"/>
          <w:sz w:val="20"/>
          <w:szCs w:val="20"/>
          <w:lang w:eastAsia="en-CA"/>
        </w:rPr>
        <w:t xml:space="preserve"> </w:t>
      </w:r>
    </w:p>
    <w:p w14:paraId="0F53AFB0" w14:textId="77777777" w:rsidR="00B24196" w:rsidRPr="00975564" w:rsidRDefault="00B24196" w:rsidP="00B24196">
      <w:pPr>
        <w:outlineLvl w:val="0"/>
        <w:rPr>
          <w:rFonts w:ascii="Times New Roman" w:eastAsiaTheme="minorEastAsia" w:hAnsi="Times New Roman" w:cs="Times New Roman"/>
          <w:sz w:val="20"/>
          <w:szCs w:val="20"/>
          <w:lang w:eastAsia="en-CA"/>
        </w:rPr>
      </w:pPr>
    </w:p>
    <w:p w14:paraId="18879927" w14:textId="77777777" w:rsidR="00B24196" w:rsidRPr="00975564" w:rsidRDefault="00B24196" w:rsidP="00B24196">
      <w:pPr>
        <w:outlineLvl w:val="0"/>
        <w:rPr>
          <w:rFonts w:ascii="Times New Roman" w:eastAsiaTheme="minorEastAsia" w:hAnsi="Times New Roman" w:cs="Times New Roman"/>
          <w:sz w:val="20"/>
          <w:szCs w:val="20"/>
          <w:lang w:eastAsia="en-CA"/>
        </w:rPr>
      </w:pPr>
    </w:p>
    <w:p w14:paraId="250B3913" w14:textId="77777777" w:rsidR="00B24196" w:rsidRPr="00975564" w:rsidRDefault="00B24196" w:rsidP="00B24196">
      <w:pPr>
        <w:outlineLvl w:val="0"/>
        <w:rPr>
          <w:rFonts w:ascii="Times New Roman" w:eastAsiaTheme="minorEastAsia" w:hAnsi="Times New Roman" w:cs="Times New Roman"/>
          <w:sz w:val="20"/>
          <w:szCs w:val="20"/>
          <w:lang w:eastAsia="en-CA"/>
        </w:rPr>
      </w:pPr>
    </w:p>
    <w:p w14:paraId="3A994174" w14:textId="77777777" w:rsidR="00B24196" w:rsidRPr="00975564" w:rsidRDefault="00B24196" w:rsidP="00B24196">
      <w:pPr>
        <w:outlineLvl w:val="0"/>
        <w:rPr>
          <w:rFonts w:ascii="Times New Roman" w:eastAsiaTheme="minorEastAsia" w:hAnsi="Times New Roman" w:cs="Times New Roman"/>
          <w:sz w:val="20"/>
          <w:szCs w:val="20"/>
          <w:lang w:eastAsia="en-CA"/>
        </w:rPr>
      </w:pPr>
    </w:p>
    <w:p w14:paraId="2470D7C8" w14:textId="77777777" w:rsidR="00B24196" w:rsidRPr="00975564" w:rsidRDefault="00B24196" w:rsidP="00B24196">
      <w:pPr>
        <w:outlineLvl w:val="0"/>
        <w:rPr>
          <w:rFonts w:ascii="Times New Roman" w:eastAsiaTheme="minorEastAsia" w:hAnsi="Times New Roman" w:cs="Times New Roman"/>
          <w:sz w:val="20"/>
          <w:szCs w:val="20"/>
          <w:lang w:eastAsia="en-CA"/>
        </w:rPr>
      </w:pPr>
    </w:p>
    <w:p w14:paraId="1812E8ED" w14:textId="77777777" w:rsidR="00B24196" w:rsidRPr="00975564" w:rsidRDefault="00B24196" w:rsidP="00B24196">
      <w:pPr>
        <w:outlineLvl w:val="0"/>
        <w:rPr>
          <w:rFonts w:ascii="Times New Roman" w:eastAsiaTheme="minorEastAsia" w:hAnsi="Times New Roman" w:cs="Times New Roman"/>
          <w:sz w:val="20"/>
          <w:szCs w:val="20"/>
          <w:lang w:eastAsia="en-CA"/>
        </w:rPr>
      </w:pPr>
    </w:p>
    <w:p w14:paraId="287E9AB3" w14:textId="77777777" w:rsidR="00B24196" w:rsidRPr="00975564" w:rsidRDefault="00B24196" w:rsidP="00B24196">
      <w:pPr>
        <w:outlineLvl w:val="0"/>
        <w:rPr>
          <w:rFonts w:ascii="Times New Roman" w:eastAsiaTheme="minorEastAsia" w:hAnsi="Times New Roman" w:cs="Times New Roman"/>
          <w:sz w:val="20"/>
          <w:szCs w:val="20"/>
          <w:lang w:eastAsia="en-CA"/>
        </w:rPr>
      </w:pPr>
    </w:p>
    <w:p w14:paraId="1C018D43" w14:textId="77777777" w:rsidR="00B24196" w:rsidRPr="00975564" w:rsidRDefault="00B24196" w:rsidP="00B24196">
      <w:pPr>
        <w:pStyle w:val="Heading1"/>
      </w:pPr>
    </w:p>
    <w:p w14:paraId="4A119338" w14:textId="77777777" w:rsidR="00B24196" w:rsidRDefault="00B24196" w:rsidP="00975564">
      <w:pPr>
        <w:rPr>
          <w:rFonts w:ascii="Times New Roman" w:eastAsiaTheme="minorEastAsia" w:hAnsi="Times New Roman" w:cs="Times New Roman"/>
          <w:sz w:val="20"/>
          <w:szCs w:val="20"/>
          <w:lang w:eastAsia="en-CA"/>
        </w:rPr>
      </w:pPr>
    </w:p>
    <w:p w14:paraId="0294FAB7" w14:textId="77777777" w:rsidR="00B24196" w:rsidRDefault="00B24196" w:rsidP="00975564">
      <w:pPr>
        <w:rPr>
          <w:rFonts w:ascii="Times New Roman" w:eastAsiaTheme="minorEastAsia" w:hAnsi="Times New Roman" w:cs="Times New Roman"/>
          <w:sz w:val="20"/>
          <w:szCs w:val="20"/>
          <w:lang w:eastAsia="en-CA"/>
        </w:rPr>
      </w:pPr>
    </w:p>
    <w:p w14:paraId="55E7E5DD" w14:textId="44218486" w:rsidR="00B24196" w:rsidRPr="00C20892" w:rsidRDefault="00B24196" w:rsidP="00B24196">
      <w:pPr>
        <w:pStyle w:val="Heading1"/>
        <w:rPr>
          <w:rFonts w:ascii="Times New Roman" w:eastAsiaTheme="minorEastAsia" w:hAnsi="Times New Roman" w:cs="Times New Roman"/>
          <w:color w:val="auto"/>
          <w:sz w:val="20"/>
          <w:szCs w:val="20"/>
          <w:lang w:eastAsia="en-CA"/>
        </w:rPr>
      </w:pPr>
      <w:bookmarkStart w:id="32" w:name="_Toc535852487"/>
      <w:bookmarkStart w:id="33" w:name="_Toc535852614"/>
      <w:bookmarkStart w:id="34" w:name="_Toc535853113"/>
      <w:r>
        <w:rPr>
          <w:rFonts w:ascii="Times New Roman" w:eastAsiaTheme="minorEastAsia" w:hAnsi="Times New Roman" w:cs="Times New Roman"/>
          <w:color w:val="auto"/>
          <w:sz w:val="20"/>
          <w:szCs w:val="20"/>
          <w:lang w:eastAsia="en-CA"/>
        </w:rPr>
        <w:lastRenderedPageBreak/>
        <w:t>S</w:t>
      </w:r>
      <w:r w:rsidR="00B067A4">
        <w:rPr>
          <w:rFonts w:ascii="Times New Roman" w:eastAsiaTheme="minorEastAsia" w:hAnsi="Times New Roman" w:cs="Times New Roman"/>
          <w:color w:val="auto"/>
          <w:sz w:val="20"/>
          <w:szCs w:val="20"/>
          <w:lang w:eastAsia="en-CA"/>
        </w:rPr>
        <w:t>4</w:t>
      </w:r>
      <w:r>
        <w:rPr>
          <w:rFonts w:ascii="Times New Roman" w:eastAsiaTheme="minorEastAsia" w:hAnsi="Times New Roman" w:cs="Times New Roman"/>
          <w:color w:val="auto"/>
          <w:sz w:val="20"/>
          <w:szCs w:val="20"/>
          <w:lang w:eastAsia="en-CA"/>
        </w:rPr>
        <w:t xml:space="preserve"> Table 8</w:t>
      </w:r>
      <w:r w:rsidRPr="00C20892">
        <w:rPr>
          <w:rFonts w:ascii="Times New Roman" w:eastAsiaTheme="minorEastAsia" w:hAnsi="Times New Roman" w:cs="Times New Roman"/>
          <w:color w:val="auto"/>
          <w:sz w:val="20"/>
          <w:szCs w:val="20"/>
          <w:lang w:eastAsia="en-CA"/>
        </w:rPr>
        <w:t xml:space="preserve">. </w:t>
      </w:r>
      <w:bookmarkStart w:id="35" w:name="_Toc505695040"/>
      <w:r w:rsidRPr="00C20892">
        <w:rPr>
          <w:rFonts w:ascii="Times New Roman" w:eastAsiaTheme="minorEastAsia" w:hAnsi="Times New Roman" w:cs="Times New Roman"/>
          <w:color w:val="auto"/>
          <w:sz w:val="20"/>
          <w:szCs w:val="20"/>
          <w:lang w:eastAsia="en-CA"/>
        </w:rPr>
        <w:t>Important (≥ 70%) but not actionable (≤ 70%) indicators</w:t>
      </w:r>
      <w:bookmarkEnd w:id="32"/>
      <w:bookmarkEnd w:id="33"/>
      <w:bookmarkEnd w:id="34"/>
      <w:bookmarkEnd w:id="35"/>
    </w:p>
    <w:tbl>
      <w:tblPr>
        <w:tblStyle w:val="TableGrid1"/>
        <w:tblW w:w="13149" w:type="dxa"/>
        <w:tblLayout w:type="fixed"/>
        <w:tblLook w:val="04A0" w:firstRow="1" w:lastRow="0" w:firstColumn="1" w:lastColumn="0" w:noHBand="0" w:noVBand="1"/>
      </w:tblPr>
      <w:tblGrid>
        <w:gridCol w:w="4503"/>
        <w:gridCol w:w="1275"/>
        <w:gridCol w:w="851"/>
        <w:gridCol w:w="1276"/>
        <w:gridCol w:w="850"/>
        <w:gridCol w:w="1418"/>
        <w:gridCol w:w="850"/>
        <w:gridCol w:w="1276"/>
        <w:gridCol w:w="850"/>
      </w:tblGrid>
      <w:tr w:rsidR="00B24196" w:rsidRPr="00975564" w14:paraId="45F72802" w14:textId="77777777" w:rsidTr="00D65FE6">
        <w:trPr>
          <w:trHeight w:val="396"/>
          <w:tblHeader/>
        </w:trPr>
        <w:tc>
          <w:tcPr>
            <w:tcW w:w="4503" w:type="dxa"/>
            <w:tcBorders>
              <w:top w:val="nil"/>
              <w:left w:val="nil"/>
            </w:tcBorders>
          </w:tcPr>
          <w:p w14:paraId="3C6A28AD" w14:textId="77777777" w:rsidR="00B24196" w:rsidRPr="00975564" w:rsidRDefault="00B24196" w:rsidP="00D65FE6">
            <w:pPr>
              <w:outlineLvl w:val="0"/>
              <w:rPr>
                <w:rFonts w:ascii="Times New Roman" w:hAnsi="Times New Roman" w:cs="Times New Roman"/>
                <w:color w:val="FFFFFF" w:themeColor="background1"/>
                <w:sz w:val="20"/>
                <w:szCs w:val="20"/>
              </w:rPr>
            </w:pPr>
          </w:p>
        </w:tc>
        <w:tc>
          <w:tcPr>
            <w:tcW w:w="4252" w:type="dxa"/>
            <w:gridSpan w:val="4"/>
            <w:vAlign w:val="center"/>
          </w:tcPr>
          <w:p w14:paraId="4FA74312"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Important</w:t>
            </w:r>
          </w:p>
        </w:tc>
        <w:tc>
          <w:tcPr>
            <w:tcW w:w="4394" w:type="dxa"/>
            <w:gridSpan w:val="4"/>
            <w:vAlign w:val="center"/>
          </w:tcPr>
          <w:p w14:paraId="5EC4FBA7"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Actionable</w:t>
            </w:r>
          </w:p>
        </w:tc>
      </w:tr>
      <w:tr w:rsidR="00B24196" w:rsidRPr="00975564" w14:paraId="547FDD49" w14:textId="77777777" w:rsidTr="00D65FE6">
        <w:trPr>
          <w:tblHeader/>
        </w:trPr>
        <w:tc>
          <w:tcPr>
            <w:tcW w:w="4503" w:type="dxa"/>
            <w:tcBorders>
              <w:bottom w:val="single" w:sz="4" w:space="0" w:color="auto"/>
            </w:tcBorders>
            <w:vAlign w:val="center"/>
          </w:tcPr>
          <w:p w14:paraId="35C6B59C"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Indicators (n=7)</w:t>
            </w:r>
            <w:r w:rsidRPr="00975564">
              <w:rPr>
                <w:rFonts w:ascii="Times New Roman" w:hAnsi="Times New Roman" w:cs="Times New Roman"/>
                <w:sz w:val="20"/>
                <w:szCs w:val="20"/>
                <w:vertAlign w:val="superscript"/>
              </w:rPr>
              <w:t>a</w:t>
            </w:r>
          </w:p>
        </w:tc>
        <w:tc>
          <w:tcPr>
            <w:tcW w:w="1275" w:type="dxa"/>
            <w:tcBorders>
              <w:right w:val="nil"/>
            </w:tcBorders>
            <w:vAlign w:val="center"/>
          </w:tcPr>
          <w:p w14:paraId="2331F631"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Median (IQR)</w:t>
            </w:r>
          </w:p>
        </w:tc>
        <w:tc>
          <w:tcPr>
            <w:tcW w:w="851" w:type="dxa"/>
            <w:tcBorders>
              <w:left w:val="nil"/>
              <w:bottom w:val="single" w:sz="4" w:space="0" w:color="auto"/>
              <w:right w:val="nil"/>
            </w:tcBorders>
            <w:vAlign w:val="center"/>
          </w:tcPr>
          <w:p w14:paraId="4EBE8B71"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No.</w:t>
            </w:r>
          </w:p>
        </w:tc>
        <w:tc>
          <w:tcPr>
            <w:tcW w:w="1276" w:type="dxa"/>
            <w:tcBorders>
              <w:left w:val="nil"/>
              <w:right w:val="nil"/>
            </w:tcBorders>
            <w:vAlign w:val="center"/>
          </w:tcPr>
          <w:p w14:paraId="7EF85F7D"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Consensus</w:t>
            </w:r>
          </w:p>
          <w:p w14:paraId="19743EC4" w14:textId="77777777" w:rsidR="00B24196" w:rsidRPr="00975564" w:rsidRDefault="00B24196" w:rsidP="00D65FE6">
            <w:pPr>
              <w:jc w:val="center"/>
              <w:outlineLvl w:val="0"/>
              <w:rPr>
                <w:rFonts w:ascii="Times New Roman" w:hAnsi="Times New Roman" w:cs="Times New Roman"/>
                <w:sz w:val="20"/>
                <w:szCs w:val="20"/>
              </w:rPr>
            </w:pPr>
            <w:bookmarkStart w:id="36" w:name="_Toc535852488"/>
            <w:bookmarkStart w:id="37" w:name="_Toc535852615"/>
            <w:bookmarkStart w:id="38" w:name="_Toc535853114"/>
            <w:r w:rsidRPr="00975564">
              <w:rPr>
                <w:rFonts w:ascii="Times New Roman" w:hAnsi="Times New Roman" w:cs="Times New Roman"/>
                <w:b/>
                <w:sz w:val="20"/>
                <w:szCs w:val="20"/>
              </w:rPr>
              <w:t>Level (%)</w:t>
            </w:r>
            <w:bookmarkEnd w:id="36"/>
            <w:bookmarkEnd w:id="37"/>
            <w:bookmarkEnd w:id="38"/>
          </w:p>
        </w:tc>
        <w:tc>
          <w:tcPr>
            <w:tcW w:w="850" w:type="dxa"/>
            <w:tcBorders>
              <w:left w:val="nil"/>
              <w:bottom w:val="single" w:sz="4" w:space="0" w:color="auto"/>
            </w:tcBorders>
            <w:vAlign w:val="center"/>
          </w:tcPr>
          <w:p w14:paraId="1B989E87"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n</w:t>
            </w:r>
          </w:p>
        </w:tc>
        <w:tc>
          <w:tcPr>
            <w:tcW w:w="1418" w:type="dxa"/>
            <w:tcBorders>
              <w:right w:val="nil"/>
            </w:tcBorders>
            <w:vAlign w:val="center"/>
          </w:tcPr>
          <w:p w14:paraId="490652CC"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Median (IQR)</w:t>
            </w:r>
          </w:p>
        </w:tc>
        <w:tc>
          <w:tcPr>
            <w:tcW w:w="850" w:type="dxa"/>
            <w:tcBorders>
              <w:left w:val="nil"/>
              <w:bottom w:val="single" w:sz="4" w:space="0" w:color="auto"/>
              <w:right w:val="nil"/>
            </w:tcBorders>
            <w:vAlign w:val="center"/>
          </w:tcPr>
          <w:p w14:paraId="12A326F7"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No.</w:t>
            </w:r>
          </w:p>
        </w:tc>
        <w:tc>
          <w:tcPr>
            <w:tcW w:w="1276" w:type="dxa"/>
            <w:tcBorders>
              <w:left w:val="nil"/>
              <w:right w:val="nil"/>
            </w:tcBorders>
            <w:vAlign w:val="center"/>
          </w:tcPr>
          <w:p w14:paraId="181A96D1"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Consensus</w:t>
            </w:r>
          </w:p>
          <w:p w14:paraId="4F189589"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 xml:space="preserve">Level (%)  </w:t>
            </w:r>
          </w:p>
        </w:tc>
        <w:tc>
          <w:tcPr>
            <w:tcW w:w="850" w:type="dxa"/>
            <w:tcBorders>
              <w:left w:val="nil"/>
              <w:bottom w:val="single" w:sz="4" w:space="0" w:color="auto"/>
            </w:tcBorders>
            <w:vAlign w:val="center"/>
          </w:tcPr>
          <w:p w14:paraId="7D2D78CA" w14:textId="77777777" w:rsidR="00B24196" w:rsidRPr="00975564" w:rsidRDefault="00B24196" w:rsidP="00D65FE6">
            <w:pPr>
              <w:jc w:val="center"/>
              <w:rPr>
                <w:rFonts w:ascii="Times New Roman" w:hAnsi="Times New Roman" w:cs="Times New Roman"/>
                <w:b/>
                <w:sz w:val="20"/>
                <w:szCs w:val="20"/>
              </w:rPr>
            </w:pPr>
            <w:r w:rsidRPr="00975564">
              <w:rPr>
                <w:rFonts w:ascii="Times New Roman" w:hAnsi="Times New Roman" w:cs="Times New Roman"/>
                <w:b/>
                <w:sz w:val="20"/>
                <w:szCs w:val="20"/>
              </w:rPr>
              <w:t>n</w:t>
            </w:r>
          </w:p>
        </w:tc>
      </w:tr>
      <w:tr w:rsidR="00B24196" w:rsidRPr="00975564" w14:paraId="3688F7D0" w14:textId="77777777" w:rsidTr="00D65FE6">
        <w:trPr>
          <w:trHeight w:val="315"/>
        </w:trPr>
        <w:tc>
          <w:tcPr>
            <w:tcW w:w="4503" w:type="dxa"/>
            <w:shd w:val="clear" w:color="auto" w:fill="595959" w:themeFill="text1" w:themeFillTint="A6"/>
            <w:vAlign w:val="center"/>
          </w:tcPr>
          <w:p w14:paraId="485915C2"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Governance and Leadership</w:t>
            </w:r>
          </w:p>
        </w:tc>
        <w:tc>
          <w:tcPr>
            <w:tcW w:w="1275" w:type="dxa"/>
            <w:tcBorders>
              <w:right w:val="nil"/>
            </w:tcBorders>
            <w:shd w:val="clear" w:color="auto" w:fill="595959" w:themeFill="text1" w:themeFillTint="A6"/>
            <w:noWrap/>
            <w:vAlign w:val="center"/>
          </w:tcPr>
          <w:p w14:paraId="1CA47DF5"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851" w:type="dxa"/>
            <w:tcBorders>
              <w:left w:val="nil"/>
              <w:bottom w:val="single" w:sz="4" w:space="0" w:color="auto"/>
              <w:right w:val="nil"/>
            </w:tcBorders>
            <w:shd w:val="clear" w:color="auto" w:fill="595959" w:themeFill="text1" w:themeFillTint="A6"/>
            <w:noWrap/>
            <w:vAlign w:val="center"/>
          </w:tcPr>
          <w:p w14:paraId="6D80E89B"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bottom w:val="single" w:sz="4" w:space="0" w:color="auto"/>
              <w:right w:val="nil"/>
            </w:tcBorders>
            <w:shd w:val="clear" w:color="auto" w:fill="595959" w:themeFill="text1" w:themeFillTint="A6"/>
            <w:noWrap/>
            <w:vAlign w:val="center"/>
          </w:tcPr>
          <w:p w14:paraId="056882E4"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850" w:type="dxa"/>
            <w:tcBorders>
              <w:left w:val="nil"/>
              <w:bottom w:val="single" w:sz="4" w:space="0" w:color="auto"/>
            </w:tcBorders>
            <w:shd w:val="clear" w:color="auto" w:fill="595959" w:themeFill="text1" w:themeFillTint="A6"/>
          </w:tcPr>
          <w:p w14:paraId="15720C9E"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418" w:type="dxa"/>
            <w:tcBorders>
              <w:bottom w:val="single" w:sz="4" w:space="0" w:color="auto"/>
              <w:right w:val="nil"/>
            </w:tcBorders>
            <w:shd w:val="clear" w:color="auto" w:fill="595959" w:themeFill="text1" w:themeFillTint="A6"/>
            <w:noWrap/>
            <w:vAlign w:val="center"/>
          </w:tcPr>
          <w:p w14:paraId="535ACE2F"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850" w:type="dxa"/>
            <w:tcBorders>
              <w:left w:val="nil"/>
              <w:right w:val="nil"/>
            </w:tcBorders>
            <w:shd w:val="clear" w:color="auto" w:fill="595959" w:themeFill="text1" w:themeFillTint="A6"/>
            <w:noWrap/>
            <w:vAlign w:val="center"/>
          </w:tcPr>
          <w:p w14:paraId="5DA4B12C"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bottom w:val="single" w:sz="4" w:space="0" w:color="auto"/>
              <w:right w:val="nil"/>
            </w:tcBorders>
            <w:shd w:val="clear" w:color="auto" w:fill="595959" w:themeFill="text1" w:themeFillTint="A6"/>
            <w:noWrap/>
            <w:vAlign w:val="center"/>
          </w:tcPr>
          <w:p w14:paraId="122DC57F"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850" w:type="dxa"/>
            <w:tcBorders>
              <w:left w:val="nil"/>
              <w:bottom w:val="single" w:sz="4" w:space="0" w:color="auto"/>
            </w:tcBorders>
            <w:shd w:val="clear" w:color="auto" w:fill="595959" w:themeFill="text1" w:themeFillTint="A6"/>
          </w:tcPr>
          <w:p w14:paraId="00FE4AD1" w14:textId="77777777" w:rsidR="00B24196" w:rsidRPr="00975564" w:rsidRDefault="00B24196" w:rsidP="00D65FE6">
            <w:pPr>
              <w:jc w:val="center"/>
              <w:rPr>
                <w:rFonts w:ascii="Times New Roman" w:hAnsi="Times New Roman" w:cs="Times New Roman"/>
                <w:b/>
                <w:color w:val="FFFFFF" w:themeColor="background1"/>
                <w:sz w:val="20"/>
                <w:szCs w:val="20"/>
              </w:rPr>
            </w:pPr>
          </w:p>
        </w:tc>
      </w:tr>
      <w:tr w:rsidR="00B24196" w:rsidRPr="00975564" w14:paraId="4D0B747F" w14:textId="77777777" w:rsidTr="00D65FE6">
        <w:trPr>
          <w:trHeight w:val="315"/>
        </w:trPr>
        <w:tc>
          <w:tcPr>
            <w:tcW w:w="4503" w:type="dxa"/>
            <w:shd w:val="clear" w:color="auto" w:fill="auto"/>
            <w:vAlign w:val="center"/>
          </w:tcPr>
          <w:p w14:paraId="3F97AFC5" w14:textId="77777777" w:rsidR="00B24196" w:rsidRPr="00975564" w:rsidRDefault="00B24196" w:rsidP="00D65FE6">
            <w:pPr>
              <w:rPr>
                <w:rFonts w:ascii="Times New Roman" w:hAnsi="Times New Roman" w:cs="Times New Roman"/>
                <w:b/>
                <w:color w:val="FFFFFF" w:themeColor="background1"/>
                <w:sz w:val="20"/>
                <w:szCs w:val="20"/>
              </w:rPr>
            </w:pPr>
            <w:r w:rsidRPr="00975564">
              <w:rPr>
                <w:rFonts w:ascii="Times New Roman" w:hAnsi="Times New Roman" w:cs="Times New Roman"/>
                <w:sz w:val="20"/>
                <w:szCs w:val="20"/>
              </w:rPr>
              <w:t>5N. Provincial/territorial authorities and local/regional public health agencies jointly develop policies and/or structures defining the agency mandate in public health emergency management.</w:t>
            </w:r>
          </w:p>
        </w:tc>
        <w:tc>
          <w:tcPr>
            <w:tcW w:w="1275" w:type="dxa"/>
            <w:tcBorders>
              <w:right w:val="nil"/>
            </w:tcBorders>
            <w:shd w:val="clear" w:color="auto" w:fill="auto"/>
            <w:noWrap/>
            <w:vAlign w:val="center"/>
          </w:tcPr>
          <w:p w14:paraId="393EE944"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color w:val="000000"/>
                <w:sz w:val="20"/>
                <w:szCs w:val="20"/>
              </w:rPr>
              <w:t>5 (1)</w:t>
            </w:r>
          </w:p>
        </w:tc>
        <w:tc>
          <w:tcPr>
            <w:tcW w:w="851" w:type="dxa"/>
            <w:tcBorders>
              <w:left w:val="nil"/>
              <w:bottom w:val="single" w:sz="4" w:space="0" w:color="auto"/>
              <w:right w:val="nil"/>
            </w:tcBorders>
            <w:shd w:val="clear" w:color="auto" w:fill="auto"/>
            <w:noWrap/>
            <w:vAlign w:val="center"/>
          </w:tcPr>
          <w:p w14:paraId="3D87A13B"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color w:val="000000"/>
                <w:sz w:val="20"/>
                <w:szCs w:val="20"/>
              </w:rPr>
              <w:t>24</w:t>
            </w:r>
          </w:p>
        </w:tc>
        <w:tc>
          <w:tcPr>
            <w:tcW w:w="1276" w:type="dxa"/>
            <w:tcBorders>
              <w:left w:val="nil"/>
              <w:bottom w:val="single" w:sz="4" w:space="0" w:color="auto"/>
              <w:right w:val="nil"/>
            </w:tcBorders>
            <w:shd w:val="clear" w:color="auto" w:fill="auto"/>
            <w:noWrap/>
            <w:vAlign w:val="center"/>
          </w:tcPr>
          <w:p w14:paraId="174131DF"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color w:val="000000"/>
                <w:sz w:val="20"/>
                <w:szCs w:val="20"/>
              </w:rPr>
              <w:t>88.9</w:t>
            </w:r>
          </w:p>
        </w:tc>
        <w:tc>
          <w:tcPr>
            <w:tcW w:w="850" w:type="dxa"/>
            <w:tcBorders>
              <w:left w:val="nil"/>
              <w:bottom w:val="single" w:sz="4" w:space="0" w:color="auto"/>
            </w:tcBorders>
            <w:shd w:val="clear" w:color="auto" w:fill="auto"/>
            <w:vAlign w:val="center"/>
          </w:tcPr>
          <w:p w14:paraId="3B22FEE5"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color w:val="000000"/>
                <w:sz w:val="20"/>
                <w:szCs w:val="20"/>
              </w:rPr>
              <w:t>27</w:t>
            </w:r>
          </w:p>
        </w:tc>
        <w:tc>
          <w:tcPr>
            <w:tcW w:w="1418" w:type="dxa"/>
            <w:tcBorders>
              <w:bottom w:val="single" w:sz="4" w:space="0" w:color="auto"/>
              <w:right w:val="nil"/>
            </w:tcBorders>
            <w:shd w:val="clear" w:color="auto" w:fill="auto"/>
            <w:noWrap/>
            <w:vAlign w:val="center"/>
          </w:tcPr>
          <w:p w14:paraId="48996A96"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color w:val="000000"/>
                <w:sz w:val="20"/>
                <w:szCs w:val="20"/>
              </w:rPr>
              <w:t>3.5 (3.75)</w:t>
            </w:r>
          </w:p>
        </w:tc>
        <w:tc>
          <w:tcPr>
            <w:tcW w:w="850" w:type="dxa"/>
            <w:tcBorders>
              <w:left w:val="nil"/>
              <w:right w:val="nil"/>
            </w:tcBorders>
            <w:shd w:val="clear" w:color="auto" w:fill="auto"/>
            <w:noWrap/>
            <w:vAlign w:val="center"/>
          </w:tcPr>
          <w:p w14:paraId="409ADCB3"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color w:val="000000"/>
                <w:sz w:val="20"/>
                <w:szCs w:val="20"/>
              </w:rPr>
              <w:t>13</w:t>
            </w:r>
          </w:p>
        </w:tc>
        <w:tc>
          <w:tcPr>
            <w:tcW w:w="1276" w:type="dxa"/>
            <w:tcBorders>
              <w:left w:val="nil"/>
              <w:bottom w:val="single" w:sz="4" w:space="0" w:color="auto"/>
              <w:right w:val="nil"/>
            </w:tcBorders>
            <w:shd w:val="clear" w:color="auto" w:fill="auto"/>
            <w:noWrap/>
            <w:vAlign w:val="center"/>
          </w:tcPr>
          <w:p w14:paraId="1011A190"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color w:val="000000"/>
                <w:sz w:val="20"/>
                <w:szCs w:val="20"/>
              </w:rPr>
              <w:t>50</w:t>
            </w:r>
          </w:p>
        </w:tc>
        <w:tc>
          <w:tcPr>
            <w:tcW w:w="850" w:type="dxa"/>
            <w:tcBorders>
              <w:left w:val="nil"/>
              <w:bottom w:val="single" w:sz="4" w:space="0" w:color="auto"/>
            </w:tcBorders>
            <w:shd w:val="clear" w:color="auto" w:fill="auto"/>
            <w:vAlign w:val="center"/>
          </w:tcPr>
          <w:p w14:paraId="0F6FBF52"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color w:val="000000"/>
                <w:sz w:val="20"/>
                <w:szCs w:val="20"/>
              </w:rPr>
              <w:t>26</w:t>
            </w:r>
          </w:p>
        </w:tc>
      </w:tr>
      <w:tr w:rsidR="00B24196" w:rsidRPr="00975564" w14:paraId="3BC3062B" w14:textId="77777777" w:rsidTr="00D65FE6">
        <w:trPr>
          <w:trHeight w:val="315"/>
        </w:trPr>
        <w:tc>
          <w:tcPr>
            <w:tcW w:w="4503" w:type="dxa"/>
            <w:shd w:val="clear" w:color="auto" w:fill="595959" w:themeFill="text1" w:themeFillTint="A6"/>
            <w:vAlign w:val="center"/>
            <w:hideMark/>
          </w:tcPr>
          <w:p w14:paraId="4B80FF75"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Collaborative Networks</w:t>
            </w:r>
          </w:p>
        </w:tc>
        <w:tc>
          <w:tcPr>
            <w:tcW w:w="1275" w:type="dxa"/>
            <w:tcBorders>
              <w:right w:val="nil"/>
            </w:tcBorders>
            <w:shd w:val="clear" w:color="auto" w:fill="595959" w:themeFill="text1" w:themeFillTint="A6"/>
            <w:noWrap/>
            <w:vAlign w:val="center"/>
            <w:hideMark/>
          </w:tcPr>
          <w:p w14:paraId="2ED504BF"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851" w:type="dxa"/>
            <w:tcBorders>
              <w:left w:val="nil"/>
              <w:bottom w:val="single" w:sz="4" w:space="0" w:color="auto"/>
              <w:right w:val="nil"/>
            </w:tcBorders>
            <w:shd w:val="clear" w:color="auto" w:fill="595959" w:themeFill="text1" w:themeFillTint="A6"/>
            <w:noWrap/>
            <w:vAlign w:val="center"/>
            <w:hideMark/>
          </w:tcPr>
          <w:p w14:paraId="3D23D3AD"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bottom w:val="single" w:sz="4" w:space="0" w:color="auto"/>
              <w:right w:val="nil"/>
            </w:tcBorders>
            <w:shd w:val="clear" w:color="auto" w:fill="595959" w:themeFill="text1" w:themeFillTint="A6"/>
            <w:noWrap/>
            <w:vAlign w:val="center"/>
            <w:hideMark/>
          </w:tcPr>
          <w:p w14:paraId="227C67D8"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850" w:type="dxa"/>
            <w:tcBorders>
              <w:left w:val="nil"/>
              <w:bottom w:val="single" w:sz="4" w:space="0" w:color="auto"/>
            </w:tcBorders>
            <w:shd w:val="clear" w:color="auto" w:fill="595959" w:themeFill="text1" w:themeFillTint="A6"/>
          </w:tcPr>
          <w:p w14:paraId="19A894B3"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418" w:type="dxa"/>
            <w:tcBorders>
              <w:bottom w:val="single" w:sz="4" w:space="0" w:color="auto"/>
              <w:right w:val="nil"/>
            </w:tcBorders>
            <w:shd w:val="clear" w:color="auto" w:fill="595959" w:themeFill="text1" w:themeFillTint="A6"/>
            <w:noWrap/>
            <w:vAlign w:val="center"/>
            <w:hideMark/>
          </w:tcPr>
          <w:p w14:paraId="735D5896"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850" w:type="dxa"/>
            <w:tcBorders>
              <w:left w:val="nil"/>
              <w:right w:val="nil"/>
            </w:tcBorders>
            <w:shd w:val="clear" w:color="auto" w:fill="595959" w:themeFill="text1" w:themeFillTint="A6"/>
            <w:noWrap/>
            <w:vAlign w:val="center"/>
            <w:hideMark/>
          </w:tcPr>
          <w:p w14:paraId="5F1C7038"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bottom w:val="single" w:sz="4" w:space="0" w:color="auto"/>
              <w:right w:val="nil"/>
            </w:tcBorders>
            <w:shd w:val="clear" w:color="auto" w:fill="595959" w:themeFill="text1" w:themeFillTint="A6"/>
            <w:noWrap/>
            <w:vAlign w:val="center"/>
            <w:hideMark/>
          </w:tcPr>
          <w:p w14:paraId="610A0CC0"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850" w:type="dxa"/>
            <w:tcBorders>
              <w:left w:val="nil"/>
              <w:bottom w:val="single" w:sz="4" w:space="0" w:color="auto"/>
            </w:tcBorders>
            <w:shd w:val="clear" w:color="auto" w:fill="595959" w:themeFill="text1" w:themeFillTint="A6"/>
          </w:tcPr>
          <w:p w14:paraId="59981DFB" w14:textId="77777777" w:rsidR="00B24196" w:rsidRPr="00975564" w:rsidRDefault="00B24196" w:rsidP="00D65FE6">
            <w:pPr>
              <w:jc w:val="center"/>
              <w:rPr>
                <w:rFonts w:ascii="Times New Roman" w:hAnsi="Times New Roman" w:cs="Times New Roman"/>
                <w:b/>
                <w:color w:val="FFFFFF" w:themeColor="background1"/>
                <w:sz w:val="20"/>
                <w:szCs w:val="20"/>
              </w:rPr>
            </w:pPr>
          </w:p>
        </w:tc>
      </w:tr>
      <w:tr w:rsidR="00B24196" w:rsidRPr="00975564" w14:paraId="54A961AC" w14:textId="77777777" w:rsidTr="00D65FE6">
        <w:trPr>
          <w:trHeight w:val="318"/>
        </w:trPr>
        <w:tc>
          <w:tcPr>
            <w:tcW w:w="4503" w:type="dxa"/>
          </w:tcPr>
          <w:p w14:paraId="43D06D3F"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8N. The public health agency and its network partners have demonstrated shared understanding of roles, responsibilities and procedures relevant to the emergency context. This understanding may be demonstrated, for instance, during real or simulated emergencies. Network partners may include partners within or outside the health sector and vertical or horizontal partners, based on the agency context.</w:t>
            </w:r>
          </w:p>
        </w:tc>
        <w:tc>
          <w:tcPr>
            <w:tcW w:w="1275" w:type="dxa"/>
            <w:tcBorders>
              <w:right w:val="nil"/>
            </w:tcBorders>
            <w:noWrap/>
            <w:vAlign w:val="center"/>
          </w:tcPr>
          <w:p w14:paraId="2DFBEA9F"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(1)</w:t>
            </w:r>
          </w:p>
        </w:tc>
        <w:tc>
          <w:tcPr>
            <w:tcW w:w="851" w:type="dxa"/>
            <w:tcBorders>
              <w:left w:val="nil"/>
              <w:bottom w:val="single" w:sz="4" w:space="0" w:color="auto"/>
              <w:right w:val="nil"/>
            </w:tcBorders>
            <w:noWrap/>
            <w:vAlign w:val="center"/>
          </w:tcPr>
          <w:p w14:paraId="34649C58"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23</w:t>
            </w:r>
          </w:p>
        </w:tc>
        <w:tc>
          <w:tcPr>
            <w:tcW w:w="1276" w:type="dxa"/>
            <w:tcBorders>
              <w:left w:val="nil"/>
              <w:bottom w:val="single" w:sz="4" w:space="0" w:color="auto"/>
              <w:right w:val="nil"/>
            </w:tcBorders>
            <w:noWrap/>
            <w:vAlign w:val="center"/>
          </w:tcPr>
          <w:p w14:paraId="12CEB9DB"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88.5</w:t>
            </w:r>
          </w:p>
        </w:tc>
        <w:tc>
          <w:tcPr>
            <w:tcW w:w="850" w:type="dxa"/>
            <w:tcBorders>
              <w:left w:val="nil"/>
              <w:bottom w:val="single" w:sz="4" w:space="0" w:color="auto"/>
            </w:tcBorders>
            <w:vAlign w:val="center"/>
          </w:tcPr>
          <w:p w14:paraId="1FBCD0E4"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26</w:t>
            </w:r>
          </w:p>
        </w:tc>
        <w:tc>
          <w:tcPr>
            <w:tcW w:w="1418" w:type="dxa"/>
            <w:tcBorders>
              <w:right w:val="nil"/>
            </w:tcBorders>
            <w:noWrap/>
            <w:vAlign w:val="center"/>
          </w:tcPr>
          <w:p w14:paraId="29A67580"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4 (3)</w:t>
            </w:r>
          </w:p>
        </w:tc>
        <w:tc>
          <w:tcPr>
            <w:tcW w:w="850" w:type="dxa"/>
            <w:tcBorders>
              <w:left w:val="nil"/>
              <w:bottom w:val="single" w:sz="4" w:space="0" w:color="auto"/>
              <w:right w:val="nil"/>
            </w:tcBorders>
            <w:noWrap/>
            <w:vAlign w:val="center"/>
          </w:tcPr>
          <w:p w14:paraId="71F66B97"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16</w:t>
            </w:r>
          </w:p>
        </w:tc>
        <w:tc>
          <w:tcPr>
            <w:tcW w:w="1276" w:type="dxa"/>
            <w:tcBorders>
              <w:left w:val="nil"/>
              <w:bottom w:val="single" w:sz="4" w:space="0" w:color="auto"/>
              <w:right w:val="nil"/>
            </w:tcBorders>
            <w:noWrap/>
            <w:vAlign w:val="center"/>
          </w:tcPr>
          <w:p w14:paraId="158A739F"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61.5</w:t>
            </w:r>
          </w:p>
        </w:tc>
        <w:tc>
          <w:tcPr>
            <w:tcW w:w="850" w:type="dxa"/>
            <w:tcBorders>
              <w:left w:val="nil"/>
              <w:bottom w:val="single" w:sz="4" w:space="0" w:color="auto"/>
            </w:tcBorders>
            <w:vAlign w:val="center"/>
          </w:tcPr>
          <w:p w14:paraId="7B8266A9"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26</w:t>
            </w:r>
          </w:p>
        </w:tc>
      </w:tr>
      <w:tr w:rsidR="00B24196" w:rsidRPr="00975564" w14:paraId="47F03FC2" w14:textId="77777777" w:rsidTr="00D65FE6">
        <w:trPr>
          <w:trHeight w:val="318"/>
        </w:trPr>
        <w:tc>
          <w:tcPr>
            <w:tcW w:w="4503" w:type="dxa"/>
          </w:tcPr>
          <w:p w14:paraId="0114DC21" w14:textId="77777777" w:rsidR="00B24196" w:rsidRPr="00975564" w:rsidRDefault="00B24196" w:rsidP="00D65FE6">
            <w:pPr>
              <w:rPr>
                <w:rFonts w:ascii="Times New Roman" w:hAnsi="Times New Roman" w:cs="Times New Roman"/>
                <w:color w:val="000000"/>
                <w:sz w:val="20"/>
                <w:szCs w:val="20"/>
              </w:rPr>
            </w:pPr>
            <w:r w:rsidRPr="00975564">
              <w:rPr>
                <w:rFonts w:ascii="Times New Roman" w:hAnsi="Times New Roman" w:cs="Times New Roman"/>
                <w:color w:val="000000"/>
                <w:sz w:val="20"/>
                <w:szCs w:val="20"/>
              </w:rPr>
              <w:t>9N. The public health agency has mutual aid agreements in place with network partners outside the health sector that describe how resources and/or services will be shared during an emergency, including meeting demands for surge capacity; for example, non-governmental organizations such as the Red Cross.</w:t>
            </w:r>
          </w:p>
        </w:tc>
        <w:tc>
          <w:tcPr>
            <w:tcW w:w="1275" w:type="dxa"/>
            <w:tcBorders>
              <w:right w:val="nil"/>
            </w:tcBorders>
            <w:noWrap/>
            <w:vAlign w:val="center"/>
          </w:tcPr>
          <w:p w14:paraId="184D8CE5"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(1)</w:t>
            </w:r>
          </w:p>
        </w:tc>
        <w:tc>
          <w:tcPr>
            <w:tcW w:w="851" w:type="dxa"/>
            <w:tcBorders>
              <w:left w:val="nil"/>
              <w:bottom w:val="single" w:sz="4" w:space="0" w:color="auto"/>
              <w:right w:val="nil"/>
            </w:tcBorders>
            <w:noWrap/>
            <w:vAlign w:val="center"/>
          </w:tcPr>
          <w:p w14:paraId="7222FBCA"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24</w:t>
            </w:r>
          </w:p>
        </w:tc>
        <w:tc>
          <w:tcPr>
            <w:tcW w:w="1276" w:type="dxa"/>
            <w:tcBorders>
              <w:left w:val="nil"/>
              <w:bottom w:val="single" w:sz="4" w:space="0" w:color="auto"/>
              <w:right w:val="nil"/>
            </w:tcBorders>
            <w:noWrap/>
            <w:vAlign w:val="center"/>
          </w:tcPr>
          <w:p w14:paraId="43226E7B"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92.3</w:t>
            </w:r>
          </w:p>
        </w:tc>
        <w:tc>
          <w:tcPr>
            <w:tcW w:w="850" w:type="dxa"/>
            <w:tcBorders>
              <w:left w:val="nil"/>
              <w:bottom w:val="single" w:sz="4" w:space="0" w:color="auto"/>
            </w:tcBorders>
            <w:vAlign w:val="center"/>
          </w:tcPr>
          <w:p w14:paraId="1AF52ABE"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26</w:t>
            </w:r>
          </w:p>
        </w:tc>
        <w:tc>
          <w:tcPr>
            <w:tcW w:w="1418" w:type="dxa"/>
            <w:tcBorders>
              <w:right w:val="nil"/>
            </w:tcBorders>
            <w:noWrap/>
            <w:vAlign w:val="center"/>
          </w:tcPr>
          <w:p w14:paraId="4A758E7E"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 (3)</w:t>
            </w:r>
          </w:p>
        </w:tc>
        <w:tc>
          <w:tcPr>
            <w:tcW w:w="850" w:type="dxa"/>
            <w:tcBorders>
              <w:left w:val="nil"/>
              <w:bottom w:val="single" w:sz="4" w:space="0" w:color="auto"/>
              <w:right w:val="nil"/>
            </w:tcBorders>
            <w:noWrap/>
            <w:vAlign w:val="center"/>
          </w:tcPr>
          <w:p w14:paraId="1AE85EF4"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10</w:t>
            </w:r>
          </w:p>
        </w:tc>
        <w:tc>
          <w:tcPr>
            <w:tcW w:w="1276" w:type="dxa"/>
            <w:tcBorders>
              <w:left w:val="nil"/>
              <w:bottom w:val="single" w:sz="4" w:space="0" w:color="auto"/>
              <w:right w:val="nil"/>
            </w:tcBorders>
            <w:noWrap/>
            <w:vAlign w:val="center"/>
          </w:tcPr>
          <w:p w14:paraId="5F8F6EAF"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38.5</w:t>
            </w:r>
          </w:p>
        </w:tc>
        <w:tc>
          <w:tcPr>
            <w:tcW w:w="850" w:type="dxa"/>
            <w:tcBorders>
              <w:left w:val="nil"/>
              <w:bottom w:val="single" w:sz="4" w:space="0" w:color="auto"/>
            </w:tcBorders>
            <w:vAlign w:val="center"/>
          </w:tcPr>
          <w:p w14:paraId="1C962AAF"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26</w:t>
            </w:r>
          </w:p>
        </w:tc>
      </w:tr>
      <w:tr w:rsidR="00B24196" w:rsidRPr="00975564" w14:paraId="3B42769D" w14:textId="77777777" w:rsidTr="00D65FE6">
        <w:trPr>
          <w:trHeight w:val="315"/>
        </w:trPr>
        <w:tc>
          <w:tcPr>
            <w:tcW w:w="4503" w:type="dxa"/>
            <w:shd w:val="clear" w:color="auto" w:fill="595959" w:themeFill="text1" w:themeFillTint="A6"/>
            <w:vAlign w:val="center"/>
          </w:tcPr>
          <w:p w14:paraId="66CADA8E"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Community Engagement</w:t>
            </w:r>
          </w:p>
        </w:tc>
        <w:tc>
          <w:tcPr>
            <w:tcW w:w="1275" w:type="dxa"/>
            <w:tcBorders>
              <w:bottom w:val="single" w:sz="4" w:space="0" w:color="auto"/>
              <w:right w:val="nil"/>
            </w:tcBorders>
            <w:shd w:val="clear" w:color="auto" w:fill="595959" w:themeFill="text1" w:themeFillTint="A6"/>
            <w:noWrap/>
            <w:vAlign w:val="center"/>
          </w:tcPr>
          <w:p w14:paraId="0F2F54B4"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851" w:type="dxa"/>
            <w:tcBorders>
              <w:left w:val="nil"/>
              <w:bottom w:val="single" w:sz="4" w:space="0" w:color="auto"/>
              <w:right w:val="nil"/>
            </w:tcBorders>
            <w:shd w:val="clear" w:color="auto" w:fill="595959" w:themeFill="text1" w:themeFillTint="A6"/>
            <w:noWrap/>
            <w:vAlign w:val="center"/>
          </w:tcPr>
          <w:p w14:paraId="25D12C13"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right w:val="nil"/>
            </w:tcBorders>
            <w:shd w:val="clear" w:color="auto" w:fill="595959" w:themeFill="text1" w:themeFillTint="A6"/>
            <w:noWrap/>
            <w:vAlign w:val="center"/>
          </w:tcPr>
          <w:p w14:paraId="64948E98"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850" w:type="dxa"/>
            <w:tcBorders>
              <w:left w:val="nil"/>
              <w:bottom w:val="single" w:sz="4" w:space="0" w:color="auto"/>
            </w:tcBorders>
            <w:shd w:val="clear" w:color="auto" w:fill="595959" w:themeFill="text1" w:themeFillTint="A6"/>
          </w:tcPr>
          <w:p w14:paraId="322F582D"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418" w:type="dxa"/>
            <w:tcBorders>
              <w:right w:val="nil"/>
            </w:tcBorders>
            <w:shd w:val="clear" w:color="auto" w:fill="595959" w:themeFill="text1" w:themeFillTint="A6"/>
            <w:noWrap/>
            <w:vAlign w:val="center"/>
          </w:tcPr>
          <w:p w14:paraId="5D5692F5"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850" w:type="dxa"/>
            <w:tcBorders>
              <w:left w:val="nil"/>
              <w:bottom w:val="single" w:sz="4" w:space="0" w:color="auto"/>
              <w:right w:val="nil"/>
            </w:tcBorders>
            <w:shd w:val="clear" w:color="auto" w:fill="595959" w:themeFill="text1" w:themeFillTint="A6"/>
            <w:noWrap/>
            <w:vAlign w:val="center"/>
          </w:tcPr>
          <w:p w14:paraId="5D50AE53"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1276" w:type="dxa"/>
            <w:tcBorders>
              <w:left w:val="nil"/>
              <w:bottom w:val="single" w:sz="4" w:space="0" w:color="auto"/>
              <w:right w:val="nil"/>
            </w:tcBorders>
            <w:shd w:val="clear" w:color="auto" w:fill="595959" w:themeFill="text1" w:themeFillTint="A6"/>
            <w:noWrap/>
            <w:vAlign w:val="center"/>
          </w:tcPr>
          <w:p w14:paraId="7B3C8083" w14:textId="77777777" w:rsidR="00B24196" w:rsidRPr="00975564" w:rsidRDefault="00B24196" w:rsidP="00D65FE6">
            <w:pPr>
              <w:jc w:val="center"/>
              <w:rPr>
                <w:rFonts w:ascii="Times New Roman" w:hAnsi="Times New Roman" w:cs="Times New Roman"/>
                <w:b/>
                <w:color w:val="FFFFFF" w:themeColor="background1"/>
                <w:sz w:val="20"/>
                <w:szCs w:val="20"/>
              </w:rPr>
            </w:pPr>
          </w:p>
        </w:tc>
        <w:tc>
          <w:tcPr>
            <w:tcW w:w="850" w:type="dxa"/>
            <w:tcBorders>
              <w:left w:val="nil"/>
              <w:bottom w:val="single" w:sz="4" w:space="0" w:color="auto"/>
            </w:tcBorders>
            <w:shd w:val="clear" w:color="auto" w:fill="595959" w:themeFill="text1" w:themeFillTint="A6"/>
          </w:tcPr>
          <w:p w14:paraId="5B1B240A" w14:textId="77777777" w:rsidR="00B24196" w:rsidRPr="00975564" w:rsidRDefault="00B24196" w:rsidP="00D65FE6">
            <w:pPr>
              <w:jc w:val="center"/>
              <w:rPr>
                <w:rFonts w:ascii="Times New Roman" w:hAnsi="Times New Roman" w:cs="Times New Roman"/>
                <w:b/>
                <w:color w:val="FFFFFF" w:themeColor="background1"/>
                <w:sz w:val="20"/>
                <w:szCs w:val="20"/>
              </w:rPr>
            </w:pPr>
          </w:p>
        </w:tc>
      </w:tr>
      <w:tr w:rsidR="00B24196" w:rsidRPr="00975564" w14:paraId="2C40E44B" w14:textId="77777777" w:rsidTr="00D65FE6">
        <w:trPr>
          <w:trHeight w:val="581"/>
        </w:trPr>
        <w:tc>
          <w:tcPr>
            <w:tcW w:w="4503" w:type="dxa"/>
          </w:tcPr>
          <w:p w14:paraId="7FCD3CD9"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color w:val="000000"/>
                <w:sz w:val="20"/>
                <w:szCs w:val="20"/>
              </w:rPr>
              <w:t>32. The public health agency has a process to ensure transparency with the public with respect to what is known, what is not known and where there are genuine differences of professional opinion; for example, in the context of uncertain science or differences with Indigenous knowledge.</w:t>
            </w:r>
          </w:p>
        </w:tc>
        <w:tc>
          <w:tcPr>
            <w:tcW w:w="1275" w:type="dxa"/>
            <w:tcBorders>
              <w:right w:val="nil"/>
            </w:tcBorders>
            <w:noWrap/>
            <w:vAlign w:val="center"/>
          </w:tcPr>
          <w:p w14:paraId="7FA44C89"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(2.5)</w:t>
            </w:r>
          </w:p>
        </w:tc>
        <w:tc>
          <w:tcPr>
            <w:tcW w:w="851" w:type="dxa"/>
            <w:tcBorders>
              <w:left w:val="nil"/>
              <w:right w:val="nil"/>
            </w:tcBorders>
            <w:noWrap/>
            <w:vAlign w:val="center"/>
          </w:tcPr>
          <w:p w14:paraId="5D191FC6"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17</w:t>
            </w:r>
          </w:p>
        </w:tc>
        <w:tc>
          <w:tcPr>
            <w:tcW w:w="1276" w:type="dxa"/>
            <w:tcBorders>
              <w:left w:val="nil"/>
              <w:right w:val="nil"/>
            </w:tcBorders>
            <w:noWrap/>
            <w:vAlign w:val="center"/>
          </w:tcPr>
          <w:p w14:paraId="27E4E073"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73.9</w:t>
            </w:r>
          </w:p>
        </w:tc>
        <w:tc>
          <w:tcPr>
            <w:tcW w:w="850" w:type="dxa"/>
            <w:tcBorders>
              <w:left w:val="nil"/>
            </w:tcBorders>
            <w:vAlign w:val="center"/>
          </w:tcPr>
          <w:p w14:paraId="12835660"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23</w:t>
            </w:r>
          </w:p>
        </w:tc>
        <w:tc>
          <w:tcPr>
            <w:tcW w:w="1418" w:type="dxa"/>
            <w:tcBorders>
              <w:right w:val="nil"/>
            </w:tcBorders>
            <w:noWrap/>
            <w:vAlign w:val="center"/>
          </w:tcPr>
          <w:p w14:paraId="53955600"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2.5 (3)</w:t>
            </w:r>
          </w:p>
        </w:tc>
        <w:tc>
          <w:tcPr>
            <w:tcW w:w="850" w:type="dxa"/>
            <w:tcBorders>
              <w:left w:val="nil"/>
              <w:right w:val="nil"/>
            </w:tcBorders>
            <w:noWrap/>
            <w:vAlign w:val="center"/>
          </w:tcPr>
          <w:p w14:paraId="23110F86"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11</w:t>
            </w:r>
          </w:p>
        </w:tc>
        <w:tc>
          <w:tcPr>
            <w:tcW w:w="1276" w:type="dxa"/>
            <w:tcBorders>
              <w:left w:val="nil"/>
              <w:right w:val="nil"/>
            </w:tcBorders>
            <w:noWrap/>
            <w:vAlign w:val="center"/>
          </w:tcPr>
          <w:p w14:paraId="608D5321"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45.8</w:t>
            </w:r>
          </w:p>
        </w:tc>
        <w:tc>
          <w:tcPr>
            <w:tcW w:w="850" w:type="dxa"/>
            <w:tcBorders>
              <w:left w:val="nil"/>
            </w:tcBorders>
            <w:vAlign w:val="center"/>
          </w:tcPr>
          <w:p w14:paraId="28BB15D2"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24</w:t>
            </w:r>
          </w:p>
        </w:tc>
      </w:tr>
      <w:tr w:rsidR="00B24196" w:rsidRPr="00975564" w14:paraId="4AF07F28" w14:textId="77777777" w:rsidTr="00D65FE6">
        <w:trPr>
          <w:trHeight w:val="317"/>
        </w:trPr>
        <w:tc>
          <w:tcPr>
            <w:tcW w:w="4503" w:type="dxa"/>
            <w:shd w:val="clear" w:color="auto" w:fill="595959" w:themeFill="text1" w:themeFillTint="A6"/>
            <w:vAlign w:val="center"/>
          </w:tcPr>
          <w:p w14:paraId="5082E444" w14:textId="77777777" w:rsidR="00B24196" w:rsidRPr="00975564" w:rsidRDefault="00B24196" w:rsidP="00D65FE6">
            <w:pPr>
              <w:jc w:val="center"/>
              <w:rPr>
                <w:rFonts w:ascii="Times New Roman" w:hAnsi="Times New Roman" w:cs="Times New Roman"/>
                <w:b/>
                <w:color w:val="000000"/>
                <w:sz w:val="20"/>
                <w:szCs w:val="20"/>
              </w:rPr>
            </w:pPr>
            <w:r w:rsidRPr="00975564">
              <w:rPr>
                <w:rFonts w:ascii="Times New Roman" w:hAnsi="Times New Roman" w:cs="Times New Roman"/>
                <w:b/>
                <w:color w:val="FFFFFF" w:themeColor="background1"/>
                <w:sz w:val="20"/>
                <w:szCs w:val="20"/>
              </w:rPr>
              <w:t>Workforce Capacity</w:t>
            </w:r>
          </w:p>
        </w:tc>
        <w:tc>
          <w:tcPr>
            <w:tcW w:w="1275" w:type="dxa"/>
            <w:tcBorders>
              <w:right w:val="nil"/>
            </w:tcBorders>
            <w:shd w:val="clear" w:color="auto" w:fill="595959" w:themeFill="text1" w:themeFillTint="A6"/>
            <w:noWrap/>
            <w:vAlign w:val="center"/>
          </w:tcPr>
          <w:p w14:paraId="487BE86F" w14:textId="77777777" w:rsidR="00B24196" w:rsidRPr="00975564" w:rsidRDefault="00B24196" w:rsidP="00D65FE6">
            <w:pPr>
              <w:jc w:val="center"/>
              <w:rPr>
                <w:rFonts w:ascii="Times New Roman" w:hAnsi="Times New Roman" w:cs="Times New Roman"/>
                <w:color w:val="000000"/>
                <w:sz w:val="20"/>
                <w:szCs w:val="20"/>
              </w:rPr>
            </w:pPr>
          </w:p>
        </w:tc>
        <w:tc>
          <w:tcPr>
            <w:tcW w:w="851" w:type="dxa"/>
            <w:tcBorders>
              <w:left w:val="nil"/>
              <w:right w:val="nil"/>
            </w:tcBorders>
            <w:shd w:val="clear" w:color="auto" w:fill="595959" w:themeFill="text1" w:themeFillTint="A6"/>
            <w:noWrap/>
            <w:vAlign w:val="center"/>
          </w:tcPr>
          <w:p w14:paraId="5490BB19" w14:textId="77777777" w:rsidR="00B24196" w:rsidRPr="00975564" w:rsidRDefault="00B24196" w:rsidP="00D65FE6">
            <w:pPr>
              <w:jc w:val="center"/>
              <w:rPr>
                <w:rFonts w:ascii="Times New Roman" w:hAnsi="Times New Roman" w:cs="Times New Roman"/>
                <w:color w:val="000000"/>
                <w:sz w:val="20"/>
                <w:szCs w:val="20"/>
              </w:rPr>
            </w:pPr>
          </w:p>
        </w:tc>
        <w:tc>
          <w:tcPr>
            <w:tcW w:w="1276" w:type="dxa"/>
            <w:tcBorders>
              <w:left w:val="nil"/>
              <w:right w:val="nil"/>
            </w:tcBorders>
            <w:shd w:val="clear" w:color="auto" w:fill="595959" w:themeFill="text1" w:themeFillTint="A6"/>
            <w:noWrap/>
            <w:vAlign w:val="center"/>
          </w:tcPr>
          <w:p w14:paraId="4F668094" w14:textId="77777777" w:rsidR="00B24196" w:rsidRPr="00975564" w:rsidRDefault="00B24196" w:rsidP="00D65FE6">
            <w:pPr>
              <w:jc w:val="center"/>
              <w:rPr>
                <w:rFonts w:ascii="Times New Roman" w:hAnsi="Times New Roman" w:cs="Times New Roman"/>
                <w:color w:val="000000"/>
                <w:sz w:val="20"/>
                <w:szCs w:val="20"/>
              </w:rPr>
            </w:pPr>
          </w:p>
        </w:tc>
        <w:tc>
          <w:tcPr>
            <w:tcW w:w="850" w:type="dxa"/>
            <w:tcBorders>
              <w:left w:val="nil"/>
            </w:tcBorders>
            <w:shd w:val="clear" w:color="auto" w:fill="595959" w:themeFill="text1" w:themeFillTint="A6"/>
            <w:vAlign w:val="center"/>
          </w:tcPr>
          <w:p w14:paraId="2A5F8715" w14:textId="77777777" w:rsidR="00B24196" w:rsidRPr="00975564" w:rsidRDefault="00B24196" w:rsidP="00D65FE6">
            <w:pPr>
              <w:jc w:val="center"/>
              <w:rPr>
                <w:rFonts w:ascii="Times New Roman" w:hAnsi="Times New Roman" w:cs="Times New Roman"/>
                <w:color w:val="000000"/>
                <w:sz w:val="20"/>
                <w:szCs w:val="20"/>
              </w:rPr>
            </w:pPr>
          </w:p>
        </w:tc>
        <w:tc>
          <w:tcPr>
            <w:tcW w:w="1418" w:type="dxa"/>
            <w:tcBorders>
              <w:right w:val="nil"/>
            </w:tcBorders>
            <w:shd w:val="clear" w:color="auto" w:fill="595959" w:themeFill="text1" w:themeFillTint="A6"/>
            <w:noWrap/>
            <w:vAlign w:val="center"/>
          </w:tcPr>
          <w:p w14:paraId="2DCDF7E3" w14:textId="77777777" w:rsidR="00B24196" w:rsidRPr="00975564" w:rsidRDefault="00B24196" w:rsidP="00D65FE6">
            <w:pPr>
              <w:jc w:val="center"/>
              <w:rPr>
                <w:rFonts w:ascii="Times New Roman" w:hAnsi="Times New Roman" w:cs="Times New Roman"/>
                <w:color w:val="000000"/>
                <w:sz w:val="20"/>
                <w:szCs w:val="20"/>
              </w:rPr>
            </w:pPr>
          </w:p>
        </w:tc>
        <w:tc>
          <w:tcPr>
            <w:tcW w:w="850" w:type="dxa"/>
            <w:tcBorders>
              <w:left w:val="nil"/>
              <w:right w:val="nil"/>
            </w:tcBorders>
            <w:shd w:val="clear" w:color="auto" w:fill="595959" w:themeFill="text1" w:themeFillTint="A6"/>
            <w:noWrap/>
            <w:vAlign w:val="center"/>
          </w:tcPr>
          <w:p w14:paraId="51AB8F56" w14:textId="77777777" w:rsidR="00B24196" w:rsidRPr="00975564" w:rsidRDefault="00B24196" w:rsidP="00D65FE6">
            <w:pPr>
              <w:jc w:val="center"/>
              <w:rPr>
                <w:rFonts w:ascii="Times New Roman" w:hAnsi="Times New Roman" w:cs="Times New Roman"/>
                <w:color w:val="000000"/>
                <w:sz w:val="20"/>
                <w:szCs w:val="20"/>
              </w:rPr>
            </w:pPr>
          </w:p>
        </w:tc>
        <w:tc>
          <w:tcPr>
            <w:tcW w:w="1276" w:type="dxa"/>
            <w:tcBorders>
              <w:left w:val="nil"/>
              <w:right w:val="nil"/>
            </w:tcBorders>
            <w:shd w:val="clear" w:color="auto" w:fill="595959" w:themeFill="text1" w:themeFillTint="A6"/>
            <w:noWrap/>
            <w:vAlign w:val="center"/>
          </w:tcPr>
          <w:p w14:paraId="3DA6C835" w14:textId="77777777" w:rsidR="00B24196" w:rsidRPr="00975564" w:rsidRDefault="00B24196" w:rsidP="00D65FE6">
            <w:pPr>
              <w:jc w:val="center"/>
              <w:rPr>
                <w:rFonts w:ascii="Times New Roman" w:hAnsi="Times New Roman" w:cs="Times New Roman"/>
                <w:color w:val="000000"/>
                <w:sz w:val="20"/>
                <w:szCs w:val="20"/>
              </w:rPr>
            </w:pPr>
          </w:p>
        </w:tc>
        <w:tc>
          <w:tcPr>
            <w:tcW w:w="850" w:type="dxa"/>
            <w:tcBorders>
              <w:left w:val="nil"/>
            </w:tcBorders>
            <w:shd w:val="clear" w:color="auto" w:fill="595959" w:themeFill="text1" w:themeFillTint="A6"/>
            <w:vAlign w:val="center"/>
          </w:tcPr>
          <w:p w14:paraId="425B7DA8" w14:textId="77777777" w:rsidR="00B24196" w:rsidRPr="00975564" w:rsidRDefault="00B24196" w:rsidP="00D65FE6">
            <w:pPr>
              <w:jc w:val="center"/>
              <w:rPr>
                <w:rFonts w:ascii="Times New Roman" w:hAnsi="Times New Roman" w:cs="Times New Roman"/>
                <w:color w:val="000000"/>
                <w:sz w:val="20"/>
                <w:szCs w:val="20"/>
              </w:rPr>
            </w:pPr>
          </w:p>
        </w:tc>
      </w:tr>
      <w:tr w:rsidR="00B24196" w:rsidRPr="00975564" w14:paraId="2E2B0A76" w14:textId="77777777" w:rsidTr="00D65FE6">
        <w:trPr>
          <w:trHeight w:val="683"/>
        </w:trPr>
        <w:tc>
          <w:tcPr>
            <w:tcW w:w="4503" w:type="dxa"/>
          </w:tcPr>
          <w:p w14:paraId="074AF54E" w14:textId="77777777" w:rsidR="00B24196" w:rsidRPr="00975564" w:rsidRDefault="00B24196" w:rsidP="00D65FE6">
            <w:pPr>
              <w:rPr>
                <w:rFonts w:ascii="Times New Roman" w:hAnsi="Times New Roman" w:cs="Times New Roman"/>
                <w:color w:val="000000"/>
                <w:sz w:val="20"/>
                <w:szCs w:val="20"/>
              </w:rPr>
            </w:pPr>
            <w:r w:rsidRPr="00975564">
              <w:rPr>
                <w:rFonts w:ascii="Times New Roman" w:hAnsi="Times New Roman" w:cs="Times New Roman"/>
                <w:color w:val="000000"/>
                <w:sz w:val="20"/>
                <w:szCs w:val="20"/>
              </w:rPr>
              <w:t xml:space="preserve">47. If the use of citizen volunteers is permitted by the public health agency to support its mandate in emergencies, the agency has ensured there is a process for engaging volunteers. This may include volunteer recruitment, identification, credentialing, and/or training linked to processes in the broader </w:t>
            </w:r>
            <w:r w:rsidRPr="00975564">
              <w:rPr>
                <w:rFonts w:ascii="Times New Roman" w:hAnsi="Times New Roman" w:cs="Times New Roman"/>
                <w:color w:val="000000"/>
                <w:sz w:val="20"/>
                <w:szCs w:val="20"/>
              </w:rPr>
              <w:lastRenderedPageBreak/>
              <w:t>health or government services sector.</w:t>
            </w:r>
          </w:p>
        </w:tc>
        <w:tc>
          <w:tcPr>
            <w:tcW w:w="1275" w:type="dxa"/>
            <w:tcBorders>
              <w:right w:val="nil"/>
            </w:tcBorders>
            <w:noWrap/>
            <w:vAlign w:val="center"/>
          </w:tcPr>
          <w:p w14:paraId="61B167A8"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lastRenderedPageBreak/>
              <w:t>5 (1)</w:t>
            </w:r>
          </w:p>
        </w:tc>
        <w:tc>
          <w:tcPr>
            <w:tcW w:w="851" w:type="dxa"/>
            <w:tcBorders>
              <w:left w:val="nil"/>
              <w:right w:val="nil"/>
            </w:tcBorders>
            <w:noWrap/>
            <w:vAlign w:val="center"/>
          </w:tcPr>
          <w:p w14:paraId="6DE28C51"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21</w:t>
            </w:r>
          </w:p>
        </w:tc>
        <w:tc>
          <w:tcPr>
            <w:tcW w:w="1276" w:type="dxa"/>
            <w:tcBorders>
              <w:left w:val="nil"/>
              <w:right w:val="nil"/>
            </w:tcBorders>
            <w:noWrap/>
            <w:vAlign w:val="center"/>
          </w:tcPr>
          <w:p w14:paraId="272DFC09"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84</w:t>
            </w:r>
          </w:p>
        </w:tc>
        <w:tc>
          <w:tcPr>
            <w:tcW w:w="850" w:type="dxa"/>
            <w:tcBorders>
              <w:left w:val="nil"/>
            </w:tcBorders>
            <w:vAlign w:val="center"/>
          </w:tcPr>
          <w:p w14:paraId="2A2A9B72"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25</w:t>
            </w:r>
          </w:p>
        </w:tc>
        <w:tc>
          <w:tcPr>
            <w:tcW w:w="1418" w:type="dxa"/>
            <w:tcBorders>
              <w:right w:val="nil"/>
            </w:tcBorders>
            <w:noWrap/>
            <w:vAlign w:val="center"/>
          </w:tcPr>
          <w:p w14:paraId="3F9A2467"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4 (2.75)</w:t>
            </w:r>
          </w:p>
        </w:tc>
        <w:tc>
          <w:tcPr>
            <w:tcW w:w="850" w:type="dxa"/>
            <w:tcBorders>
              <w:left w:val="nil"/>
              <w:right w:val="nil"/>
            </w:tcBorders>
            <w:noWrap/>
            <w:vAlign w:val="center"/>
          </w:tcPr>
          <w:p w14:paraId="177361E8"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15</w:t>
            </w:r>
          </w:p>
        </w:tc>
        <w:tc>
          <w:tcPr>
            <w:tcW w:w="1276" w:type="dxa"/>
            <w:tcBorders>
              <w:left w:val="nil"/>
              <w:right w:val="nil"/>
            </w:tcBorders>
            <w:noWrap/>
            <w:vAlign w:val="center"/>
          </w:tcPr>
          <w:p w14:paraId="407FB6A1"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68.2</w:t>
            </w:r>
          </w:p>
        </w:tc>
        <w:tc>
          <w:tcPr>
            <w:tcW w:w="850" w:type="dxa"/>
            <w:tcBorders>
              <w:left w:val="nil"/>
            </w:tcBorders>
            <w:vAlign w:val="center"/>
          </w:tcPr>
          <w:p w14:paraId="7E8E24E9"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22</w:t>
            </w:r>
          </w:p>
        </w:tc>
      </w:tr>
      <w:tr w:rsidR="00B24196" w:rsidRPr="00975564" w14:paraId="6775E937" w14:textId="77777777" w:rsidTr="00D65FE6">
        <w:trPr>
          <w:trHeight w:val="317"/>
        </w:trPr>
        <w:tc>
          <w:tcPr>
            <w:tcW w:w="4503" w:type="dxa"/>
            <w:shd w:val="clear" w:color="auto" w:fill="595959" w:themeFill="text1" w:themeFillTint="A6"/>
            <w:vAlign w:val="center"/>
          </w:tcPr>
          <w:p w14:paraId="443D289C" w14:textId="77777777" w:rsidR="00B24196" w:rsidRPr="00975564" w:rsidRDefault="00B24196" w:rsidP="00D65FE6">
            <w:pPr>
              <w:jc w:val="center"/>
              <w:rPr>
                <w:rFonts w:ascii="Times New Roman" w:hAnsi="Times New Roman" w:cs="Times New Roman"/>
                <w:b/>
                <w:color w:val="FFFFFF" w:themeColor="background1"/>
                <w:sz w:val="20"/>
                <w:szCs w:val="20"/>
              </w:rPr>
            </w:pPr>
            <w:r w:rsidRPr="00975564">
              <w:rPr>
                <w:rFonts w:ascii="Times New Roman" w:hAnsi="Times New Roman" w:cs="Times New Roman"/>
                <w:b/>
                <w:color w:val="FFFFFF" w:themeColor="background1"/>
                <w:sz w:val="20"/>
                <w:szCs w:val="20"/>
              </w:rPr>
              <w:t>Surveillance and Monitoring</w:t>
            </w:r>
          </w:p>
        </w:tc>
        <w:tc>
          <w:tcPr>
            <w:tcW w:w="1275" w:type="dxa"/>
            <w:tcBorders>
              <w:right w:val="nil"/>
            </w:tcBorders>
            <w:shd w:val="clear" w:color="auto" w:fill="595959" w:themeFill="text1" w:themeFillTint="A6"/>
            <w:noWrap/>
            <w:vAlign w:val="center"/>
          </w:tcPr>
          <w:p w14:paraId="794BB70B" w14:textId="77777777" w:rsidR="00B24196" w:rsidRPr="00975564" w:rsidRDefault="00B24196" w:rsidP="00D65FE6">
            <w:pPr>
              <w:jc w:val="center"/>
              <w:rPr>
                <w:rFonts w:ascii="Times New Roman" w:hAnsi="Times New Roman" w:cs="Times New Roman"/>
                <w:color w:val="000000"/>
                <w:sz w:val="20"/>
                <w:szCs w:val="20"/>
              </w:rPr>
            </w:pPr>
          </w:p>
        </w:tc>
        <w:tc>
          <w:tcPr>
            <w:tcW w:w="851" w:type="dxa"/>
            <w:tcBorders>
              <w:left w:val="nil"/>
              <w:right w:val="nil"/>
            </w:tcBorders>
            <w:shd w:val="clear" w:color="auto" w:fill="595959" w:themeFill="text1" w:themeFillTint="A6"/>
            <w:noWrap/>
            <w:vAlign w:val="center"/>
          </w:tcPr>
          <w:p w14:paraId="68BA210C" w14:textId="77777777" w:rsidR="00B24196" w:rsidRPr="00975564" w:rsidRDefault="00B24196" w:rsidP="00D65FE6">
            <w:pPr>
              <w:jc w:val="center"/>
              <w:rPr>
                <w:rFonts w:ascii="Times New Roman" w:hAnsi="Times New Roman" w:cs="Times New Roman"/>
                <w:color w:val="000000"/>
                <w:sz w:val="20"/>
                <w:szCs w:val="20"/>
              </w:rPr>
            </w:pPr>
          </w:p>
        </w:tc>
        <w:tc>
          <w:tcPr>
            <w:tcW w:w="1276" w:type="dxa"/>
            <w:tcBorders>
              <w:left w:val="nil"/>
              <w:right w:val="nil"/>
            </w:tcBorders>
            <w:shd w:val="clear" w:color="auto" w:fill="595959" w:themeFill="text1" w:themeFillTint="A6"/>
            <w:noWrap/>
            <w:vAlign w:val="center"/>
          </w:tcPr>
          <w:p w14:paraId="4792B388" w14:textId="77777777" w:rsidR="00B24196" w:rsidRPr="00975564" w:rsidRDefault="00B24196" w:rsidP="00D65FE6">
            <w:pPr>
              <w:jc w:val="center"/>
              <w:rPr>
                <w:rFonts w:ascii="Times New Roman" w:hAnsi="Times New Roman" w:cs="Times New Roman"/>
                <w:color w:val="000000"/>
                <w:sz w:val="20"/>
                <w:szCs w:val="20"/>
              </w:rPr>
            </w:pPr>
          </w:p>
        </w:tc>
        <w:tc>
          <w:tcPr>
            <w:tcW w:w="850" w:type="dxa"/>
            <w:tcBorders>
              <w:left w:val="nil"/>
            </w:tcBorders>
            <w:shd w:val="clear" w:color="auto" w:fill="595959" w:themeFill="text1" w:themeFillTint="A6"/>
            <w:vAlign w:val="center"/>
          </w:tcPr>
          <w:p w14:paraId="61FE5101" w14:textId="77777777" w:rsidR="00B24196" w:rsidRPr="00975564" w:rsidRDefault="00B24196" w:rsidP="00D65FE6">
            <w:pPr>
              <w:jc w:val="center"/>
              <w:rPr>
                <w:rFonts w:ascii="Times New Roman" w:hAnsi="Times New Roman" w:cs="Times New Roman"/>
                <w:color w:val="000000"/>
                <w:sz w:val="20"/>
                <w:szCs w:val="20"/>
              </w:rPr>
            </w:pPr>
          </w:p>
        </w:tc>
        <w:tc>
          <w:tcPr>
            <w:tcW w:w="1418" w:type="dxa"/>
            <w:tcBorders>
              <w:right w:val="nil"/>
            </w:tcBorders>
            <w:shd w:val="clear" w:color="auto" w:fill="595959" w:themeFill="text1" w:themeFillTint="A6"/>
            <w:noWrap/>
            <w:vAlign w:val="center"/>
          </w:tcPr>
          <w:p w14:paraId="74768314" w14:textId="77777777" w:rsidR="00B24196" w:rsidRPr="00975564" w:rsidRDefault="00B24196" w:rsidP="00D65FE6">
            <w:pPr>
              <w:jc w:val="center"/>
              <w:rPr>
                <w:rFonts w:ascii="Times New Roman" w:hAnsi="Times New Roman" w:cs="Times New Roman"/>
                <w:color w:val="000000"/>
                <w:sz w:val="20"/>
                <w:szCs w:val="20"/>
              </w:rPr>
            </w:pPr>
          </w:p>
        </w:tc>
        <w:tc>
          <w:tcPr>
            <w:tcW w:w="850" w:type="dxa"/>
            <w:tcBorders>
              <w:left w:val="nil"/>
              <w:right w:val="nil"/>
            </w:tcBorders>
            <w:shd w:val="clear" w:color="auto" w:fill="595959" w:themeFill="text1" w:themeFillTint="A6"/>
            <w:noWrap/>
            <w:vAlign w:val="center"/>
          </w:tcPr>
          <w:p w14:paraId="018F8FCE" w14:textId="77777777" w:rsidR="00B24196" w:rsidRPr="00975564" w:rsidRDefault="00B24196" w:rsidP="00D65FE6">
            <w:pPr>
              <w:jc w:val="center"/>
              <w:rPr>
                <w:rFonts w:ascii="Times New Roman" w:hAnsi="Times New Roman" w:cs="Times New Roman"/>
                <w:color w:val="000000"/>
                <w:sz w:val="20"/>
                <w:szCs w:val="20"/>
              </w:rPr>
            </w:pPr>
          </w:p>
        </w:tc>
        <w:tc>
          <w:tcPr>
            <w:tcW w:w="1276" w:type="dxa"/>
            <w:tcBorders>
              <w:left w:val="nil"/>
              <w:right w:val="nil"/>
            </w:tcBorders>
            <w:shd w:val="clear" w:color="auto" w:fill="595959" w:themeFill="text1" w:themeFillTint="A6"/>
            <w:noWrap/>
            <w:vAlign w:val="center"/>
          </w:tcPr>
          <w:p w14:paraId="7B8C76EC" w14:textId="77777777" w:rsidR="00B24196" w:rsidRPr="00975564" w:rsidRDefault="00B24196" w:rsidP="00D65FE6">
            <w:pPr>
              <w:jc w:val="center"/>
              <w:rPr>
                <w:rFonts w:ascii="Times New Roman" w:hAnsi="Times New Roman" w:cs="Times New Roman"/>
                <w:color w:val="000000"/>
                <w:sz w:val="20"/>
                <w:szCs w:val="20"/>
              </w:rPr>
            </w:pPr>
          </w:p>
        </w:tc>
        <w:tc>
          <w:tcPr>
            <w:tcW w:w="850" w:type="dxa"/>
            <w:tcBorders>
              <w:left w:val="nil"/>
            </w:tcBorders>
            <w:shd w:val="clear" w:color="auto" w:fill="595959" w:themeFill="text1" w:themeFillTint="A6"/>
            <w:vAlign w:val="center"/>
          </w:tcPr>
          <w:p w14:paraId="56BB3891" w14:textId="77777777" w:rsidR="00B24196" w:rsidRPr="00975564" w:rsidRDefault="00B24196" w:rsidP="00D65FE6">
            <w:pPr>
              <w:jc w:val="center"/>
              <w:rPr>
                <w:rFonts w:ascii="Times New Roman" w:hAnsi="Times New Roman" w:cs="Times New Roman"/>
                <w:color w:val="000000"/>
                <w:sz w:val="20"/>
                <w:szCs w:val="20"/>
              </w:rPr>
            </w:pPr>
          </w:p>
        </w:tc>
      </w:tr>
      <w:tr w:rsidR="00B24196" w:rsidRPr="00975564" w14:paraId="490F4CB5" w14:textId="77777777" w:rsidTr="00D65FE6">
        <w:trPr>
          <w:trHeight w:val="945"/>
        </w:trPr>
        <w:tc>
          <w:tcPr>
            <w:tcW w:w="4503" w:type="dxa"/>
          </w:tcPr>
          <w:p w14:paraId="3180DB51" w14:textId="77777777" w:rsidR="00B24196" w:rsidRPr="00975564" w:rsidRDefault="00B24196" w:rsidP="00D65FE6">
            <w:pPr>
              <w:rPr>
                <w:rFonts w:ascii="Times New Roman" w:hAnsi="Times New Roman" w:cs="Times New Roman"/>
                <w:color w:val="000000"/>
                <w:sz w:val="20"/>
                <w:szCs w:val="20"/>
              </w:rPr>
            </w:pPr>
            <w:r w:rsidRPr="00975564">
              <w:rPr>
                <w:rFonts w:ascii="Times New Roman" w:hAnsi="Times New Roman" w:cs="Times New Roman"/>
                <w:color w:val="000000"/>
                <w:sz w:val="20"/>
                <w:szCs w:val="20"/>
              </w:rPr>
              <w:t>52. Local/regional laboratories (e.g., commercial and/or hospital) have the capability for timely reporting of results to the public health agency for surveillance relevant to public health emergencies.</w:t>
            </w:r>
          </w:p>
        </w:tc>
        <w:tc>
          <w:tcPr>
            <w:tcW w:w="1275" w:type="dxa"/>
            <w:tcBorders>
              <w:right w:val="nil"/>
            </w:tcBorders>
            <w:noWrap/>
            <w:vAlign w:val="center"/>
          </w:tcPr>
          <w:p w14:paraId="376A8153"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 (0)</w:t>
            </w:r>
          </w:p>
        </w:tc>
        <w:tc>
          <w:tcPr>
            <w:tcW w:w="851" w:type="dxa"/>
            <w:tcBorders>
              <w:left w:val="nil"/>
              <w:right w:val="nil"/>
            </w:tcBorders>
            <w:noWrap/>
            <w:vAlign w:val="center"/>
          </w:tcPr>
          <w:p w14:paraId="0BF03143"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25</w:t>
            </w:r>
          </w:p>
        </w:tc>
        <w:tc>
          <w:tcPr>
            <w:tcW w:w="1276" w:type="dxa"/>
            <w:tcBorders>
              <w:left w:val="nil"/>
              <w:right w:val="nil"/>
            </w:tcBorders>
            <w:noWrap/>
            <w:vAlign w:val="center"/>
          </w:tcPr>
          <w:p w14:paraId="189E7E3B"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100</w:t>
            </w:r>
          </w:p>
        </w:tc>
        <w:tc>
          <w:tcPr>
            <w:tcW w:w="850" w:type="dxa"/>
            <w:tcBorders>
              <w:left w:val="nil"/>
            </w:tcBorders>
            <w:vAlign w:val="center"/>
          </w:tcPr>
          <w:p w14:paraId="135D5B54"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25</w:t>
            </w:r>
          </w:p>
        </w:tc>
        <w:tc>
          <w:tcPr>
            <w:tcW w:w="1418" w:type="dxa"/>
            <w:tcBorders>
              <w:right w:val="nil"/>
            </w:tcBorders>
            <w:noWrap/>
            <w:vAlign w:val="center"/>
          </w:tcPr>
          <w:p w14:paraId="7F855A56"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4 (2.5)</w:t>
            </w:r>
          </w:p>
        </w:tc>
        <w:tc>
          <w:tcPr>
            <w:tcW w:w="850" w:type="dxa"/>
            <w:tcBorders>
              <w:left w:val="nil"/>
              <w:right w:val="nil"/>
            </w:tcBorders>
            <w:noWrap/>
            <w:vAlign w:val="center"/>
          </w:tcPr>
          <w:p w14:paraId="39E7979E"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17</w:t>
            </w:r>
          </w:p>
        </w:tc>
        <w:tc>
          <w:tcPr>
            <w:tcW w:w="1276" w:type="dxa"/>
            <w:tcBorders>
              <w:left w:val="nil"/>
              <w:right w:val="nil"/>
            </w:tcBorders>
            <w:noWrap/>
            <w:vAlign w:val="center"/>
          </w:tcPr>
          <w:p w14:paraId="04B06457"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63</w:t>
            </w:r>
          </w:p>
        </w:tc>
        <w:tc>
          <w:tcPr>
            <w:tcW w:w="850" w:type="dxa"/>
            <w:tcBorders>
              <w:left w:val="nil"/>
            </w:tcBorders>
            <w:vAlign w:val="center"/>
          </w:tcPr>
          <w:p w14:paraId="7E060C35"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27</w:t>
            </w:r>
          </w:p>
        </w:tc>
      </w:tr>
      <w:tr w:rsidR="00B24196" w:rsidRPr="00975564" w14:paraId="16C2713E" w14:textId="77777777" w:rsidTr="00D65FE6">
        <w:trPr>
          <w:trHeight w:val="317"/>
        </w:trPr>
        <w:tc>
          <w:tcPr>
            <w:tcW w:w="4503" w:type="dxa"/>
            <w:shd w:val="clear" w:color="auto" w:fill="595959" w:themeFill="text1" w:themeFillTint="A6"/>
            <w:vAlign w:val="center"/>
          </w:tcPr>
          <w:p w14:paraId="6AFE948B" w14:textId="77777777" w:rsidR="00B24196" w:rsidRPr="00975564" w:rsidRDefault="00B24196" w:rsidP="00D65FE6">
            <w:pPr>
              <w:jc w:val="center"/>
              <w:rPr>
                <w:rFonts w:ascii="Times New Roman" w:hAnsi="Times New Roman" w:cs="Times New Roman"/>
                <w:b/>
                <w:color w:val="000000"/>
                <w:sz w:val="20"/>
                <w:szCs w:val="20"/>
              </w:rPr>
            </w:pPr>
            <w:r w:rsidRPr="00975564">
              <w:rPr>
                <w:rFonts w:ascii="Times New Roman" w:hAnsi="Times New Roman" w:cs="Times New Roman"/>
                <w:b/>
                <w:color w:val="FFFFFF" w:themeColor="background1"/>
                <w:sz w:val="20"/>
                <w:szCs w:val="20"/>
              </w:rPr>
              <w:t>Learning and Evaluation</w:t>
            </w:r>
          </w:p>
        </w:tc>
        <w:tc>
          <w:tcPr>
            <w:tcW w:w="1275" w:type="dxa"/>
            <w:tcBorders>
              <w:right w:val="nil"/>
            </w:tcBorders>
            <w:shd w:val="clear" w:color="auto" w:fill="595959" w:themeFill="text1" w:themeFillTint="A6"/>
            <w:noWrap/>
            <w:vAlign w:val="center"/>
          </w:tcPr>
          <w:p w14:paraId="43957BB4" w14:textId="77777777" w:rsidR="00B24196" w:rsidRPr="00975564" w:rsidRDefault="00B24196" w:rsidP="00D65FE6">
            <w:pPr>
              <w:jc w:val="center"/>
              <w:rPr>
                <w:rFonts w:ascii="Times New Roman" w:hAnsi="Times New Roman" w:cs="Times New Roman"/>
                <w:color w:val="000000"/>
                <w:sz w:val="20"/>
                <w:szCs w:val="20"/>
              </w:rPr>
            </w:pPr>
          </w:p>
        </w:tc>
        <w:tc>
          <w:tcPr>
            <w:tcW w:w="851" w:type="dxa"/>
            <w:tcBorders>
              <w:left w:val="nil"/>
              <w:right w:val="nil"/>
            </w:tcBorders>
            <w:shd w:val="clear" w:color="auto" w:fill="595959" w:themeFill="text1" w:themeFillTint="A6"/>
            <w:noWrap/>
            <w:vAlign w:val="center"/>
          </w:tcPr>
          <w:p w14:paraId="58B76EBF" w14:textId="77777777" w:rsidR="00B24196" w:rsidRPr="00975564" w:rsidRDefault="00B24196" w:rsidP="00D65FE6">
            <w:pPr>
              <w:jc w:val="center"/>
              <w:rPr>
                <w:rFonts w:ascii="Times New Roman" w:hAnsi="Times New Roman" w:cs="Times New Roman"/>
                <w:color w:val="000000"/>
                <w:sz w:val="20"/>
                <w:szCs w:val="20"/>
              </w:rPr>
            </w:pPr>
          </w:p>
        </w:tc>
        <w:tc>
          <w:tcPr>
            <w:tcW w:w="1276" w:type="dxa"/>
            <w:tcBorders>
              <w:left w:val="nil"/>
              <w:right w:val="nil"/>
            </w:tcBorders>
            <w:shd w:val="clear" w:color="auto" w:fill="595959" w:themeFill="text1" w:themeFillTint="A6"/>
            <w:noWrap/>
            <w:vAlign w:val="center"/>
          </w:tcPr>
          <w:p w14:paraId="102084BC" w14:textId="77777777" w:rsidR="00B24196" w:rsidRPr="00975564" w:rsidRDefault="00B24196" w:rsidP="00D65FE6">
            <w:pPr>
              <w:jc w:val="center"/>
              <w:rPr>
                <w:rFonts w:ascii="Times New Roman" w:hAnsi="Times New Roman" w:cs="Times New Roman"/>
                <w:color w:val="000000"/>
                <w:sz w:val="20"/>
                <w:szCs w:val="20"/>
              </w:rPr>
            </w:pPr>
          </w:p>
        </w:tc>
        <w:tc>
          <w:tcPr>
            <w:tcW w:w="850" w:type="dxa"/>
            <w:tcBorders>
              <w:left w:val="nil"/>
            </w:tcBorders>
            <w:shd w:val="clear" w:color="auto" w:fill="595959" w:themeFill="text1" w:themeFillTint="A6"/>
            <w:vAlign w:val="center"/>
          </w:tcPr>
          <w:p w14:paraId="4A90D0A0" w14:textId="77777777" w:rsidR="00B24196" w:rsidRPr="00975564" w:rsidRDefault="00B24196" w:rsidP="00D65FE6">
            <w:pPr>
              <w:jc w:val="center"/>
              <w:rPr>
                <w:rFonts w:ascii="Times New Roman" w:hAnsi="Times New Roman" w:cs="Times New Roman"/>
                <w:color w:val="000000"/>
                <w:sz w:val="20"/>
                <w:szCs w:val="20"/>
              </w:rPr>
            </w:pPr>
          </w:p>
        </w:tc>
        <w:tc>
          <w:tcPr>
            <w:tcW w:w="1418" w:type="dxa"/>
            <w:tcBorders>
              <w:right w:val="nil"/>
            </w:tcBorders>
            <w:shd w:val="clear" w:color="auto" w:fill="595959" w:themeFill="text1" w:themeFillTint="A6"/>
            <w:noWrap/>
            <w:vAlign w:val="center"/>
          </w:tcPr>
          <w:p w14:paraId="30A06A09" w14:textId="77777777" w:rsidR="00B24196" w:rsidRPr="00975564" w:rsidRDefault="00B24196" w:rsidP="00D65FE6">
            <w:pPr>
              <w:jc w:val="center"/>
              <w:rPr>
                <w:rFonts w:ascii="Times New Roman" w:hAnsi="Times New Roman" w:cs="Times New Roman"/>
                <w:color w:val="000000"/>
                <w:sz w:val="20"/>
                <w:szCs w:val="20"/>
              </w:rPr>
            </w:pPr>
          </w:p>
        </w:tc>
        <w:tc>
          <w:tcPr>
            <w:tcW w:w="850" w:type="dxa"/>
            <w:tcBorders>
              <w:left w:val="nil"/>
              <w:right w:val="nil"/>
            </w:tcBorders>
            <w:shd w:val="clear" w:color="auto" w:fill="595959" w:themeFill="text1" w:themeFillTint="A6"/>
            <w:noWrap/>
            <w:vAlign w:val="center"/>
          </w:tcPr>
          <w:p w14:paraId="1510A1EE" w14:textId="77777777" w:rsidR="00B24196" w:rsidRPr="00975564" w:rsidRDefault="00B24196" w:rsidP="00D65FE6">
            <w:pPr>
              <w:jc w:val="center"/>
              <w:rPr>
                <w:rFonts w:ascii="Times New Roman" w:hAnsi="Times New Roman" w:cs="Times New Roman"/>
                <w:color w:val="000000"/>
                <w:sz w:val="20"/>
                <w:szCs w:val="20"/>
              </w:rPr>
            </w:pPr>
          </w:p>
        </w:tc>
        <w:tc>
          <w:tcPr>
            <w:tcW w:w="1276" w:type="dxa"/>
            <w:tcBorders>
              <w:left w:val="nil"/>
              <w:right w:val="nil"/>
            </w:tcBorders>
            <w:shd w:val="clear" w:color="auto" w:fill="595959" w:themeFill="text1" w:themeFillTint="A6"/>
            <w:noWrap/>
            <w:vAlign w:val="center"/>
          </w:tcPr>
          <w:p w14:paraId="3A20E5F4" w14:textId="77777777" w:rsidR="00B24196" w:rsidRPr="00975564" w:rsidRDefault="00B24196" w:rsidP="00D65FE6">
            <w:pPr>
              <w:jc w:val="center"/>
              <w:rPr>
                <w:rFonts w:ascii="Times New Roman" w:hAnsi="Times New Roman" w:cs="Times New Roman"/>
                <w:color w:val="000000"/>
                <w:sz w:val="20"/>
                <w:szCs w:val="20"/>
              </w:rPr>
            </w:pPr>
          </w:p>
        </w:tc>
        <w:tc>
          <w:tcPr>
            <w:tcW w:w="850" w:type="dxa"/>
            <w:tcBorders>
              <w:left w:val="nil"/>
            </w:tcBorders>
            <w:shd w:val="clear" w:color="auto" w:fill="595959" w:themeFill="text1" w:themeFillTint="A6"/>
            <w:vAlign w:val="center"/>
          </w:tcPr>
          <w:p w14:paraId="1B2287DA" w14:textId="77777777" w:rsidR="00B24196" w:rsidRPr="00975564" w:rsidRDefault="00B24196" w:rsidP="00D65FE6">
            <w:pPr>
              <w:jc w:val="center"/>
              <w:rPr>
                <w:rFonts w:ascii="Times New Roman" w:hAnsi="Times New Roman" w:cs="Times New Roman"/>
                <w:color w:val="000000"/>
                <w:sz w:val="20"/>
                <w:szCs w:val="20"/>
              </w:rPr>
            </w:pPr>
          </w:p>
        </w:tc>
      </w:tr>
      <w:tr w:rsidR="00B24196" w:rsidRPr="00975564" w14:paraId="6125C428" w14:textId="77777777" w:rsidTr="00D65FE6">
        <w:trPr>
          <w:trHeight w:val="945"/>
        </w:trPr>
        <w:tc>
          <w:tcPr>
            <w:tcW w:w="4503" w:type="dxa"/>
          </w:tcPr>
          <w:p w14:paraId="3C7F1018" w14:textId="77777777" w:rsidR="00B24196" w:rsidRPr="00975564" w:rsidRDefault="00B24196" w:rsidP="00D65FE6">
            <w:pPr>
              <w:rPr>
                <w:rFonts w:ascii="Times New Roman" w:hAnsi="Times New Roman" w:cs="Times New Roman"/>
                <w:color w:val="000000"/>
                <w:sz w:val="20"/>
                <w:szCs w:val="20"/>
              </w:rPr>
            </w:pPr>
            <w:r w:rsidRPr="00975564">
              <w:rPr>
                <w:rFonts w:ascii="Times New Roman" w:hAnsi="Times New Roman" w:cs="Times New Roman"/>
                <w:color w:val="000000"/>
                <w:sz w:val="20"/>
                <w:szCs w:val="20"/>
              </w:rPr>
              <w:t xml:space="preserve">57. The public health agency has resources allocated and/or identified for evaluation, learning and/or research to address knowledge gaps relevant to emergency management. </w:t>
            </w:r>
          </w:p>
        </w:tc>
        <w:tc>
          <w:tcPr>
            <w:tcW w:w="1275" w:type="dxa"/>
            <w:tcBorders>
              <w:bottom w:val="single" w:sz="4" w:space="0" w:color="auto"/>
              <w:right w:val="nil"/>
            </w:tcBorders>
            <w:noWrap/>
            <w:vAlign w:val="center"/>
          </w:tcPr>
          <w:p w14:paraId="719947E0"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5 (1)</w:t>
            </w:r>
          </w:p>
        </w:tc>
        <w:tc>
          <w:tcPr>
            <w:tcW w:w="851" w:type="dxa"/>
            <w:tcBorders>
              <w:left w:val="nil"/>
              <w:bottom w:val="single" w:sz="4" w:space="0" w:color="auto"/>
              <w:right w:val="nil"/>
            </w:tcBorders>
            <w:noWrap/>
            <w:vAlign w:val="center"/>
          </w:tcPr>
          <w:p w14:paraId="20675071"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22</w:t>
            </w:r>
          </w:p>
        </w:tc>
        <w:tc>
          <w:tcPr>
            <w:tcW w:w="1276" w:type="dxa"/>
            <w:tcBorders>
              <w:left w:val="nil"/>
              <w:bottom w:val="single" w:sz="4" w:space="0" w:color="auto"/>
              <w:right w:val="nil"/>
            </w:tcBorders>
            <w:noWrap/>
            <w:vAlign w:val="center"/>
          </w:tcPr>
          <w:p w14:paraId="3685C077"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88</w:t>
            </w:r>
          </w:p>
        </w:tc>
        <w:tc>
          <w:tcPr>
            <w:tcW w:w="850" w:type="dxa"/>
            <w:tcBorders>
              <w:left w:val="nil"/>
              <w:bottom w:val="single" w:sz="4" w:space="0" w:color="auto"/>
            </w:tcBorders>
            <w:vAlign w:val="center"/>
          </w:tcPr>
          <w:p w14:paraId="44355EA9"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25</w:t>
            </w:r>
          </w:p>
        </w:tc>
        <w:tc>
          <w:tcPr>
            <w:tcW w:w="1418" w:type="dxa"/>
            <w:tcBorders>
              <w:bottom w:val="single" w:sz="4" w:space="0" w:color="auto"/>
              <w:right w:val="nil"/>
            </w:tcBorders>
            <w:noWrap/>
            <w:vAlign w:val="center"/>
          </w:tcPr>
          <w:p w14:paraId="4E7D5388"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3 (3)</w:t>
            </w:r>
          </w:p>
        </w:tc>
        <w:tc>
          <w:tcPr>
            <w:tcW w:w="850" w:type="dxa"/>
            <w:tcBorders>
              <w:left w:val="nil"/>
              <w:bottom w:val="single" w:sz="4" w:space="0" w:color="auto"/>
              <w:right w:val="nil"/>
            </w:tcBorders>
            <w:noWrap/>
            <w:vAlign w:val="center"/>
          </w:tcPr>
          <w:p w14:paraId="38FA75F4"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12</w:t>
            </w:r>
          </w:p>
        </w:tc>
        <w:tc>
          <w:tcPr>
            <w:tcW w:w="1276" w:type="dxa"/>
            <w:tcBorders>
              <w:left w:val="nil"/>
              <w:bottom w:val="single" w:sz="4" w:space="0" w:color="auto"/>
              <w:right w:val="nil"/>
            </w:tcBorders>
            <w:noWrap/>
            <w:vAlign w:val="center"/>
          </w:tcPr>
          <w:p w14:paraId="7B8BDA8B"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48</w:t>
            </w:r>
          </w:p>
        </w:tc>
        <w:tc>
          <w:tcPr>
            <w:tcW w:w="850" w:type="dxa"/>
            <w:tcBorders>
              <w:left w:val="nil"/>
              <w:bottom w:val="single" w:sz="4" w:space="0" w:color="auto"/>
            </w:tcBorders>
            <w:vAlign w:val="center"/>
          </w:tcPr>
          <w:p w14:paraId="3F4BFC95" w14:textId="77777777" w:rsidR="00B24196" w:rsidRPr="00975564" w:rsidRDefault="00B24196" w:rsidP="00D65FE6">
            <w:pPr>
              <w:jc w:val="center"/>
              <w:rPr>
                <w:rFonts w:ascii="Times New Roman" w:hAnsi="Times New Roman" w:cs="Times New Roman"/>
                <w:color w:val="000000"/>
                <w:sz w:val="20"/>
                <w:szCs w:val="20"/>
              </w:rPr>
            </w:pPr>
            <w:r w:rsidRPr="00975564">
              <w:rPr>
                <w:rFonts w:ascii="Times New Roman" w:hAnsi="Times New Roman" w:cs="Times New Roman"/>
                <w:color w:val="000000"/>
                <w:sz w:val="20"/>
                <w:szCs w:val="20"/>
              </w:rPr>
              <w:t>25</w:t>
            </w:r>
          </w:p>
        </w:tc>
      </w:tr>
    </w:tbl>
    <w:p w14:paraId="00E31F2E" w14:textId="77777777" w:rsidR="00B24196" w:rsidRPr="00975564" w:rsidRDefault="00B24196" w:rsidP="00B24196">
      <w:pPr>
        <w:spacing w:after="0" w:line="240" w:lineRule="auto"/>
        <w:rPr>
          <w:rFonts w:ascii="Times New Roman" w:eastAsiaTheme="minorEastAsia" w:hAnsi="Times New Roman" w:cs="Times New Roman"/>
          <w:sz w:val="20"/>
          <w:szCs w:val="20"/>
          <w:lang w:eastAsia="en-CA"/>
        </w:rPr>
      </w:pPr>
    </w:p>
    <w:p w14:paraId="242FE9BA" w14:textId="77777777" w:rsidR="00B24196" w:rsidRPr="00975564" w:rsidRDefault="00B24196" w:rsidP="00B24196">
      <w:pPr>
        <w:spacing w:after="0" w:line="240" w:lineRule="auto"/>
        <w:rPr>
          <w:rFonts w:ascii="Times New Roman" w:eastAsiaTheme="minorEastAsia" w:hAnsi="Times New Roman" w:cs="Times New Roman"/>
          <w:sz w:val="20"/>
          <w:szCs w:val="20"/>
          <w:lang w:eastAsia="en-CA"/>
        </w:rPr>
      </w:pPr>
      <w:r w:rsidRPr="00975564">
        <w:rPr>
          <w:rFonts w:ascii="Times New Roman" w:eastAsiaTheme="minorEastAsia" w:hAnsi="Times New Roman" w:cs="Times New Roman"/>
          <w:sz w:val="20"/>
          <w:szCs w:val="20"/>
          <w:vertAlign w:val="superscript"/>
          <w:lang w:eastAsia="en-CA"/>
        </w:rPr>
        <w:t>a</w:t>
      </w:r>
      <w:r w:rsidRPr="00975564">
        <w:rPr>
          <w:rFonts w:ascii="Times New Roman" w:eastAsiaTheme="minorEastAsia" w:hAnsi="Times New Roman" w:cs="Times New Roman"/>
          <w:sz w:val="20"/>
          <w:szCs w:val="20"/>
          <w:lang w:eastAsia="en-CA"/>
        </w:rPr>
        <w:t xml:space="preserve">R denotes a </w:t>
      </w:r>
      <w:r w:rsidRPr="00975564">
        <w:rPr>
          <w:rFonts w:ascii="Times New Roman" w:eastAsiaTheme="minorEastAsia" w:hAnsi="Times New Roman" w:cs="Times New Roman"/>
          <w:b/>
          <w:sz w:val="20"/>
          <w:szCs w:val="20"/>
          <w:lang w:eastAsia="en-CA"/>
        </w:rPr>
        <w:t>revised</w:t>
      </w:r>
      <w:r w:rsidRPr="00975564">
        <w:rPr>
          <w:rFonts w:ascii="Times New Roman" w:eastAsiaTheme="minorEastAsia" w:hAnsi="Times New Roman" w:cs="Times New Roman"/>
          <w:sz w:val="20"/>
          <w:szCs w:val="20"/>
          <w:lang w:eastAsia="en-CA"/>
        </w:rPr>
        <w:t xml:space="preserve"> indicator; N denotes a </w:t>
      </w:r>
      <w:r w:rsidRPr="00975564">
        <w:rPr>
          <w:rFonts w:ascii="Times New Roman" w:eastAsiaTheme="minorEastAsia" w:hAnsi="Times New Roman" w:cs="Times New Roman"/>
          <w:b/>
          <w:sz w:val="20"/>
          <w:szCs w:val="20"/>
          <w:lang w:eastAsia="en-CA"/>
        </w:rPr>
        <w:t>new</w:t>
      </w:r>
      <w:r w:rsidRPr="00975564">
        <w:rPr>
          <w:rFonts w:ascii="Times New Roman" w:eastAsiaTheme="minorEastAsia" w:hAnsi="Times New Roman" w:cs="Times New Roman"/>
          <w:sz w:val="20"/>
          <w:szCs w:val="20"/>
          <w:lang w:eastAsia="en-CA"/>
        </w:rPr>
        <w:t xml:space="preserve"> indicator suggested by the panel</w:t>
      </w:r>
    </w:p>
    <w:p w14:paraId="5D263905" w14:textId="77777777" w:rsidR="00B24196" w:rsidRPr="00975564" w:rsidRDefault="00B24196" w:rsidP="00B24196">
      <w:pPr>
        <w:spacing w:line="240" w:lineRule="auto"/>
        <w:outlineLvl w:val="0"/>
        <w:rPr>
          <w:rFonts w:ascii="Times New Roman" w:eastAsiaTheme="minorEastAsia" w:hAnsi="Times New Roman" w:cs="Times New Roman"/>
          <w:sz w:val="20"/>
          <w:szCs w:val="20"/>
          <w:lang w:eastAsia="en-CA"/>
        </w:rPr>
      </w:pPr>
      <w:bookmarkStart w:id="39" w:name="_Toc535852489"/>
      <w:bookmarkStart w:id="40" w:name="_Toc535852616"/>
      <w:bookmarkStart w:id="41" w:name="_Toc535853115"/>
      <w:r w:rsidRPr="00975564">
        <w:rPr>
          <w:rFonts w:ascii="Times New Roman" w:eastAsiaTheme="minorEastAsia" w:hAnsi="Times New Roman" w:cs="Times New Roman"/>
          <w:sz w:val="20"/>
          <w:szCs w:val="20"/>
          <w:lang w:eastAsia="en-CA"/>
        </w:rPr>
        <w:t>n= the number of participants who voted in each poll</w:t>
      </w:r>
      <w:bookmarkEnd w:id="39"/>
      <w:bookmarkEnd w:id="40"/>
      <w:bookmarkEnd w:id="41"/>
      <w:r w:rsidRPr="00975564">
        <w:rPr>
          <w:rFonts w:ascii="Times New Roman" w:eastAsiaTheme="minorEastAsia" w:hAnsi="Times New Roman" w:cs="Times New Roman"/>
          <w:sz w:val="20"/>
          <w:szCs w:val="20"/>
          <w:lang w:eastAsia="en-CA"/>
        </w:rPr>
        <w:t xml:space="preserve"> </w:t>
      </w:r>
    </w:p>
    <w:p w14:paraId="1E665FDB" w14:textId="77777777" w:rsidR="00B24196" w:rsidRPr="00975564" w:rsidRDefault="00B24196" w:rsidP="00B24196">
      <w:pPr>
        <w:outlineLvl w:val="0"/>
        <w:rPr>
          <w:rFonts w:ascii="Times New Roman" w:eastAsiaTheme="minorEastAsia" w:hAnsi="Times New Roman" w:cs="Times New Roman"/>
          <w:sz w:val="20"/>
          <w:szCs w:val="20"/>
          <w:lang w:eastAsia="en-CA"/>
        </w:rPr>
      </w:pPr>
    </w:p>
    <w:p w14:paraId="5878070F" w14:textId="77777777" w:rsidR="00B24196" w:rsidRPr="00975564" w:rsidRDefault="00B24196" w:rsidP="00B24196">
      <w:pPr>
        <w:pStyle w:val="Heading1"/>
      </w:pPr>
    </w:p>
    <w:p w14:paraId="2862FAE0" w14:textId="77777777" w:rsidR="00B24196" w:rsidRDefault="00B24196" w:rsidP="00975564">
      <w:pPr>
        <w:rPr>
          <w:rFonts w:ascii="Times New Roman" w:eastAsiaTheme="minorEastAsia" w:hAnsi="Times New Roman" w:cs="Times New Roman"/>
          <w:sz w:val="20"/>
          <w:szCs w:val="20"/>
          <w:lang w:eastAsia="en-CA"/>
        </w:rPr>
      </w:pPr>
    </w:p>
    <w:p w14:paraId="252E28A9" w14:textId="77777777" w:rsidR="00B24196" w:rsidRDefault="00B24196" w:rsidP="00975564">
      <w:pPr>
        <w:rPr>
          <w:rFonts w:ascii="Times New Roman" w:eastAsiaTheme="minorEastAsia" w:hAnsi="Times New Roman" w:cs="Times New Roman"/>
          <w:sz w:val="20"/>
          <w:szCs w:val="20"/>
          <w:lang w:eastAsia="en-CA"/>
        </w:rPr>
      </w:pPr>
    </w:p>
    <w:p w14:paraId="76DAB395" w14:textId="77777777" w:rsidR="00B24196" w:rsidRDefault="00B24196" w:rsidP="00975564">
      <w:pPr>
        <w:rPr>
          <w:rFonts w:ascii="Times New Roman" w:eastAsiaTheme="minorEastAsia" w:hAnsi="Times New Roman" w:cs="Times New Roman"/>
          <w:sz w:val="20"/>
          <w:szCs w:val="20"/>
          <w:lang w:eastAsia="en-CA"/>
        </w:rPr>
      </w:pPr>
    </w:p>
    <w:p w14:paraId="3F285350" w14:textId="77777777" w:rsidR="00B24196" w:rsidRDefault="00B24196" w:rsidP="00975564">
      <w:pPr>
        <w:rPr>
          <w:rFonts w:ascii="Times New Roman" w:eastAsiaTheme="minorEastAsia" w:hAnsi="Times New Roman" w:cs="Times New Roman"/>
          <w:sz w:val="20"/>
          <w:szCs w:val="20"/>
          <w:lang w:eastAsia="en-CA"/>
        </w:rPr>
      </w:pPr>
    </w:p>
    <w:p w14:paraId="09110B64" w14:textId="77777777" w:rsidR="00B24196" w:rsidRDefault="00B24196" w:rsidP="00975564">
      <w:pPr>
        <w:rPr>
          <w:rFonts w:ascii="Times New Roman" w:eastAsiaTheme="minorEastAsia" w:hAnsi="Times New Roman" w:cs="Times New Roman"/>
          <w:sz w:val="20"/>
          <w:szCs w:val="20"/>
          <w:lang w:eastAsia="en-CA"/>
        </w:rPr>
      </w:pPr>
    </w:p>
    <w:p w14:paraId="6DEEC14F" w14:textId="77777777" w:rsidR="00B24196" w:rsidRDefault="00B24196" w:rsidP="00975564">
      <w:pPr>
        <w:rPr>
          <w:rFonts w:ascii="Times New Roman" w:eastAsiaTheme="minorEastAsia" w:hAnsi="Times New Roman" w:cs="Times New Roman"/>
          <w:sz w:val="20"/>
          <w:szCs w:val="20"/>
          <w:lang w:eastAsia="en-CA"/>
        </w:rPr>
      </w:pPr>
    </w:p>
    <w:p w14:paraId="7B7AE690" w14:textId="77777777" w:rsidR="00B24196" w:rsidRDefault="00B24196" w:rsidP="00975564">
      <w:pPr>
        <w:rPr>
          <w:rFonts w:ascii="Times New Roman" w:eastAsiaTheme="minorEastAsia" w:hAnsi="Times New Roman" w:cs="Times New Roman"/>
          <w:sz w:val="20"/>
          <w:szCs w:val="20"/>
          <w:lang w:eastAsia="en-CA"/>
        </w:rPr>
      </w:pPr>
    </w:p>
    <w:p w14:paraId="5ED5D7A7" w14:textId="14E77AB2" w:rsidR="00B24196" w:rsidRPr="00C20892" w:rsidRDefault="00B24196" w:rsidP="00B24196">
      <w:pPr>
        <w:pStyle w:val="Heading1"/>
        <w:rPr>
          <w:rFonts w:ascii="Times New Roman" w:eastAsiaTheme="minorEastAsia" w:hAnsi="Times New Roman" w:cs="Times New Roman"/>
          <w:color w:val="auto"/>
          <w:sz w:val="20"/>
          <w:szCs w:val="20"/>
          <w:lang w:eastAsia="en-CA"/>
        </w:rPr>
      </w:pPr>
      <w:bookmarkStart w:id="42" w:name="_Toc505695042"/>
      <w:bookmarkStart w:id="43" w:name="_Toc535852492"/>
      <w:bookmarkStart w:id="44" w:name="_Toc535852619"/>
      <w:bookmarkStart w:id="45" w:name="_Toc535853118"/>
      <w:r>
        <w:rPr>
          <w:rFonts w:ascii="Times New Roman" w:eastAsiaTheme="minorEastAsia" w:hAnsi="Times New Roman" w:cs="Times New Roman"/>
          <w:color w:val="auto"/>
          <w:sz w:val="20"/>
          <w:szCs w:val="20"/>
          <w:lang w:eastAsia="en-CA"/>
        </w:rPr>
        <w:lastRenderedPageBreak/>
        <w:t>S</w:t>
      </w:r>
      <w:r w:rsidR="00B067A4">
        <w:rPr>
          <w:rFonts w:ascii="Times New Roman" w:eastAsiaTheme="minorEastAsia" w:hAnsi="Times New Roman" w:cs="Times New Roman"/>
          <w:color w:val="auto"/>
          <w:sz w:val="20"/>
          <w:szCs w:val="20"/>
          <w:lang w:eastAsia="en-CA"/>
        </w:rPr>
        <w:t>4</w:t>
      </w:r>
      <w:r>
        <w:rPr>
          <w:rFonts w:ascii="Times New Roman" w:eastAsiaTheme="minorEastAsia" w:hAnsi="Times New Roman" w:cs="Times New Roman"/>
          <w:color w:val="auto"/>
          <w:sz w:val="20"/>
          <w:szCs w:val="20"/>
          <w:lang w:eastAsia="en-CA"/>
        </w:rPr>
        <w:t xml:space="preserve"> Table 9</w:t>
      </w:r>
      <w:r w:rsidRPr="00C20892">
        <w:rPr>
          <w:rFonts w:ascii="Times New Roman" w:eastAsiaTheme="minorEastAsia" w:hAnsi="Times New Roman" w:cs="Times New Roman"/>
          <w:color w:val="auto"/>
          <w:sz w:val="20"/>
          <w:szCs w:val="20"/>
          <w:lang w:eastAsia="en-CA"/>
        </w:rPr>
        <w:t>. Summary of decisions made by the panel</w:t>
      </w:r>
      <w:bookmarkEnd w:id="42"/>
      <w:r w:rsidRPr="00C20892">
        <w:rPr>
          <w:rFonts w:ascii="Times New Roman" w:eastAsiaTheme="minorEastAsia" w:hAnsi="Times New Roman" w:cs="Times New Roman"/>
          <w:color w:val="auto"/>
          <w:sz w:val="20"/>
          <w:szCs w:val="20"/>
          <w:lang w:eastAsia="en-CA"/>
        </w:rPr>
        <w:t xml:space="preserve"> in round 3</w:t>
      </w:r>
      <w:bookmarkEnd w:id="43"/>
      <w:bookmarkEnd w:id="44"/>
      <w:bookmarkEnd w:id="45"/>
    </w:p>
    <w:tbl>
      <w:tblPr>
        <w:tblStyle w:val="TableGrid1"/>
        <w:tblW w:w="0" w:type="auto"/>
        <w:tblLook w:val="04A0" w:firstRow="1" w:lastRow="0" w:firstColumn="1" w:lastColumn="0" w:noHBand="0" w:noVBand="1"/>
      </w:tblPr>
      <w:tblGrid>
        <w:gridCol w:w="4219"/>
        <w:gridCol w:w="5528"/>
        <w:gridCol w:w="3429"/>
      </w:tblGrid>
      <w:tr w:rsidR="00B24196" w:rsidRPr="00975564" w14:paraId="269D0897" w14:textId="77777777" w:rsidTr="00D65FE6">
        <w:trPr>
          <w:trHeight w:val="274"/>
          <w:tblHeader/>
        </w:trPr>
        <w:tc>
          <w:tcPr>
            <w:tcW w:w="4219" w:type="dxa"/>
            <w:shd w:val="clear" w:color="auto" w:fill="auto"/>
          </w:tcPr>
          <w:p w14:paraId="4CBEFCC8" w14:textId="77777777" w:rsidR="00B24196" w:rsidRPr="00975564" w:rsidRDefault="00B24196" w:rsidP="00D65FE6">
            <w:pPr>
              <w:jc w:val="center"/>
              <w:outlineLvl w:val="0"/>
              <w:rPr>
                <w:rFonts w:ascii="Times New Roman" w:hAnsi="Times New Roman" w:cs="Times New Roman"/>
                <w:b/>
                <w:sz w:val="20"/>
                <w:szCs w:val="20"/>
              </w:rPr>
            </w:pPr>
            <w:bookmarkStart w:id="46" w:name="_Toc535852493"/>
            <w:bookmarkStart w:id="47" w:name="_Toc535852620"/>
            <w:bookmarkStart w:id="48" w:name="_Toc535853119"/>
            <w:r w:rsidRPr="00975564">
              <w:rPr>
                <w:rFonts w:ascii="Times New Roman" w:hAnsi="Times New Roman" w:cs="Times New Roman"/>
                <w:b/>
                <w:sz w:val="20"/>
                <w:szCs w:val="20"/>
              </w:rPr>
              <w:t>Round 3 Indicator Proposed</w:t>
            </w:r>
            <w:bookmarkEnd w:id="46"/>
            <w:bookmarkEnd w:id="47"/>
            <w:bookmarkEnd w:id="48"/>
            <w:r w:rsidRPr="00975564">
              <w:rPr>
                <w:rFonts w:ascii="Times New Roman" w:hAnsi="Times New Roman" w:cs="Times New Roman"/>
                <w:b/>
                <w:sz w:val="20"/>
                <w:szCs w:val="20"/>
              </w:rPr>
              <w:t xml:space="preserve"> </w:t>
            </w:r>
          </w:p>
        </w:tc>
        <w:tc>
          <w:tcPr>
            <w:tcW w:w="5528" w:type="dxa"/>
            <w:shd w:val="clear" w:color="auto" w:fill="auto"/>
          </w:tcPr>
          <w:p w14:paraId="55F459B3" w14:textId="77777777" w:rsidR="00B24196" w:rsidRPr="00975564" w:rsidRDefault="00B24196" w:rsidP="00D65FE6">
            <w:pPr>
              <w:jc w:val="center"/>
              <w:outlineLvl w:val="0"/>
              <w:rPr>
                <w:rFonts w:ascii="Times New Roman" w:hAnsi="Times New Roman" w:cs="Times New Roman"/>
                <w:b/>
                <w:sz w:val="20"/>
                <w:szCs w:val="20"/>
              </w:rPr>
            </w:pPr>
            <w:bookmarkStart w:id="49" w:name="_Toc535852494"/>
            <w:bookmarkStart w:id="50" w:name="_Toc535852621"/>
            <w:bookmarkStart w:id="51" w:name="_Toc535853120"/>
            <w:r w:rsidRPr="00975564">
              <w:rPr>
                <w:rFonts w:ascii="Times New Roman" w:hAnsi="Times New Roman" w:cs="Times New Roman"/>
                <w:b/>
                <w:sz w:val="20"/>
                <w:szCs w:val="20"/>
              </w:rPr>
              <w:t>Comments from Panel</w:t>
            </w:r>
            <w:bookmarkEnd w:id="49"/>
            <w:bookmarkEnd w:id="50"/>
            <w:bookmarkEnd w:id="51"/>
          </w:p>
        </w:tc>
        <w:tc>
          <w:tcPr>
            <w:tcW w:w="3429" w:type="dxa"/>
            <w:shd w:val="clear" w:color="auto" w:fill="auto"/>
          </w:tcPr>
          <w:p w14:paraId="1A220817" w14:textId="77777777" w:rsidR="00B24196" w:rsidRPr="00975564" w:rsidRDefault="00B24196" w:rsidP="00D65FE6">
            <w:pPr>
              <w:jc w:val="center"/>
              <w:outlineLvl w:val="0"/>
              <w:rPr>
                <w:rFonts w:ascii="Times New Roman" w:hAnsi="Times New Roman" w:cs="Times New Roman"/>
                <w:b/>
                <w:sz w:val="20"/>
                <w:szCs w:val="20"/>
              </w:rPr>
            </w:pPr>
            <w:bookmarkStart w:id="52" w:name="_Toc535852495"/>
            <w:bookmarkStart w:id="53" w:name="_Toc535852622"/>
            <w:bookmarkStart w:id="54" w:name="_Toc535853121"/>
            <w:r w:rsidRPr="00975564">
              <w:rPr>
                <w:rFonts w:ascii="Times New Roman" w:hAnsi="Times New Roman" w:cs="Times New Roman"/>
                <w:b/>
                <w:sz w:val="20"/>
                <w:szCs w:val="20"/>
              </w:rPr>
              <w:t>Outcome</w:t>
            </w:r>
            <w:bookmarkEnd w:id="52"/>
            <w:bookmarkEnd w:id="53"/>
            <w:bookmarkEnd w:id="54"/>
          </w:p>
        </w:tc>
      </w:tr>
      <w:tr w:rsidR="00B24196" w:rsidRPr="00975564" w14:paraId="41F5A154" w14:textId="77777777" w:rsidTr="00D65FE6">
        <w:trPr>
          <w:trHeight w:val="841"/>
        </w:trPr>
        <w:tc>
          <w:tcPr>
            <w:tcW w:w="4219" w:type="dxa"/>
          </w:tcPr>
          <w:p w14:paraId="715F3F1A" w14:textId="77777777" w:rsidR="00B24196" w:rsidRPr="00975564" w:rsidRDefault="00B24196" w:rsidP="00D65FE6">
            <w:pPr>
              <w:outlineLvl w:val="0"/>
              <w:rPr>
                <w:rFonts w:ascii="Times New Roman" w:hAnsi="Times New Roman" w:cs="Times New Roman"/>
                <w:color w:val="000000"/>
                <w:sz w:val="20"/>
                <w:szCs w:val="20"/>
              </w:rPr>
            </w:pPr>
            <w:bookmarkStart w:id="55" w:name="_Toc535852496"/>
            <w:bookmarkStart w:id="56" w:name="_Toc535852623"/>
            <w:bookmarkStart w:id="57" w:name="_Toc535853122"/>
            <w:r w:rsidRPr="00975564">
              <w:rPr>
                <w:rFonts w:ascii="Times New Roman" w:hAnsi="Times New Roman" w:cs="Times New Roman"/>
                <w:color w:val="000000"/>
                <w:sz w:val="20"/>
                <w:szCs w:val="20"/>
              </w:rPr>
              <w:t>28. The public health agency has established processes to effectively manage conflicts with network partners in the context of an emergency.</w:t>
            </w:r>
            <w:bookmarkEnd w:id="55"/>
            <w:bookmarkEnd w:id="56"/>
            <w:bookmarkEnd w:id="57"/>
            <w:r w:rsidRPr="00975564">
              <w:rPr>
                <w:rFonts w:ascii="Times New Roman" w:hAnsi="Times New Roman" w:cs="Times New Roman"/>
                <w:color w:val="000000"/>
                <w:sz w:val="20"/>
                <w:szCs w:val="20"/>
              </w:rPr>
              <w:t xml:space="preserve"> </w:t>
            </w:r>
          </w:p>
          <w:p w14:paraId="6E04B5C3" w14:textId="77777777" w:rsidR="00B24196" w:rsidRPr="00975564" w:rsidRDefault="00B24196" w:rsidP="00D65FE6">
            <w:pPr>
              <w:outlineLvl w:val="0"/>
              <w:rPr>
                <w:rFonts w:ascii="Times New Roman" w:hAnsi="Times New Roman" w:cs="Times New Roman"/>
                <w:color w:val="000000"/>
                <w:sz w:val="20"/>
                <w:szCs w:val="20"/>
              </w:rPr>
            </w:pPr>
          </w:p>
        </w:tc>
        <w:tc>
          <w:tcPr>
            <w:tcW w:w="5528" w:type="dxa"/>
          </w:tcPr>
          <w:p w14:paraId="45BDFAA4" w14:textId="77777777" w:rsidR="00B24196" w:rsidRPr="00975564" w:rsidRDefault="00B24196" w:rsidP="00D65FE6">
            <w:pPr>
              <w:numPr>
                <w:ilvl w:val="0"/>
                <w:numId w:val="5"/>
              </w:numPr>
              <w:rPr>
                <w:rFonts w:ascii="Times New Roman" w:hAnsi="Times New Roman" w:cs="Times New Roman"/>
                <w:color w:val="000000"/>
                <w:sz w:val="20"/>
                <w:szCs w:val="20"/>
              </w:rPr>
            </w:pPr>
            <w:r w:rsidRPr="00975564">
              <w:rPr>
                <w:rFonts w:ascii="Times New Roman" w:hAnsi="Times New Roman" w:cs="Times New Roman"/>
                <w:color w:val="000000"/>
                <w:sz w:val="20"/>
                <w:szCs w:val="20"/>
              </w:rPr>
              <w:t>This is relative to the IMS. There is a crisis management structure that is already in place so there may not be a need for a formal process.</w:t>
            </w:r>
          </w:p>
          <w:p w14:paraId="244548B6" w14:textId="77777777" w:rsidR="00B24196" w:rsidRPr="00975564" w:rsidRDefault="00B24196" w:rsidP="00D65FE6">
            <w:pPr>
              <w:numPr>
                <w:ilvl w:val="0"/>
                <w:numId w:val="5"/>
              </w:numPr>
              <w:rPr>
                <w:rFonts w:ascii="Times New Roman" w:hAnsi="Times New Roman" w:cs="Times New Roman"/>
                <w:color w:val="000000"/>
                <w:sz w:val="20"/>
                <w:szCs w:val="20"/>
              </w:rPr>
            </w:pPr>
            <w:r w:rsidRPr="00975564">
              <w:rPr>
                <w:rFonts w:ascii="Times New Roman" w:hAnsi="Times New Roman" w:cs="Times New Roman"/>
                <w:color w:val="000000"/>
                <w:sz w:val="20"/>
                <w:szCs w:val="20"/>
              </w:rPr>
              <w:t xml:space="preserve">This indicator may not be relevant to all the different types of public health agencies. </w:t>
            </w:r>
          </w:p>
        </w:tc>
        <w:tc>
          <w:tcPr>
            <w:tcW w:w="3429" w:type="dxa"/>
          </w:tcPr>
          <w:p w14:paraId="11032D82" w14:textId="77777777" w:rsidR="00B24196" w:rsidRPr="00975564" w:rsidRDefault="00B24196" w:rsidP="00D65FE6">
            <w:pPr>
              <w:outlineLvl w:val="0"/>
              <w:rPr>
                <w:rFonts w:ascii="Times New Roman" w:hAnsi="Times New Roman" w:cs="Times New Roman"/>
                <w:color w:val="000000"/>
                <w:sz w:val="20"/>
                <w:szCs w:val="20"/>
              </w:rPr>
            </w:pPr>
            <w:bookmarkStart w:id="58" w:name="_Toc535852497"/>
            <w:bookmarkStart w:id="59" w:name="_Toc535852624"/>
            <w:bookmarkStart w:id="60" w:name="_Toc535853123"/>
            <w:r w:rsidRPr="00975564">
              <w:rPr>
                <w:rFonts w:ascii="Times New Roman" w:hAnsi="Times New Roman" w:cs="Times New Roman"/>
                <w:color w:val="000000"/>
                <w:sz w:val="20"/>
                <w:szCs w:val="20"/>
              </w:rPr>
              <w:t>The panel confirmed that the indicator should be discarded from the final list of PHEP indicators.</w:t>
            </w:r>
            <w:bookmarkEnd w:id="58"/>
            <w:bookmarkEnd w:id="59"/>
            <w:bookmarkEnd w:id="60"/>
            <w:r w:rsidRPr="00975564">
              <w:rPr>
                <w:rFonts w:ascii="Times New Roman" w:hAnsi="Times New Roman" w:cs="Times New Roman"/>
                <w:color w:val="000000"/>
                <w:sz w:val="20"/>
                <w:szCs w:val="20"/>
              </w:rPr>
              <w:t xml:space="preserve"> </w:t>
            </w:r>
          </w:p>
        </w:tc>
      </w:tr>
      <w:tr w:rsidR="00B24196" w:rsidRPr="00975564" w14:paraId="037E7F48" w14:textId="77777777" w:rsidTr="00D65FE6">
        <w:tc>
          <w:tcPr>
            <w:tcW w:w="4219" w:type="dxa"/>
            <w:shd w:val="clear" w:color="auto" w:fill="auto"/>
          </w:tcPr>
          <w:p w14:paraId="073AE9D6" w14:textId="77777777" w:rsidR="00B24196" w:rsidRPr="00975564" w:rsidRDefault="00B24196" w:rsidP="00D65FE6">
            <w:pPr>
              <w:rPr>
                <w:rFonts w:ascii="Times New Roman" w:hAnsi="Times New Roman" w:cs="Times New Roman"/>
                <w:sz w:val="20"/>
                <w:szCs w:val="20"/>
              </w:rPr>
            </w:pPr>
            <w:r w:rsidRPr="00975564">
              <w:rPr>
                <w:rFonts w:ascii="Times New Roman" w:eastAsia="Times New Roman" w:hAnsi="Times New Roman" w:cs="Times New Roman"/>
                <w:color w:val="000000"/>
                <w:sz w:val="20"/>
                <w:szCs w:val="20"/>
              </w:rPr>
              <w:t xml:space="preserve">32. The public health agency strives for transparency with the public </w:t>
            </w:r>
            <w:r w:rsidRPr="00975564">
              <w:rPr>
                <w:rFonts w:ascii="Times New Roman" w:hAnsi="Times New Roman" w:cs="Times New Roman"/>
                <w:color w:val="000000"/>
                <w:sz w:val="20"/>
                <w:szCs w:val="20"/>
              </w:rPr>
              <w:t>where there are genuine differences of professional opinion; for example, in the context of uncertain science or differences with Indigenous knowledge.</w:t>
            </w:r>
          </w:p>
        </w:tc>
        <w:tc>
          <w:tcPr>
            <w:tcW w:w="5528" w:type="dxa"/>
            <w:shd w:val="clear" w:color="auto" w:fill="auto"/>
          </w:tcPr>
          <w:p w14:paraId="7A2973CE" w14:textId="77777777" w:rsidR="00B24196" w:rsidRPr="00975564" w:rsidRDefault="00B24196" w:rsidP="00D65FE6">
            <w:pPr>
              <w:numPr>
                <w:ilvl w:val="0"/>
                <w:numId w:val="6"/>
              </w:numPr>
              <w:rPr>
                <w:rFonts w:ascii="Times New Roman" w:hAnsi="Times New Roman" w:cs="Times New Roman"/>
                <w:sz w:val="20"/>
                <w:szCs w:val="20"/>
              </w:rPr>
            </w:pPr>
            <w:r w:rsidRPr="00975564">
              <w:rPr>
                <w:rFonts w:ascii="Times New Roman" w:hAnsi="Times New Roman" w:cs="Times New Roman"/>
                <w:sz w:val="20"/>
                <w:szCs w:val="20"/>
              </w:rPr>
              <w:t>There are difficulties in controlling differences of opinion with experts and professionals outside of the agency.</w:t>
            </w:r>
          </w:p>
          <w:p w14:paraId="234CA777" w14:textId="77777777" w:rsidR="00B24196" w:rsidRPr="00975564" w:rsidRDefault="00B24196" w:rsidP="00D65FE6">
            <w:pPr>
              <w:numPr>
                <w:ilvl w:val="0"/>
                <w:numId w:val="6"/>
              </w:numPr>
              <w:rPr>
                <w:rFonts w:ascii="Times New Roman" w:hAnsi="Times New Roman" w:cs="Times New Roman"/>
                <w:sz w:val="20"/>
                <w:szCs w:val="20"/>
              </w:rPr>
            </w:pPr>
            <w:r w:rsidRPr="00975564">
              <w:rPr>
                <w:rFonts w:ascii="Times New Roman" w:hAnsi="Times New Roman" w:cs="Times New Roman"/>
                <w:sz w:val="20"/>
                <w:szCs w:val="20"/>
              </w:rPr>
              <w:t>The indicator is not distinct from risk communication.</w:t>
            </w:r>
          </w:p>
          <w:p w14:paraId="4EC13CFF" w14:textId="77777777" w:rsidR="00B24196" w:rsidRPr="00975564" w:rsidRDefault="00B24196" w:rsidP="00D65FE6">
            <w:pPr>
              <w:numPr>
                <w:ilvl w:val="0"/>
                <w:numId w:val="6"/>
              </w:numPr>
              <w:rPr>
                <w:rFonts w:ascii="Times New Roman" w:hAnsi="Times New Roman" w:cs="Times New Roman"/>
                <w:sz w:val="20"/>
                <w:szCs w:val="20"/>
              </w:rPr>
            </w:pPr>
            <w:r w:rsidRPr="00975564">
              <w:rPr>
                <w:rFonts w:ascii="Times New Roman" w:hAnsi="Times New Roman" w:cs="Times New Roman"/>
                <w:sz w:val="20"/>
                <w:szCs w:val="20"/>
              </w:rPr>
              <w:t>Good communication is excellent in principle, but it may not be the local public health agency’s responsibility.</w:t>
            </w:r>
          </w:p>
          <w:p w14:paraId="664DE863" w14:textId="77777777" w:rsidR="00B24196" w:rsidRPr="00975564" w:rsidRDefault="00B24196" w:rsidP="00D65FE6">
            <w:pPr>
              <w:numPr>
                <w:ilvl w:val="0"/>
                <w:numId w:val="6"/>
              </w:numPr>
              <w:rPr>
                <w:rFonts w:ascii="Times New Roman" w:hAnsi="Times New Roman" w:cs="Times New Roman"/>
                <w:sz w:val="20"/>
                <w:szCs w:val="20"/>
              </w:rPr>
            </w:pPr>
            <w:r w:rsidRPr="00975564">
              <w:rPr>
                <w:rFonts w:ascii="Times New Roman" w:hAnsi="Times New Roman" w:cs="Times New Roman"/>
                <w:sz w:val="20"/>
                <w:szCs w:val="20"/>
              </w:rPr>
              <w:t>The indicator would be tough to action.</w:t>
            </w:r>
            <w:r w:rsidRPr="00975564">
              <w:rPr>
                <w:rFonts w:ascii="Times New Roman" w:hAnsi="Times New Roman" w:cs="Times New Roman"/>
                <w:sz w:val="20"/>
                <w:szCs w:val="20"/>
                <w:highlight w:val="yellow"/>
              </w:rPr>
              <w:t xml:space="preserve"> </w:t>
            </w:r>
          </w:p>
        </w:tc>
        <w:tc>
          <w:tcPr>
            <w:tcW w:w="3429" w:type="dxa"/>
            <w:shd w:val="clear" w:color="auto" w:fill="auto"/>
          </w:tcPr>
          <w:p w14:paraId="55D9116E" w14:textId="77777777" w:rsidR="00B24196" w:rsidRPr="00975564" w:rsidRDefault="00B24196" w:rsidP="00D65FE6">
            <w:pPr>
              <w:rPr>
                <w:rFonts w:ascii="Times New Roman" w:hAnsi="Times New Roman" w:cs="Times New Roman"/>
                <w:sz w:val="20"/>
                <w:szCs w:val="20"/>
                <w:highlight w:val="yellow"/>
              </w:rPr>
            </w:pPr>
            <w:r w:rsidRPr="00975564">
              <w:rPr>
                <w:rFonts w:ascii="Times New Roman" w:hAnsi="Times New Roman" w:cs="Times New Roman"/>
                <w:sz w:val="20"/>
                <w:szCs w:val="20"/>
              </w:rPr>
              <w:t xml:space="preserve">The indicator was found to be important but agreement on actionability was low. The indicator will not be included in the final indicator set. Further research and adaptation will be required.  </w:t>
            </w:r>
          </w:p>
        </w:tc>
      </w:tr>
      <w:tr w:rsidR="00B24196" w:rsidRPr="00975564" w14:paraId="322ECEDA" w14:textId="77777777" w:rsidTr="00D65FE6">
        <w:tc>
          <w:tcPr>
            <w:tcW w:w="4219" w:type="dxa"/>
          </w:tcPr>
          <w:p w14:paraId="26E5AA3A" w14:textId="77777777" w:rsidR="00B24196" w:rsidRPr="00975564" w:rsidRDefault="00B24196" w:rsidP="00D65FE6">
            <w:pPr>
              <w:rPr>
                <w:rFonts w:ascii="Times New Roman" w:eastAsia="Times New Roman" w:hAnsi="Times New Roman" w:cs="Times New Roman"/>
                <w:color w:val="000000"/>
                <w:sz w:val="20"/>
                <w:szCs w:val="20"/>
              </w:rPr>
            </w:pPr>
            <w:r w:rsidRPr="00975564">
              <w:rPr>
                <w:rFonts w:ascii="Times New Roman" w:eastAsia="Calibri" w:hAnsi="Times New Roman" w:cs="Times New Roman"/>
                <w:sz w:val="20"/>
                <w:szCs w:val="20"/>
              </w:rPr>
              <w:t xml:space="preserve">47. </w:t>
            </w:r>
            <w:r w:rsidRPr="00975564">
              <w:rPr>
                <w:rFonts w:ascii="Times New Roman" w:eastAsia="Times New Roman" w:hAnsi="Times New Roman" w:cs="Times New Roman"/>
                <w:sz w:val="20"/>
                <w:szCs w:val="20"/>
              </w:rPr>
              <w:t>If the use of citizen volunteers is permitted by the public health agency to support its mandate in emergencies, t</w:t>
            </w:r>
            <w:r w:rsidRPr="00975564">
              <w:rPr>
                <w:rFonts w:ascii="Times New Roman" w:eastAsia="Times New Roman" w:hAnsi="Times New Roman" w:cs="Times New Roman"/>
                <w:color w:val="000000"/>
                <w:sz w:val="20"/>
                <w:szCs w:val="20"/>
              </w:rPr>
              <w:t>he agency has a process for integrating volunteers. This may include volunteer recruitment, identification, credentialing and/or training linked to processes in the broader health-sector.</w:t>
            </w:r>
          </w:p>
          <w:p w14:paraId="53C027F8" w14:textId="77777777" w:rsidR="00B24196" w:rsidRPr="00975564" w:rsidRDefault="00B24196" w:rsidP="00D65FE6">
            <w:pPr>
              <w:rPr>
                <w:rFonts w:ascii="Times New Roman" w:hAnsi="Times New Roman" w:cs="Times New Roman"/>
                <w:sz w:val="20"/>
                <w:szCs w:val="20"/>
              </w:rPr>
            </w:pPr>
          </w:p>
        </w:tc>
        <w:tc>
          <w:tcPr>
            <w:tcW w:w="5528" w:type="dxa"/>
          </w:tcPr>
          <w:p w14:paraId="0DCA3814" w14:textId="77777777" w:rsidR="00B24196" w:rsidRPr="00975564" w:rsidRDefault="00B24196" w:rsidP="00D65FE6">
            <w:pPr>
              <w:numPr>
                <w:ilvl w:val="0"/>
                <w:numId w:val="7"/>
              </w:numPr>
              <w:rPr>
                <w:rFonts w:ascii="Times New Roman" w:hAnsi="Times New Roman" w:cs="Times New Roman"/>
                <w:sz w:val="20"/>
                <w:szCs w:val="20"/>
              </w:rPr>
            </w:pPr>
            <w:r w:rsidRPr="00975564">
              <w:rPr>
                <w:rFonts w:ascii="Times New Roman" w:hAnsi="Times New Roman" w:cs="Times New Roman"/>
                <w:sz w:val="20"/>
                <w:szCs w:val="20"/>
              </w:rPr>
              <w:t>Integrating volunteers may not be the responsibility of the public health agency.</w:t>
            </w:r>
          </w:p>
          <w:p w14:paraId="21D608B8" w14:textId="77777777" w:rsidR="00B24196" w:rsidRPr="00975564" w:rsidRDefault="00B24196" w:rsidP="00D65FE6">
            <w:pPr>
              <w:numPr>
                <w:ilvl w:val="0"/>
                <w:numId w:val="7"/>
              </w:numPr>
              <w:rPr>
                <w:rFonts w:ascii="Times New Roman" w:hAnsi="Times New Roman" w:cs="Times New Roman"/>
                <w:sz w:val="20"/>
                <w:szCs w:val="20"/>
              </w:rPr>
            </w:pPr>
            <w:r w:rsidRPr="00975564">
              <w:rPr>
                <w:rFonts w:ascii="Times New Roman" w:hAnsi="Times New Roman" w:cs="Times New Roman"/>
                <w:sz w:val="20"/>
                <w:szCs w:val="20"/>
              </w:rPr>
              <w:t>Based on the discussion of panel members, the indicator was re-worded to state:</w:t>
            </w:r>
          </w:p>
          <w:p w14:paraId="2B195030" w14:textId="77777777" w:rsidR="00B24196" w:rsidRPr="00975564" w:rsidRDefault="00B24196" w:rsidP="00D65FE6">
            <w:pPr>
              <w:rPr>
                <w:rFonts w:ascii="Times New Roman" w:hAnsi="Times New Roman" w:cs="Times New Roman"/>
                <w:sz w:val="20"/>
                <w:szCs w:val="20"/>
              </w:rPr>
            </w:pPr>
          </w:p>
          <w:p w14:paraId="05261702" w14:textId="77777777" w:rsidR="00B24196" w:rsidRPr="00975564" w:rsidRDefault="00B24196" w:rsidP="00D65FE6">
            <w:pPr>
              <w:rPr>
                <w:rFonts w:ascii="Times New Roman" w:hAnsi="Times New Roman" w:cs="Times New Roman"/>
                <w:i/>
                <w:sz w:val="20"/>
                <w:szCs w:val="20"/>
              </w:rPr>
            </w:pPr>
            <w:r w:rsidRPr="00975564">
              <w:rPr>
                <w:rFonts w:ascii="Times New Roman" w:hAnsi="Times New Roman" w:cs="Times New Roman"/>
                <w:i/>
                <w:sz w:val="20"/>
                <w:szCs w:val="20"/>
              </w:rPr>
              <w:t>If the use of citizen volunteers is permitted by the public health agency to support its mandate in emergencies, the agency has ensured there is a process for engaging volunteers. This may include volunteer recruitment, identification, credentialing, and/or training linked to processes in the broader health or government services sector.</w:t>
            </w:r>
          </w:p>
        </w:tc>
        <w:tc>
          <w:tcPr>
            <w:tcW w:w="3429" w:type="dxa"/>
          </w:tcPr>
          <w:p w14:paraId="214D6BD7" w14:textId="77777777" w:rsidR="00B24196" w:rsidRPr="00975564" w:rsidRDefault="00B24196" w:rsidP="00D65FE6">
            <w:pPr>
              <w:outlineLvl w:val="0"/>
              <w:rPr>
                <w:rFonts w:ascii="Times New Roman" w:hAnsi="Times New Roman" w:cs="Times New Roman"/>
                <w:sz w:val="20"/>
                <w:szCs w:val="20"/>
              </w:rPr>
            </w:pPr>
            <w:bookmarkStart w:id="61" w:name="_Toc535852498"/>
            <w:bookmarkStart w:id="62" w:name="_Toc535852625"/>
            <w:bookmarkStart w:id="63" w:name="_Toc535853124"/>
            <w:r w:rsidRPr="00975564">
              <w:rPr>
                <w:rFonts w:ascii="Times New Roman" w:hAnsi="Times New Roman" w:cs="Times New Roman"/>
                <w:sz w:val="20"/>
                <w:szCs w:val="20"/>
              </w:rPr>
              <w:t>The rephrased indicator reached consensus of agreement for importance and nearly approached the threshold of consensus for actionability. The indicator will not be included in the final indicator set. Further research regarding a process for integrating volunteers will be required.</w:t>
            </w:r>
            <w:bookmarkEnd w:id="61"/>
            <w:bookmarkEnd w:id="62"/>
            <w:bookmarkEnd w:id="63"/>
          </w:p>
        </w:tc>
      </w:tr>
      <w:tr w:rsidR="00B24196" w:rsidRPr="00975564" w14:paraId="7AF9995F" w14:textId="77777777" w:rsidTr="00D65FE6">
        <w:trPr>
          <w:trHeight w:val="977"/>
        </w:trPr>
        <w:tc>
          <w:tcPr>
            <w:tcW w:w="4219" w:type="dxa"/>
            <w:shd w:val="clear" w:color="auto" w:fill="auto"/>
          </w:tcPr>
          <w:p w14:paraId="48C2606E" w14:textId="77777777" w:rsidR="00B24196" w:rsidRPr="00975564" w:rsidRDefault="00B24196" w:rsidP="00D65FE6">
            <w:pPr>
              <w:rPr>
                <w:rFonts w:ascii="Times New Roman" w:hAnsi="Times New Roman" w:cs="Times New Roman"/>
                <w:sz w:val="20"/>
                <w:szCs w:val="20"/>
              </w:rPr>
            </w:pPr>
            <w:r w:rsidRPr="00975564">
              <w:rPr>
                <w:rFonts w:ascii="Times New Roman" w:eastAsia="Calibri" w:hAnsi="Times New Roman" w:cs="Times New Roman"/>
                <w:sz w:val="20"/>
                <w:szCs w:val="20"/>
              </w:rPr>
              <w:t xml:space="preserve">56. </w:t>
            </w:r>
            <w:r w:rsidRPr="00975564">
              <w:rPr>
                <w:rFonts w:ascii="Times New Roman" w:eastAsia="Calibri" w:hAnsi="Times New Roman" w:cs="Times New Roman"/>
                <w:bCs/>
                <w:sz w:val="20"/>
                <w:szCs w:val="20"/>
              </w:rPr>
              <w:t>The public health agency has defined a research or evaluation agenda that aims to address knowledge gaps relevant to emergency management.</w:t>
            </w:r>
          </w:p>
        </w:tc>
        <w:tc>
          <w:tcPr>
            <w:tcW w:w="5528" w:type="dxa"/>
            <w:shd w:val="clear" w:color="auto" w:fill="auto"/>
          </w:tcPr>
          <w:p w14:paraId="63FA30A1" w14:textId="77777777" w:rsidR="00B24196" w:rsidRPr="00975564" w:rsidRDefault="00B24196" w:rsidP="00D65FE6">
            <w:pPr>
              <w:numPr>
                <w:ilvl w:val="0"/>
                <w:numId w:val="8"/>
              </w:numPr>
              <w:rPr>
                <w:rFonts w:ascii="Times New Roman" w:hAnsi="Times New Roman" w:cs="Times New Roman"/>
                <w:sz w:val="20"/>
                <w:szCs w:val="20"/>
              </w:rPr>
            </w:pPr>
            <w:r w:rsidRPr="00975564">
              <w:rPr>
                <w:rFonts w:ascii="Times New Roman" w:hAnsi="Times New Roman" w:cs="Times New Roman"/>
                <w:sz w:val="20"/>
                <w:szCs w:val="20"/>
              </w:rPr>
              <w:t xml:space="preserve">Although this indicator is specific to addressing knowledge gaps, the broad focus of research and evaluation for process improvement has already been captured in three other indicators. </w:t>
            </w:r>
          </w:p>
        </w:tc>
        <w:tc>
          <w:tcPr>
            <w:tcW w:w="3429" w:type="dxa"/>
            <w:shd w:val="clear" w:color="auto" w:fill="auto"/>
          </w:tcPr>
          <w:p w14:paraId="10287412"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color w:val="000000"/>
                <w:sz w:val="20"/>
                <w:szCs w:val="20"/>
              </w:rPr>
              <w:t>The panel confirmed that the indicator should be discarded from the final set of PHEP indicators.</w:t>
            </w:r>
          </w:p>
        </w:tc>
      </w:tr>
      <w:tr w:rsidR="00B24196" w:rsidRPr="00975564" w14:paraId="4C2878A6" w14:textId="77777777" w:rsidTr="00D65FE6">
        <w:tc>
          <w:tcPr>
            <w:tcW w:w="4219" w:type="dxa"/>
          </w:tcPr>
          <w:p w14:paraId="547DD29D" w14:textId="77777777" w:rsidR="00B24196" w:rsidRPr="00975564" w:rsidRDefault="00B24196" w:rsidP="00D65FE6">
            <w:pPr>
              <w:rPr>
                <w:rFonts w:ascii="Times New Roman" w:eastAsia="Calibri" w:hAnsi="Times New Roman" w:cs="Times New Roman"/>
                <w:sz w:val="20"/>
                <w:szCs w:val="20"/>
              </w:rPr>
            </w:pPr>
            <w:r w:rsidRPr="00975564">
              <w:rPr>
                <w:rFonts w:ascii="Times New Roman" w:eastAsia="Times New Roman" w:hAnsi="Times New Roman" w:cs="Times New Roman"/>
                <w:sz w:val="20"/>
                <w:szCs w:val="20"/>
              </w:rPr>
              <w:t xml:space="preserve">57. </w:t>
            </w:r>
            <w:r w:rsidRPr="00975564">
              <w:rPr>
                <w:rFonts w:ascii="Times New Roman" w:eastAsia="Calibri" w:hAnsi="Times New Roman" w:cs="Times New Roman"/>
                <w:sz w:val="20"/>
                <w:szCs w:val="20"/>
              </w:rPr>
              <w:t>The public health agency has resources allocated and/or identified for evaluation or learning to address relevant knowledge gaps for the agency in emergency management.</w:t>
            </w:r>
          </w:p>
        </w:tc>
        <w:tc>
          <w:tcPr>
            <w:tcW w:w="5528" w:type="dxa"/>
          </w:tcPr>
          <w:p w14:paraId="7A05A9AC" w14:textId="77777777" w:rsidR="00B24196" w:rsidRPr="00975564" w:rsidRDefault="00B24196" w:rsidP="00D65FE6">
            <w:pPr>
              <w:numPr>
                <w:ilvl w:val="0"/>
                <w:numId w:val="8"/>
              </w:numPr>
              <w:rPr>
                <w:rFonts w:ascii="Times New Roman" w:eastAsia="Times New Roman" w:hAnsi="Times New Roman" w:cs="Times New Roman"/>
                <w:sz w:val="20"/>
                <w:szCs w:val="20"/>
              </w:rPr>
            </w:pPr>
            <w:r w:rsidRPr="00975564">
              <w:rPr>
                <w:rFonts w:ascii="Times New Roman" w:eastAsia="Times New Roman" w:hAnsi="Times New Roman" w:cs="Times New Roman"/>
                <w:sz w:val="20"/>
                <w:szCs w:val="20"/>
              </w:rPr>
              <w:t>Similar to indicator 56, the</w:t>
            </w:r>
            <w:r w:rsidRPr="00975564">
              <w:rPr>
                <w:rFonts w:ascii="Times New Roman" w:hAnsi="Times New Roman" w:cs="Times New Roman"/>
                <w:sz w:val="20"/>
                <w:szCs w:val="20"/>
              </w:rPr>
              <w:t xml:space="preserve"> broad focus of research and evaluation for process improvement has already been captured in three other indicators.</w:t>
            </w:r>
          </w:p>
        </w:tc>
        <w:tc>
          <w:tcPr>
            <w:tcW w:w="3429" w:type="dxa"/>
          </w:tcPr>
          <w:p w14:paraId="464B271E" w14:textId="77777777" w:rsidR="00B24196" w:rsidRPr="00975564" w:rsidRDefault="00B24196" w:rsidP="00D65FE6">
            <w:pPr>
              <w:rPr>
                <w:rFonts w:ascii="Times New Roman" w:eastAsia="Times New Roman" w:hAnsi="Times New Roman" w:cs="Times New Roman"/>
                <w:sz w:val="20"/>
                <w:szCs w:val="20"/>
              </w:rPr>
            </w:pPr>
            <w:r w:rsidRPr="00975564">
              <w:rPr>
                <w:rFonts w:ascii="Times New Roman" w:hAnsi="Times New Roman" w:cs="Times New Roman"/>
                <w:sz w:val="20"/>
                <w:szCs w:val="20"/>
              </w:rPr>
              <w:t xml:space="preserve">The indicator was found to be important but did not reach the threshold for consensus of agreement for actionability. The indicator will not be included in the final indicator set. Further research and adaptation will be required.  </w:t>
            </w:r>
          </w:p>
        </w:tc>
      </w:tr>
      <w:tr w:rsidR="00B24196" w:rsidRPr="00975564" w14:paraId="3172B7B9" w14:textId="77777777" w:rsidTr="00D65FE6">
        <w:tc>
          <w:tcPr>
            <w:tcW w:w="4219" w:type="dxa"/>
            <w:shd w:val="clear" w:color="auto" w:fill="auto"/>
          </w:tcPr>
          <w:p w14:paraId="47A94E79" w14:textId="77777777" w:rsidR="00B24196" w:rsidRPr="00975564" w:rsidRDefault="00B24196" w:rsidP="00D65FE6">
            <w:pPr>
              <w:rPr>
                <w:rFonts w:ascii="Times New Roman" w:eastAsia="Times New Roman" w:hAnsi="Times New Roman" w:cs="Times New Roman"/>
                <w:color w:val="000000"/>
                <w:sz w:val="20"/>
                <w:szCs w:val="20"/>
              </w:rPr>
            </w:pPr>
            <w:r w:rsidRPr="00975564">
              <w:rPr>
                <w:rFonts w:ascii="Times New Roman" w:hAnsi="Times New Roman" w:cs="Times New Roman"/>
                <w:sz w:val="20"/>
                <w:szCs w:val="20"/>
              </w:rPr>
              <w:t xml:space="preserve">2N. </w:t>
            </w:r>
            <w:r w:rsidRPr="00975564">
              <w:rPr>
                <w:rFonts w:ascii="Times New Roman" w:eastAsia="Times New Roman" w:hAnsi="Times New Roman" w:cs="Times New Roman"/>
                <w:color w:val="000000"/>
                <w:sz w:val="20"/>
                <w:szCs w:val="20"/>
              </w:rPr>
              <w:t>The public health agency’s policies describe the mandate of network partners in vertical or horizontal multi-jurisdictional response to emergencies; for example, responsibilities for different levels of government.</w:t>
            </w:r>
          </w:p>
          <w:p w14:paraId="45344D73" w14:textId="77777777" w:rsidR="00B24196" w:rsidRPr="00975564" w:rsidRDefault="00B24196" w:rsidP="00D65FE6">
            <w:pPr>
              <w:outlineLvl w:val="0"/>
              <w:rPr>
                <w:rFonts w:ascii="Times New Roman" w:hAnsi="Times New Roman" w:cs="Times New Roman"/>
                <w:sz w:val="20"/>
                <w:szCs w:val="20"/>
              </w:rPr>
            </w:pPr>
          </w:p>
        </w:tc>
        <w:tc>
          <w:tcPr>
            <w:tcW w:w="5528" w:type="dxa"/>
          </w:tcPr>
          <w:p w14:paraId="028C1849" w14:textId="77777777" w:rsidR="00B24196" w:rsidRPr="00975564" w:rsidRDefault="00B24196" w:rsidP="00D65FE6">
            <w:pPr>
              <w:numPr>
                <w:ilvl w:val="0"/>
                <w:numId w:val="8"/>
              </w:numPr>
              <w:rPr>
                <w:rFonts w:ascii="Times New Roman" w:hAnsi="Times New Roman" w:cs="Times New Roman"/>
                <w:sz w:val="20"/>
                <w:szCs w:val="20"/>
              </w:rPr>
            </w:pPr>
            <w:r w:rsidRPr="00975564">
              <w:rPr>
                <w:rFonts w:ascii="Times New Roman" w:hAnsi="Times New Roman" w:cs="Times New Roman"/>
                <w:sz w:val="20"/>
                <w:szCs w:val="20"/>
              </w:rPr>
              <w:t>Whether or not describing the mandate of network partners should be a public health agency's role versus the broader emergency management agency within the province was the focus of discussion.</w:t>
            </w:r>
          </w:p>
          <w:p w14:paraId="538C6463" w14:textId="77777777" w:rsidR="00B24196" w:rsidRPr="00975564" w:rsidRDefault="00B24196" w:rsidP="00D65FE6">
            <w:pPr>
              <w:numPr>
                <w:ilvl w:val="0"/>
                <w:numId w:val="8"/>
              </w:numPr>
              <w:rPr>
                <w:rFonts w:ascii="Times New Roman" w:hAnsi="Times New Roman" w:cs="Times New Roman"/>
                <w:sz w:val="20"/>
                <w:szCs w:val="20"/>
              </w:rPr>
            </w:pPr>
            <w:r w:rsidRPr="00975564">
              <w:rPr>
                <w:rFonts w:ascii="Times New Roman" w:hAnsi="Times New Roman" w:cs="Times New Roman"/>
                <w:sz w:val="20"/>
                <w:szCs w:val="20"/>
              </w:rPr>
              <w:t xml:space="preserve">A suggestion was made to change the wording from policies to </w:t>
            </w:r>
            <w:r w:rsidRPr="00975564">
              <w:rPr>
                <w:rFonts w:ascii="Times New Roman" w:hAnsi="Times New Roman" w:cs="Times New Roman"/>
                <w:i/>
                <w:sz w:val="20"/>
                <w:szCs w:val="20"/>
              </w:rPr>
              <w:t>plans</w:t>
            </w:r>
            <w:r w:rsidRPr="00975564">
              <w:rPr>
                <w:rFonts w:ascii="Times New Roman" w:hAnsi="Times New Roman" w:cs="Times New Roman"/>
                <w:sz w:val="20"/>
                <w:szCs w:val="20"/>
              </w:rPr>
              <w:t>.</w:t>
            </w:r>
          </w:p>
          <w:p w14:paraId="4BF408D3" w14:textId="77777777" w:rsidR="00B24196" w:rsidRPr="00975564" w:rsidRDefault="00B24196" w:rsidP="00D65FE6">
            <w:pPr>
              <w:numPr>
                <w:ilvl w:val="0"/>
                <w:numId w:val="8"/>
              </w:numPr>
              <w:rPr>
                <w:rFonts w:ascii="Times New Roman" w:hAnsi="Times New Roman" w:cs="Times New Roman"/>
                <w:sz w:val="20"/>
                <w:szCs w:val="20"/>
              </w:rPr>
            </w:pPr>
            <w:r w:rsidRPr="00975564">
              <w:rPr>
                <w:rFonts w:ascii="Times New Roman" w:hAnsi="Times New Roman" w:cs="Times New Roman"/>
                <w:sz w:val="20"/>
                <w:szCs w:val="20"/>
              </w:rPr>
              <w:lastRenderedPageBreak/>
              <w:t>The indicator was revised to state:</w:t>
            </w:r>
          </w:p>
          <w:p w14:paraId="6C0375D8" w14:textId="77777777" w:rsidR="00B24196" w:rsidRPr="00975564" w:rsidRDefault="00B24196" w:rsidP="00D65FE6">
            <w:pPr>
              <w:outlineLvl w:val="0"/>
              <w:rPr>
                <w:rFonts w:ascii="Times New Roman" w:hAnsi="Times New Roman" w:cs="Times New Roman"/>
                <w:sz w:val="20"/>
                <w:szCs w:val="20"/>
              </w:rPr>
            </w:pPr>
          </w:p>
          <w:p w14:paraId="5BCCCE96" w14:textId="77777777" w:rsidR="00B24196" w:rsidRPr="00975564" w:rsidRDefault="00B24196" w:rsidP="00D65FE6">
            <w:pPr>
              <w:outlineLvl w:val="0"/>
              <w:rPr>
                <w:rFonts w:ascii="Times New Roman" w:hAnsi="Times New Roman" w:cs="Times New Roman"/>
                <w:i/>
                <w:sz w:val="20"/>
                <w:szCs w:val="20"/>
              </w:rPr>
            </w:pPr>
            <w:bookmarkStart w:id="64" w:name="_Toc535852499"/>
            <w:bookmarkStart w:id="65" w:name="_Toc535852626"/>
            <w:bookmarkStart w:id="66" w:name="_Toc535853125"/>
            <w:r w:rsidRPr="00975564">
              <w:rPr>
                <w:rFonts w:ascii="Times New Roman" w:hAnsi="Times New Roman" w:cs="Times New Roman"/>
                <w:i/>
                <w:sz w:val="20"/>
                <w:szCs w:val="20"/>
              </w:rPr>
              <w:t>The public health agencies plans are linked to the mandate of network partners in vertical or horizontal multi-jurisdictional response to emergencies; for example, responsibilities for different levels of government.</w:t>
            </w:r>
            <w:bookmarkEnd w:id="64"/>
            <w:bookmarkEnd w:id="65"/>
            <w:bookmarkEnd w:id="66"/>
          </w:p>
        </w:tc>
        <w:tc>
          <w:tcPr>
            <w:tcW w:w="3429" w:type="dxa"/>
          </w:tcPr>
          <w:p w14:paraId="5B1E38B7" w14:textId="77777777" w:rsidR="00B24196" w:rsidRPr="00975564" w:rsidRDefault="00B24196" w:rsidP="00D65FE6">
            <w:pPr>
              <w:rPr>
                <w:rFonts w:ascii="Times New Roman" w:hAnsi="Times New Roman" w:cs="Times New Roman"/>
                <w:sz w:val="20"/>
                <w:szCs w:val="20"/>
                <w:highlight w:val="magenta"/>
              </w:rPr>
            </w:pPr>
            <w:r w:rsidRPr="00975564">
              <w:rPr>
                <w:rFonts w:ascii="Times New Roman" w:hAnsi="Times New Roman" w:cs="Times New Roman"/>
                <w:sz w:val="20"/>
                <w:szCs w:val="20"/>
              </w:rPr>
              <w:lastRenderedPageBreak/>
              <w:t xml:space="preserve">The revised indicator reached consensus of agreement for both importance and actionability. The indicator will be added to the final set of PHEP indicators. </w:t>
            </w:r>
          </w:p>
        </w:tc>
      </w:tr>
      <w:tr w:rsidR="00B24196" w:rsidRPr="00975564" w14:paraId="1DE35834" w14:textId="77777777" w:rsidTr="00D65FE6">
        <w:tc>
          <w:tcPr>
            <w:tcW w:w="4219" w:type="dxa"/>
            <w:shd w:val="clear" w:color="auto" w:fill="auto"/>
          </w:tcPr>
          <w:p w14:paraId="18FEF59F"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4N. The public health agency engages with policy-makers to address gaps in policy and/or legislation that pertain to the effectiveness of its emergency management plans and/or protocols.</w:t>
            </w:r>
          </w:p>
        </w:tc>
        <w:tc>
          <w:tcPr>
            <w:tcW w:w="5528" w:type="dxa"/>
          </w:tcPr>
          <w:p w14:paraId="08219E32" w14:textId="77777777" w:rsidR="00B24196" w:rsidRPr="00975564" w:rsidRDefault="00B24196" w:rsidP="00D65FE6">
            <w:pPr>
              <w:numPr>
                <w:ilvl w:val="0"/>
                <w:numId w:val="9"/>
              </w:numPr>
              <w:rPr>
                <w:rFonts w:ascii="Times New Roman" w:hAnsi="Times New Roman" w:cs="Times New Roman"/>
                <w:sz w:val="20"/>
                <w:szCs w:val="20"/>
              </w:rPr>
            </w:pPr>
            <w:r w:rsidRPr="00975564">
              <w:rPr>
                <w:rFonts w:ascii="Times New Roman" w:hAnsi="Times New Roman" w:cs="Times New Roman"/>
                <w:sz w:val="20"/>
                <w:szCs w:val="20"/>
              </w:rPr>
              <w:t xml:space="preserve">Discussion ensued regarding the meaning of the term </w:t>
            </w:r>
            <w:r w:rsidRPr="00975564">
              <w:rPr>
                <w:rFonts w:ascii="Times New Roman" w:hAnsi="Times New Roman" w:cs="Times New Roman"/>
                <w:i/>
                <w:sz w:val="20"/>
                <w:szCs w:val="20"/>
              </w:rPr>
              <w:t>engagement</w:t>
            </w:r>
            <w:r w:rsidRPr="00975564">
              <w:rPr>
                <w:rFonts w:ascii="Times New Roman" w:hAnsi="Times New Roman" w:cs="Times New Roman"/>
                <w:sz w:val="20"/>
                <w:szCs w:val="20"/>
              </w:rPr>
              <w:t>. Is it a matter of enabling change? Is it about raising an issue?</w:t>
            </w:r>
          </w:p>
          <w:p w14:paraId="0CBE97F1" w14:textId="77777777" w:rsidR="00B24196" w:rsidRPr="00975564" w:rsidRDefault="00B24196" w:rsidP="00D65FE6">
            <w:pPr>
              <w:numPr>
                <w:ilvl w:val="0"/>
                <w:numId w:val="9"/>
              </w:numPr>
              <w:rPr>
                <w:rFonts w:ascii="Times New Roman" w:hAnsi="Times New Roman" w:cs="Times New Roman"/>
                <w:sz w:val="20"/>
                <w:szCs w:val="20"/>
              </w:rPr>
            </w:pPr>
            <w:r w:rsidRPr="00975564">
              <w:rPr>
                <w:rFonts w:ascii="Times New Roman" w:hAnsi="Times New Roman" w:cs="Times New Roman"/>
                <w:sz w:val="20"/>
                <w:szCs w:val="20"/>
              </w:rPr>
              <w:t>The panel agreed that in principle, the indicator is actionable. The indicator requires the public health agency to engage or communicate with policy makers to address gaps.</w:t>
            </w:r>
          </w:p>
        </w:tc>
        <w:tc>
          <w:tcPr>
            <w:tcW w:w="3429" w:type="dxa"/>
          </w:tcPr>
          <w:p w14:paraId="06D7BFBD" w14:textId="77777777" w:rsidR="00B24196" w:rsidRPr="00975564" w:rsidRDefault="00B24196" w:rsidP="00D65FE6">
            <w:pPr>
              <w:rPr>
                <w:rFonts w:ascii="Times New Roman" w:hAnsi="Times New Roman" w:cs="Times New Roman"/>
                <w:sz w:val="20"/>
                <w:szCs w:val="20"/>
                <w:highlight w:val="magenta"/>
              </w:rPr>
            </w:pPr>
            <w:r w:rsidRPr="00975564">
              <w:rPr>
                <w:rFonts w:ascii="Times New Roman" w:hAnsi="Times New Roman" w:cs="Times New Roman"/>
                <w:sz w:val="20"/>
                <w:szCs w:val="20"/>
              </w:rPr>
              <w:t>The indicator reached consensus of agreement for both importance and actionability. The indicator will be added to the final set of PHEP indicators.</w:t>
            </w:r>
          </w:p>
        </w:tc>
      </w:tr>
      <w:tr w:rsidR="00B24196" w:rsidRPr="00975564" w14:paraId="13E1CD69" w14:textId="77777777" w:rsidTr="00D65FE6">
        <w:tc>
          <w:tcPr>
            <w:tcW w:w="4219" w:type="dxa"/>
          </w:tcPr>
          <w:p w14:paraId="35BB929E"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5N. Provincial/territorial authorities and local/regional public health agencies jointly develop policies and/or structures defining the agency mandate in public health emergency management.</w:t>
            </w:r>
          </w:p>
          <w:p w14:paraId="77F47510" w14:textId="77777777" w:rsidR="00B24196" w:rsidRPr="00975564" w:rsidRDefault="00B24196" w:rsidP="00D65FE6">
            <w:pPr>
              <w:outlineLvl w:val="0"/>
              <w:rPr>
                <w:rFonts w:ascii="Times New Roman" w:hAnsi="Times New Roman" w:cs="Times New Roman"/>
                <w:sz w:val="20"/>
                <w:szCs w:val="20"/>
              </w:rPr>
            </w:pPr>
          </w:p>
        </w:tc>
        <w:tc>
          <w:tcPr>
            <w:tcW w:w="5528" w:type="dxa"/>
          </w:tcPr>
          <w:p w14:paraId="783BD375" w14:textId="77777777" w:rsidR="00B24196" w:rsidRPr="00975564" w:rsidRDefault="00B24196" w:rsidP="00D65FE6">
            <w:pPr>
              <w:numPr>
                <w:ilvl w:val="0"/>
                <w:numId w:val="10"/>
              </w:numPr>
              <w:rPr>
                <w:rFonts w:ascii="Times New Roman" w:hAnsi="Times New Roman" w:cs="Times New Roman"/>
                <w:sz w:val="20"/>
                <w:szCs w:val="20"/>
              </w:rPr>
            </w:pPr>
            <w:r w:rsidRPr="00975564">
              <w:rPr>
                <w:rFonts w:ascii="Times New Roman" w:hAnsi="Times New Roman" w:cs="Times New Roman"/>
                <w:sz w:val="20"/>
                <w:szCs w:val="20"/>
              </w:rPr>
              <w:t>Policy development regarding mandates for public health emergency management is the responsibility of the provincial/territorial authorities, not the responsibility of local/regional public health agencies.</w:t>
            </w:r>
          </w:p>
        </w:tc>
        <w:tc>
          <w:tcPr>
            <w:tcW w:w="3429" w:type="dxa"/>
          </w:tcPr>
          <w:p w14:paraId="2A2C1808"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 xml:space="preserve">The indicator reach consensus for agreement of importance but not actionability. The indicator will not be included in the final indicator set. This indicator will continue to be reviewed in future research. </w:t>
            </w:r>
          </w:p>
          <w:p w14:paraId="78A2AD5D" w14:textId="77777777" w:rsidR="00B24196" w:rsidRPr="00975564" w:rsidRDefault="00B24196" w:rsidP="00D65FE6">
            <w:pPr>
              <w:rPr>
                <w:rFonts w:ascii="Times New Roman" w:hAnsi="Times New Roman" w:cs="Times New Roman"/>
                <w:sz w:val="20"/>
                <w:szCs w:val="20"/>
              </w:rPr>
            </w:pPr>
          </w:p>
        </w:tc>
      </w:tr>
      <w:tr w:rsidR="00B24196" w:rsidRPr="00975564" w14:paraId="720E6822" w14:textId="77777777" w:rsidTr="00D65FE6">
        <w:tc>
          <w:tcPr>
            <w:tcW w:w="4219" w:type="dxa"/>
          </w:tcPr>
          <w:p w14:paraId="5891FC1A"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7N. The public health agency has mechanisms to secure or reallocate financial resources to support response to and recovery from an emergency.</w:t>
            </w:r>
          </w:p>
        </w:tc>
        <w:tc>
          <w:tcPr>
            <w:tcW w:w="5528" w:type="dxa"/>
          </w:tcPr>
          <w:p w14:paraId="73814BCE" w14:textId="77777777" w:rsidR="00B24196" w:rsidRPr="00975564" w:rsidRDefault="00B24196" w:rsidP="00D65FE6">
            <w:pPr>
              <w:numPr>
                <w:ilvl w:val="0"/>
                <w:numId w:val="10"/>
              </w:numPr>
              <w:rPr>
                <w:rFonts w:ascii="Times New Roman" w:hAnsi="Times New Roman" w:cs="Times New Roman"/>
                <w:sz w:val="20"/>
                <w:szCs w:val="20"/>
              </w:rPr>
            </w:pPr>
            <w:r w:rsidRPr="00975564">
              <w:rPr>
                <w:rFonts w:ascii="Times New Roman" w:hAnsi="Times New Roman" w:cs="Times New Roman"/>
                <w:sz w:val="20"/>
                <w:szCs w:val="20"/>
              </w:rPr>
              <w:t>There is a challenge in reallocating financial resources within the government.</w:t>
            </w:r>
          </w:p>
          <w:p w14:paraId="42462049" w14:textId="77777777" w:rsidR="00B24196" w:rsidRPr="00975564" w:rsidRDefault="00B24196" w:rsidP="00D65FE6">
            <w:pPr>
              <w:numPr>
                <w:ilvl w:val="0"/>
                <w:numId w:val="10"/>
              </w:numPr>
              <w:rPr>
                <w:rFonts w:ascii="Times New Roman" w:hAnsi="Times New Roman" w:cs="Times New Roman"/>
                <w:sz w:val="20"/>
                <w:szCs w:val="20"/>
              </w:rPr>
            </w:pPr>
            <w:r w:rsidRPr="00975564">
              <w:rPr>
                <w:rFonts w:ascii="Times New Roman" w:hAnsi="Times New Roman" w:cs="Times New Roman"/>
                <w:sz w:val="20"/>
                <w:szCs w:val="20"/>
              </w:rPr>
              <w:t xml:space="preserve">The mechanism is fundamentally provincial/territorial, or at times, a federal responsibility. </w:t>
            </w:r>
          </w:p>
          <w:p w14:paraId="17517381" w14:textId="77777777" w:rsidR="00B24196" w:rsidRPr="00975564" w:rsidRDefault="00B24196" w:rsidP="00D65FE6">
            <w:pPr>
              <w:numPr>
                <w:ilvl w:val="0"/>
                <w:numId w:val="10"/>
              </w:numPr>
              <w:rPr>
                <w:rFonts w:ascii="Times New Roman" w:hAnsi="Times New Roman" w:cs="Times New Roman"/>
                <w:sz w:val="20"/>
                <w:szCs w:val="20"/>
              </w:rPr>
            </w:pPr>
            <w:r w:rsidRPr="00975564">
              <w:rPr>
                <w:rFonts w:ascii="Times New Roman" w:hAnsi="Times New Roman" w:cs="Times New Roman"/>
                <w:sz w:val="20"/>
                <w:szCs w:val="20"/>
              </w:rPr>
              <w:t xml:space="preserve">A health agency does not have control over its own finance mechanisms. The mechanisms are in the control of external entities. </w:t>
            </w:r>
          </w:p>
          <w:p w14:paraId="2AC8CD51" w14:textId="77777777" w:rsidR="00B24196" w:rsidRPr="00975564" w:rsidRDefault="00B24196" w:rsidP="00D65FE6">
            <w:pPr>
              <w:numPr>
                <w:ilvl w:val="0"/>
                <w:numId w:val="10"/>
              </w:numPr>
              <w:rPr>
                <w:rFonts w:ascii="Times New Roman" w:hAnsi="Times New Roman" w:cs="Times New Roman"/>
                <w:sz w:val="20"/>
                <w:szCs w:val="20"/>
              </w:rPr>
            </w:pPr>
            <w:r w:rsidRPr="00975564">
              <w:rPr>
                <w:rFonts w:ascii="Times New Roman" w:hAnsi="Times New Roman" w:cs="Times New Roman"/>
                <w:sz w:val="20"/>
                <w:szCs w:val="20"/>
              </w:rPr>
              <w:t xml:space="preserve">There are accountabilities and explanations that have to be made in long-term requests for provincial monies; however, in the short-term, there are opportunities to reallocate finances. </w:t>
            </w:r>
          </w:p>
        </w:tc>
        <w:tc>
          <w:tcPr>
            <w:tcW w:w="3429" w:type="dxa"/>
          </w:tcPr>
          <w:p w14:paraId="747971C4" w14:textId="77777777" w:rsidR="00B24196" w:rsidRPr="00975564" w:rsidRDefault="00B24196" w:rsidP="00D65FE6">
            <w:pPr>
              <w:outlineLvl w:val="0"/>
              <w:rPr>
                <w:rFonts w:ascii="Times New Roman" w:hAnsi="Times New Roman" w:cs="Times New Roman"/>
                <w:sz w:val="20"/>
                <w:szCs w:val="20"/>
                <w:highlight w:val="magenta"/>
              </w:rPr>
            </w:pPr>
            <w:bookmarkStart w:id="67" w:name="_Toc535852500"/>
            <w:bookmarkStart w:id="68" w:name="_Toc535852627"/>
            <w:bookmarkStart w:id="69" w:name="_Toc535853126"/>
            <w:r w:rsidRPr="00975564">
              <w:rPr>
                <w:rFonts w:ascii="Times New Roman" w:hAnsi="Times New Roman" w:cs="Times New Roman"/>
                <w:sz w:val="20"/>
                <w:szCs w:val="20"/>
              </w:rPr>
              <w:t>The indicator reached consensus of agreement for both importance and actionability. The indicator will be added to the final set of PHEP indicators.</w:t>
            </w:r>
            <w:bookmarkEnd w:id="67"/>
            <w:bookmarkEnd w:id="68"/>
            <w:bookmarkEnd w:id="69"/>
          </w:p>
        </w:tc>
      </w:tr>
      <w:tr w:rsidR="00B24196" w:rsidRPr="00975564" w14:paraId="07C7BDDF" w14:textId="77777777" w:rsidTr="00D65FE6">
        <w:tc>
          <w:tcPr>
            <w:tcW w:w="4219" w:type="dxa"/>
          </w:tcPr>
          <w:p w14:paraId="2DBDCAFA" w14:textId="77777777" w:rsidR="00B24196" w:rsidRPr="00975564" w:rsidRDefault="00B24196" w:rsidP="00D65FE6">
            <w:pPr>
              <w:rPr>
                <w:rFonts w:ascii="Times New Roman" w:eastAsia="Times New Roman" w:hAnsi="Times New Roman" w:cs="Times New Roman"/>
                <w:color w:val="000000"/>
                <w:sz w:val="20"/>
                <w:szCs w:val="20"/>
              </w:rPr>
            </w:pPr>
            <w:r w:rsidRPr="00975564">
              <w:rPr>
                <w:rFonts w:ascii="Times New Roman" w:hAnsi="Times New Roman" w:cs="Times New Roman"/>
                <w:sz w:val="20"/>
                <w:szCs w:val="20"/>
              </w:rPr>
              <w:t>8N. The public health agency and its network partners have demonstrated shared understanding of roles, responsibilities and procedures relevant to the emergency context. This understanding may be demonstrated, for instance, during real or simulated emergencies. Network partners may include partners within or outside the health sector and vertical or horizontal partners, based on the agency context.</w:t>
            </w:r>
          </w:p>
        </w:tc>
        <w:tc>
          <w:tcPr>
            <w:tcW w:w="5528" w:type="dxa"/>
          </w:tcPr>
          <w:p w14:paraId="65209E94" w14:textId="77777777" w:rsidR="00B24196" w:rsidRPr="00975564" w:rsidRDefault="00B24196" w:rsidP="00D65FE6">
            <w:pPr>
              <w:numPr>
                <w:ilvl w:val="0"/>
                <w:numId w:val="11"/>
              </w:numPr>
              <w:rPr>
                <w:rFonts w:ascii="Times New Roman" w:hAnsi="Times New Roman" w:cs="Times New Roman"/>
                <w:sz w:val="20"/>
                <w:szCs w:val="20"/>
              </w:rPr>
            </w:pPr>
            <w:r w:rsidRPr="00975564">
              <w:rPr>
                <w:rFonts w:ascii="Times New Roman" w:hAnsi="Times New Roman" w:cs="Times New Roman"/>
                <w:sz w:val="20"/>
                <w:szCs w:val="20"/>
              </w:rPr>
              <w:t xml:space="preserve">The dependency on others to demonstrate an understanding is impacting the criteria of actionability. What a network partner can demonstrate is out of the control of a public health agency.  </w:t>
            </w:r>
          </w:p>
        </w:tc>
        <w:tc>
          <w:tcPr>
            <w:tcW w:w="3429" w:type="dxa"/>
          </w:tcPr>
          <w:p w14:paraId="2F7071BA"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t>This indicator was deemed to be important but did not reach the necessary level of consensus of agreement for actionability. Future research will consider the interdependency of network relationships and how this may impact joint undertakings in PHEP activities. The indicator will not be included in the final indicator set.</w:t>
            </w:r>
          </w:p>
        </w:tc>
      </w:tr>
      <w:tr w:rsidR="00B24196" w:rsidRPr="00975564" w14:paraId="30DA26E5" w14:textId="77777777" w:rsidTr="00D65FE6">
        <w:tc>
          <w:tcPr>
            <w:tcW w:w="4219" w:type="dxa"/>
          </w:tcPr>
          <w:p w14:paraId="14CBCA90" w14:textId="77777777" w:rsidR="00B24196" w:rsidRPr="00975564" w:rsidRDefault="00B24196" w:rsidP="00D65FE6">
            <w:pPr>
              <w:rPr>
                <w:rFonts w:ascii="Times New Roman" w:hAnsi="Times New Roman" w:cs="Times New Roman"/>
                <w:sz w:val="20"/>
                <w:szCs w:val="20"/>
              </w:rPr>
            </w:pPr>
            <w:r w:rsidRPr="00975564">
              <w:rPr>
                <w:rFonts w:ascii="Times New Roman" w:hAnsi="Times New Roman" w:cs="Times New Roman"/>
                <w:sz w:val="20"/>
                <w:szCs w:val="20"/>
              </w:rPr>
              <w:lastRenderedPageBreak/>
              <w:t xml:space="preserve">9N. </w:t>
            </w:r>
            <w:r w:rsidRPr="00975564">
              <w:rPr>
                <w:rFonts w:ascii="Times New Roman" w:hAnsi="Times New Roman" w:cs="Times New Roman"/>
                <w:bCs/>
                <w:sz w:val="20"/>
                <w:szCs w:val="20"/>
              </w:rPr>
              <w:t>Mutual aid agreements are in place between the public health agency and network partners outside the health sector that describe how resources and/or services will be shared during an emergency, including meeting demands for surge capacity. For example, non-governmental organizations such as the Red Cross.</w:t>
            </w:r>
          </w:p>
        </w:tc>
        <w:tc>
          <w:tcPr>
            <w:tcW w:w="5528" w:type="dxa"/>
          </w:tcPr>
          <w:p w14:paraId="6926B2C7" w14:textId="77777777" w:rsidR="00B24196" w:rsidRPr="00975564" w:rsidRDefault="00B24196" w:rsidP="00D65FE6">
            <w:pPr>
              <w:numPr>
                <w:ilvl w:val="0"/>
                <w:numId w:val="12"/>
              </w:numPr>
              <w:rPr>
                <w:rFonts w:ascii="Times New Roman" w:hAnsi="Times New Roman" w:cs="Times New Roman"/>
                <w:sz w:val="20"/>
                <w:szCs w:val="20"/>
              </w:rPr>
            </w:pPr>
            <w:r w:rsidRPr="00975564">
              <w:rPr>
                <w:rFonts w:ascii="Times New Roman" w:hAnsi="Times New Roman" w:cs="Times New Roman"/>
                <w:sz w:val="20"/>
                <w:szCs w:val="20"/>
              </w:rPr>
              <w:t>Ensuring that there is access to a mutual aid agreement is important, but it is not necessarily between the agency and its partners. A mutual aid agreement may be between the municipality and the public health agency, or between the agency and another entity that the agency is part of.</w:t>
            </w:r>
          </w:p>
          <w:p w14:paraId="0CA56C8A" w14:textId="77777777" w:rsidR="00B24196" w:rsidRPr="00975564" w:rsidRDefault="00B24196" w:rsidP="00D65FE6">
            <w:pPr>
              <w:numPr>
                <w:ilvl w:val="0"/>
                <w:numId w:val="12"/>
              </w:numPr>
              <w:rPr>
                <w:rFonts w:ascii="Times New Roman" w:hAnsi="Times New Roman" w:cs="Times New Roman"/>
                <w:sz w:val="20"/>
                <w:szCs w:val="20"/>
              </w:rPr>
            </w:pPr>
            <w:r w:rsidRPr="00975564">
              <w:rPr>
                <w:rFonts w:ascii="Times New Roman" w:hAnsi="Times New Roman" w:cs="Times New Roman"/>
                <w:sz w:val="20"/>
                <w:szCs w:val="20"/>
              </w:rPr>
              <w:t>It's really important for the system, but it's not actionable at the local level.</w:t>
            </w:r>
          </w:p>
          <w:p w14:paraId="4141A15B" w14:textId="77777777" w:rsidR="00B24196" w:rsidRPr="00975564" w:rsidRDefault="00B24196" w:rsidP="00D65FE6">
            <w:pPr>
              <w:numPr>
                <w:ilvl w:val="0"/>
                <w:numId w:val="12"/>
              </w:numPr>
              <w:rPr>
                <w:rFonts w:ascii="Times New Roman" w:hAnsi="Times New Roman" w:cs="Times New Roman"/>
                <w:sz w:val="20"/>
                <w:szCs w:val="20"/>
              </w:rPr>
            </w:pPr>
            <w:r w:rsidRPr="00975564">
              <w:rPr>
                <w:rFonts w:ascii="Times New Roman" w:hAnsi="Times New Roman" w:cs="Times New Roman"/>
                <w:sz w:val="20"/>
                <w:szCs w:val="20"/>
              </w:rPr>
              <w:t>The indicator speaks to the difficulty in disentangling the responsibilities and the role of a public health agency within a very interdependent system.</w:t>
            </w:r>
          </w:p>
        </w:tc>
        <w:tc>
          <w:tcPr>
            <w:tcW w:w="3429" w:type="dxa"/>
          </w:tcPr>
          <w:p w14:paraId="0DD7F4E1" w14:textId="77777777" w:rsidR="00B24196" w:rsidRPr="00975564" w:rsidRDefault="00B24196" w:rsidP="00D65FE6">
            <w:pPr>
              <w:rPr>
                <w:rFonts w:ascii="Times New Roman" w:hAnsi="Times New Roman" w:cs="Times New Roman"/>
                <w:sz w:val="20"/>
                <w:szCs w:val="20"/>
                <w:highlight w:val="yellow"/>
              </w:rPr>
            </w:pPr>
            <w:r w:rsidRPr="00975564">
              <w:rPr>
                <w:rFonts w:ascii="Times New Roman" w:hAnsi="Times New Roman" w:cs="Times New Roman"/>
                <w:sz w:val="20"/>
                <w:szCs w:val="20"/>
              </w:rPr>
              <w:t>The indicator obtained the level of consensus for agreement of importance but was deemed to not be actionable. Future research will explore the function of mutual aid agreements regarding sharing of resources/services and which jurisdictional level this responsibility pertains to. The indicator will not be included in the final indicator set.</w:t>
            </w:r>
          </w:p>
        </w:tc>
      </w:tr>
      <w:tr w:rsidR="00B24196" w:rsidRPr="00975564" w14:paraId="46AB656D" w14:textId="77777777" w:rsidTr="00D65FE6">
        <w:trPr>
          <w:trHeight w:val="561"/>
        </w:trPr>
        <w:tc>
          <w:tcPr>
            <w:tcW w:w="4219" w:type="dxa"/>
          </w:tcPr>
          <w:p w14:paraId="3C12D9C9" w14:textId="77777777" w:rsidR="00B24196" w:rsidRPr="00975564" w:rsidRDefault="00B24196" w:rsidP="00D65FE6">
            <w:pPr>
              <w:rPr>
                <w:rFonts w:ascii="Times New Roman" w:eastAsia="Times New Roman" w:hAnsi="Times New Roman" w:cs="Times New Roman"/>
                <w:sz w:val="20"/>
                <w:szCs w:val="20"/>
              </w:rPr>
            </w:pPr>
            <w:r w:rsidRPr="00975564">
              <w:rPr>
                <w:rFonts w:ascii="Times New Roman" w:eastAsia="Calibri" w:hAnsi="Times New Roman" w:cs="Times New Roman"/>
                <w:sz w:val="20"/>
                <w:szCs w:val="20"/>
              </w:rPr>
              <w:t>52. Local/regional laboratories (e.g., commercial and/or hospital) have the capability for timely reporting of results to the public health agency for surveillance relevant to public health emergencies.</w:t>
            </w:r>
          </w:p>
        </w:tc>
        <w:tc>
          <w:tcPr>
            <w:tcW w:w="5528" w:type="dxa"/>
          </w:tcPr>
          <w:p w14:paraId="3A39CF82" w14:textId="77777777" w:rsidR="00B24196" w:rsidRPr="00975564" w:rsidRDefault="00B24196" w:rsidP="00D65FE6">
            <w:pPr>
              <w:numPr>
                <w:ilvl w:val="0"/>
                <w:numId w:val="13"/>
              </w:numPr>
              <w:rPr>
                <w:rFonts w:ascii="Times New Roman" w:hAnsi="Times New Roman" w:cs="Times New Roman"/>
                <w:sz w:val="20"/>
                <w:szCs w:val="20"/>
              </w:rPr>
            </w:pPr>
            <w:r w:rsidRPr="00975564">
              <w:rPr>
                <w:rFonts w:ascii="Times New Roman" w:hAnsi="Times New Roman" w:cs="Times New Roman"/>
                <w:sz w:val="20"/>
                <w:szCs w:val="20"/>
              </w:rPr>
              <w:t xml:space="preserve">The legislative framework for surveillance reporting and privacy is at the authority level of the province. </w:t>
            </w:r>
          </w:p>
          <w:p w14:paraId="56DA7FBF" w14:textId="77777777" w:rsidR="00B24196" w:rsidRPr="00975564" w:rsidRDefault="00B24196" w:rsidP="00D65FE6">
            <w:pPr>
              <w:numPr>
                <w:ilvl w:val="0"/>
                <w:numId w:val="13"/>
              </w:numPr>
              <w:rPr>
                <w:rFonts w:ascii="Times New Roman" w:hAnsi="Times New Roman" w:cs="Times New Roman"/>
                <w:sz w:val="20"/>
                <w:szCs w:val="20"/>
              </w:rPr>
            </w:pPr>
            <w:r w:rsidRPr="00975564">
              <w:rPr>
                <w:rFonts w:ascii="Times New Roman" w:hAnsi="Times New Roman" w:cs="Times New Roman"/>
                <w:sz w:val="20"/>
                <w:szCs w:val="20"/>
              </w:rPr>
              <w:t xml:space="preserve">There is potential to develop a separate indicator around the timeliness of reporting by labs. </w:t>
            </w:r>
          </w:p>
          <w:p w14:paraId="1763B435" w14:textId="77777777" w:rsidR="00B24196" w:rsidRPr="00975564" w:rsidRDefault="00B24196" w:rsidP="00D65FE6">
            <w:pPr>
              <w:rPr>
                <w:rFonts w:ascii="Times New Roman" w:eastAsia="Times New Roman" w:hAnsi="Times New Roman" w:cs="Times New Roman"/>
                <w:sz w:val="20"/>
                <w:szCs w:val="20"/>
              </w:rPr>
            </w:pPr>
          </w:p>
        </w:tc>
        <w:tc>
          <w:tcPr>
            <w:tcW w:w="3429" w:type="dxa"/>
          </w:tcPr>
          <w:p w14:paraId="6705055B" w14:textId="77777777" w:rsidR="00B24196" w:rsidRPr="00975564" w:rsidRDefault="00B24196" w:rsidP="00D65FE6">
            <w:pPr>
              <w:rPr>
                <w:rFonts w:ascii="Times New Roman" w:hAnsi="Times New Roman" w:cs="Times New Roman"/>
                <w:sz w:val="20"/>
                <w:szCs w:val="20"/>
                <w:highlight w:val="yellow"/>
              </w:rPr>
            </w:pPr>
            <w:r w:rsidRPr="00975564">
              <w:rPr>
                <w:rFonts w:ascii="Times New Roman" w:hAnsi="Times New Roman" w:cs="Times New Roman"/>
                <w:sz w:val="20"/>
                <w:szCs w:val="20"/>
              </w:rPr>
              <w:t>The panel was unanimous that the indicator was important; however, not all members agreed that the indicator was actionable at the local/regional level. Future research will focus on timely reporting by local/regional laboratories. The indicator will not be included in the final indicator set.</w:t>
            </w:r>
          </w:p>
        </w:tc>
      </w:tr>
    </w:tbl>
    <w:p w14:paraId="385ED99E" w14:textId="77777777" w:rsidR="00B24196" w:rsidRPr="00975564" w:rsidRDefault="00B24196" w:rsidP="00B24196">
      <w:pPr>
        <w:outlineLvl w:val="0"/>
        <w:rPr>
          <w:rFonts w:ascii="Times New Roman" w:eastAsiaTheme="minorEastAsia" w:hAnsi="Times New Roman" w:cs="Times New Roman"/>
          <w:sz w:val="20"/>
          <w:szCs w:val="20"/>
          <w:lang w:eastAsia="en-CA"/>
        </w:rPr>
      </w:pPr>
    </w:p>
    <w:p w14:paraId="29CF6621" w14:textId="77777777" w:rsidR="00B24196" w:rsidRPr="00975564" w:rsidRDefault="00B24196" w:rsidP="00B24196"/>
    <w:p w14:paraId="34EC0DB0" w14:textId="77777777" w:rsidR="00B24196" w:rsidRPr="00975564" w:rsidRDefault="00B24196" w:rsidP="00975564">
      <w:pPr>
        <w:rPr>
          <w:rFonts w:ascii="Times New Roman" w:eastAsiaTheme="minorEastAsia" w:hAnsi="Times New Roman" w:cs="Times New Roman"/>
          <w:sz w:val="20"/>
          <w:szCs w:val="20"/>
          <w:lang w:eastAsia="en-CA"/>
        </w:rPr>
      </w:pPr>
    </w:p>
    <w:sectPr w:rsidR="00B24196" w:rsidRPr="00975564" w:rsidSect="00724CBD">
      <w:footerReference w:type="default" r:id="rId12"/>
      <w:footerReference w:type="first" r:id="rId13"/>
      <w:pgSz w:w="15840" w:h="12240"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D8876" w14:textId="77777777" w:rsidR="00C202B7" w:rsidRDefault="00C202B7" w:rsidP="00CD017D">
      <w:pPr>
        <w:spacing w:after="0" w:line="240" w:lineRule="auto"/>
      </w:pPr>
      <w:r>
        <w:separator/>
      </w:r>
    </w:p>
  </w:endnote>
  <w:endnote w:type="continuationSeparator" w:id="0">
    <w:p w14:paraId="7DB804B0" w14:textId="77777777" w:rsidR="00C202B7" w:rsidRDefault="00C202B7" w:rsidP="00CD0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808552"/>
      <w:docPartObj>
        <w:docPartGallery w:val="Page Numbers (Bottom of Page)"/>
        <w:docPartUnique/>
      </w:docPartObj>
    </w:sdtPr>
    <w:sdtEndPr>
      <w:rPr>
        <w:rFonts w:ascii="Times New Roman" w:hAnsi="Times New Roman" w:cs="Times New Roman"/>
        <w:noProof/>
      </w:rPr>
    </w:sdtEndPr>
    <w:sdtContent>
      <w:p w14:paraId="7F671728" w14:textId="77777777" w:rsidR="00D65FE6" w:rsidRPr="00724CBD" w:rsidRDefault="00D65FE6">
        <w:pPr>
          <w:pStyle w:val="Footer"/>
          <w:jc w:val="right"/>
          <w:rPr>
            <w:rFonts w:ascii="Times New Roman" w:hAnsi="Times New Roman" w:cs="Times New Roman"/>
          </w:rPr>
        </w:pPr>
        <w:r w:rsidRPr="00724CBD">
          <w:rPr>
            <w:rFonts w:ascii="Times New Roman" w:hAnsi="Times New Roman" w:cs="Times New Roman"/>
          </w:rPr>
          <w:fldChar w:fldCharType="begin"/>
        </w:r>
        <w:r w:rsidRPr="00724CBD">
          <w:rPr>
            <w:rFonts w:ascii="Times New Roman" w:hAnsi="Times New Roman" w:cs="Times New Roman"/>
          </w:rPr>
          <w:instrText xml:space="preserve"> PAGE   \* MERGEFORMAT </w:instrText>
        </w:r>
        <w:r w:rsidRPr="00724CBD">
          <w:rPr>
            <w:rFonts w:ascii="Times New Roman" w:hAnsi="Times New Roman" w:cs="Times New Roman"/>
          </w:rPr>
          <w:fldChar w:fldCharType="separate"/>
        </w:r>
        <w:r w:rsidR="00887994">
          <w:rPr>
            <w:rFonts w:ascii="Times New Roman" w:hAnsi="Times New Roman" w:cs="Times New Roman"/>
            <w:noProof/>
          </w:rPr>
          <w:t>2</w:t>
        </w:r>
        <w:r w:rsidRPr="00724CBD">
          <w:rPr>
            <w:rFonts w:ascii="Times New Roman" w:hAnsi="Times New Roman" w:cs="Times New Roman"/>
            <w:noProof/>
          </w:rPr>
          <w:fldChar w:fldCharType="end"/>
        </w:r>
      </w:p>
    </w:sdtContent>
  </w:sdt>
  <w:p w14:paraId="30F067E5" w14:textId="77777777" w:rsidR="00D65FE6" w:rsidRDefault="00D65F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801678"/>
      <w:docPartObj>
        <w:docPartGallery w:val="Page Numbers (Bottom of Page)"/>
        <w:docPartUnique/>
      </w:docPartObj>
    </w:sdtPr>
    <w:sdtEndPr>
      <w:rPr>
        <w:noProof/>
      </w:rPr>
    </w:sdtEndPr>
    <w:sdtContent>
      <w:p w14:paraId="3E0AFAD2" w14:textId="77777777" w:rsidR="00D65FE6" w:rsidRDefault="00D65FE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6451298" w14:textId="77777777" w:rsidR="00D65FE6" w:rsidRPr="009E1F26" w:rsidRDefault="00D65FE6" w:rsidP="00975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38B0C" w14:textId="77777777" w:rsidR="00C202B7" w:rsidRDefault="00C202B7" w:rsidP="00CD017D">
      <w:pPr>
        <w:spacing w:after="0" w:line="240" w:lineRule="auto"/>
      </w:pPr>
      <w:r>
        <w:separator/>
      </w:r>
    </w:p>
  </w:footnote>
  <w:footnote w:type="continuationSeparator" w:id="0">
    <w:p w14:paraId="42744096" w14:textId="77777777" w:rsidR="00C202B7" w:rsidRDefault="00C202B7" w:rsidP="00CD0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719BA"/>
    <w:multiLevelType w:val="hybridMultilevel"/>
    <w:tmpl w:val="76DA1B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6217F85"/>
    <w:multiLevelType w:val="hybridMultilevel"/>
    <w:tmpl w:val="D0BC59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8A46352"/>
    <w:multiLevelType w:val="hybridMultilevel"/>
    <w:tmpl w:val="322897CC"/>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93F135C"/>
    <w:multiLevelType w:val="hybridMultilevel"/>
    <w:tmpl w:val="FD44CE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DFF4DA1"/>
    <w:multiLevelType w:val="hybridMultilevel"/>
    <w:tmpl w:val="488220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75F7984"/>
    <w:multiLevelType w:val="hybridMultilevel"/>
    <w:tmpl w:val="C47ECD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8030691"/>
    <w:multiLevelType w:val="hybridMultilevel"/>
    <w:tmpl w:val="5FF00D32"/>
    <w:lvl w:ilvl="0" w:tplc="AD9A8CDA">
      <w:start w:val="1"/>
      <w:numFmt w:val="decimal"/>
      <w:lvlText w:val="%1."/>
      <w:lvlJc w:val="left"/>
      <w:pPr>
        <w:ind w:left="360" w:hanging="360"/>
      </w:pPr>
      <w:rPr>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413A0A08"/>
    <w:multiLevelType w:val="hybridMultilevel"/>
    <w:tmpl w:val="E4B0E2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14405EE"/>
    <w:multiLevelType w:val="hybridMultilevel"/>
    <w:tmpl w:val="6726A7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9B71787"/>
    <w:multiLevelType w:val="hybridMultilevel"/>
    <w:tmpl w:val="B54C9B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1C64656"/>
    <w:multiLevelType w:val="hybridMultilevel"/>
    <w:tmpl w:val="4DF4F88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7A3766E0"/>
    <w:multiLevelType w:val="hybridMultilevel"/>
    <w:tmpl w:val="C2A4A2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B3C7F1F"/>
    <w:multiLevelType w:val="hybridMultilevel"/>
    <w:tmpl w:val="5F6ABCB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0"/>
  </w:num>
  <w:num w:numId="2">
    <w:abstractNumId w:val="6"/>
  </w:num>
  <w:num w:numId="3">
    <w:abstractNumId w:val="2"/>
  </w:num>
  <w:num w:numId="4">
    <w:abstractNumId w:val="12"/>
  </w:num>
  <w:num w:numId="5">
    <w:abstractNumId w:val="0"/>
  </w:num>
  <w:num w:numId="6">
    <w:abstractNumId w:val="5"/>
  </w:num>
  <w:num w:numId="7">
    <w:abstractNumId w:val="9"/>
  </w:num>
  <w:num w:numId="8">
    <w:abstractNumId w:val="3"/>
  </w:num>
  <w:num w:numId="9">
    <w:abstractNumId w:val="8"/>
  </w:num>
  <w:num w:numId="10">
    <w:abstractNumId w:val="7"/>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BF"/>
    <w:rsid w:val="000018D6"/>
    <w:rsid w:val="000023F4"/>
    <w:rsid w:val="00002FCA"/>
    <w:rsid w:val="00003F04"/>
    <w:rsid w:val="00015520"/>
    <w:rsid w:val="0002414B"/>
    <w:rsid w:val="00030857"/>
    <w:rsid w:val="000316E1"/>
    <w:rsid w:val="000328B4"/>
    <w:rsid w:val="000404AA"/>
    <w:rsid w:val="000408FE"/>
    <w:rsid w:val="00040E37"/>
    <w:rsid w:val="00041D84"/>
    <w:rsid w:val="000443DD"/>
    <w:rsid w:val="00047320"/>
    <w:rsid w:val="00052585"/>
    <w:rsid w:val="000713FD"/>
    <w:rsid w:val="00072466"/>
    <w:rsid w:val="0007289F"/>
    <w:rsid w:val="00073277"/>
    <w:rsid w:val="000742C6"/>
    <w:rsid w:val="0007521F"/>
    <w:rsid w:val="00083659"/>
    <w:rsid w:val="00086A8D"/>
    <w:rsid w:val="0009133B"/>
    <w:rsid w:val="00095909"/>
    <w:rsid w:val="000A590D"/>
    <w:rsid w:val="000A5F27"/>
    <w:rsid w:val="000A7075"/>
    <w:rsid w:val="000A70A7"/>
    <w:rsid w:val="000C0091"/>
    <w:rsid w:val="000C0D4F"/>
    <w:rsid w:val="000C1364"/>
    <w:rsid w:val="000C2236"/>
    <w:rsid w:val="000C273B"/>
    <w:rsid w:val="000C4A63"/>
    <w:rsid w:val="000D06E6"/>
    <w:rsid w:val="000D24D3"/>
    <w:rsid w:val="000D2F93"/>
    <w:rsid w:val="000D5385"/>
    <w:rsid w:val="000D6283"/>
    <w:rsid w:val="000E02E7"/>
    <w:rsid w:val="000E11C4"/>
    <w:rsid w:val="000E6882"/>
    <w:rsid w:val="000F3163"/>
    <w:rsid w:val="00102BFF"/>
    <w:rsid w:val="00104A6C"/>
    <w:rsid w:val="00106A4D"/>
    <w:rsid w:val="00107431"/>
    <w:rsid w:val="00111472"/>
    <w:rsid w:val="001116FF"/>
    <w:rsid w:val="00121742"/>
    <w:rsid w:val="001269C2"/>
    <w:rsid w:val="00126F02"/>
    <w:rsid w:val="001323CF"/>
    <w:rsid w:val="00133D3C"/>
    <w:rsid w:val="001356CA"/>
    <w:rsid w:val="00137E96"/>
    <w:rsid w:val="001403B7"/>
    <w:rsid w:val="00141BE7"/>
    <w:rsid w:val="00141D1E"/>
    <w:rsid w:val="00142560"/>
    <w:rsid w:val="00151A10"/>
    <w:rsid w:val="00153BE5"/>
    <w:rsid w:val="00156BE5"/>
    <w:rsid w:val="001578C3"/>
    <w:rsid w:val="00160194"/>
    <w:rsid w:val="0016058D"/>
    <w:rsid w:val="001677F4"/>
    <w:rsid w:val="00167EE2"/>
    <w:rsid w:val="0017023E"/>
    <w:rsid w:val="001713C4"/>
    <w:rsid w:val="00173A08"/>
    <w:rsid w:val="0017547B"/>
    <w:rsid w:val="0017698A"/>
    <w:rsid w:val="00180E9A"/>
    <w:rsid w:val="0018782F"/>
    <w:rsid w:val="00187CB4"/>
    <w:rsid w:val="0019161A"/>
    <w:rsid w:val="00193AB3"/>
    <w:rsid w:val="00194A60"/>
    <w:rsid w:val="00195163"/>
    <w:rsid w:val="00195EBD"/>
    <w:rsid w:val="001971FC"/>
    <w:rsid w:val="001A0E8D"/>
    <w:rsid w:val="001A7F8E"/>
    <w:rsid w:val="001B2672"/>
    <w:rsid w:val="001B2FF7"/>
    <w:rsid w:val="001B6C19"/>
    <w:rsid w:val="001C066E"/>
    <w:rsid w:val="001C1653"/>
    <w:rsid w:val="001C4E13"/>
    <w:rsid w:val="001C55B5"/>
    <w:rsid w:val="001C606E"/>
    <w:rsid w:val="001C67A9"/>
    <w:rsid w:val="001C6C1B"/>
    <w:rsid w:val="001D0020"/>
    <w:rsid w:val="001D18A6"/>
    <w:rsid w:val="001D1F29"/>
    <w:rsid w:val="001D22B0"/>
    <w:rsid w:val="001D4730"/>
    <w:rsid w:val="001D4D70"/>
    <w:rsid w:val="001D7EAC"/>
    <w:rsid w:val="001E1867"/>
    <w:rsid w:val="001E18AC"/>
    <w:rsid w:val="001E231A"/>
    <w:rsid w:val="001E272E"/>
    <w:rsid w:val="001E3DEE"/>
    <w:rsid w:val="001E47C2"/>
    <w:rsid w:val="001E70E3"/>
    <w:rsid w:val="001F0D1A"/>
    <w:rsid w:val="001F1F4F"/>
    <w:rsid w:val="001F3DF4"/>
    <w:rsid w:val="001F5D39"/>
    <w:rsid w:val="001F6CC4"/>
    <w:rsid w:val="00201D5B"/>
    <w:rsid w:val="00202B55"/>
    <w:rsid w:val="002035D4"/>
    <w:rsid w:val="00204ED1"/>
    <w:rsid w:val="00205596"/>
    <w:rsid w:val="00214F19"/>
    <w:rsid w:val="0021668E"/>
    <w:rsid w:val="00221226"/>
    <w:rsid w:val="00227837"/>
    <w:rsid w:val="00230F6A"/>
    <w:rsid w:val="00232FD1"/>
    <w:rsid w:val="002349C4"/>
    <w:rsid w:val="00235F63"/>
    <w:rsid w:val="00236B52"/>
    <w:rsid w:val="0024270E"/>
    <w:rsid w:val="002443A1"/>
    <w:rsid w:val="00250EE8"/>
    <w:rsid w:val="0025394B"/>
    <w:rsid w:val="0025586A"/>
    <w:rsid w:val="002568CE"/>
    <w:rsid w:val="00261B33"/>
    <w:rsid w:val="002629B6"/>
    <w:rsid w:val="00264435"/>
    <w:rsid w:val="00266A67"/>
    <w:rsid w:val="00267B57"/>
    <w:rsid w:val="00267FD5"/>
    <w:rsid w:val="0027115F"/>
    <w:rsid w:val="00271724"/>
    <w:rsid w:val="00280014"/>
    <w:rsid w:val="00280790"/>
    <w:rsid w:val="002816BE"/>
    <w:rsid w:val="00282943"/>
    <w:rsid w:val="00282997"/>
    <w:rsid w:val="00286E55"/>
    <w:rsid w:val="002907E1"/>
    <w:rsid w:val="0029123A"/>
    <w:rsid w:val="00293385"/>
    <w:rsid w:val="00293492"/>
    <w:rsid w:val="002973ED"/>
    <w:rsid w:val="002A2E0B"/>
    <w:rsid w:val="002A65B0"/>
    <w:rsid w:val="002A6DE0"/>
    <w:rsid w:val="002B1F2A"/>
    <w:rsid w:val="002B2E00"/>
    <w:rsid w:val="002B6C0B"/>
    <w:rsid w:val="002B7E1E"/>
    <w:rsid w:val="002C0334"/>
    <w:rsid w:val="002C720D"/>
    <w:rsid w:val="002D0B02"/>
    <w:rsid w:val="002E078E"/>
    <w:rsid w:val="002E0926"/>
    <w:rsid w:val="002E0C54"/>
    <w:rsid w:val="002E1C99"/>
    <w:rsid w:val="002E3AC0"/>
    <w:rsid w:val="002F04FD"/>
    <w:rsid w:val="002F059B"/>
    <w:rsid w:val="002F1D36"/>
    <w:rsid w:val="002F372F"/>
    <w:rsid w:val="002F39A1"/>
    <w:rsid w:val="002F42B7"/>
    <w:rsid w:val="002F6E90"/>
    <w:rsid w:val="002F7E3B"/>
    <w:rsid w:val="00302A88"/>
    <w:rsid w:val="003119CD"/>
    <w:rsid w:val="00311B66"/>
    <w:rsid w:val="00313131"/>
    <w:rsid w:val="00321BAD"/>
    <w:rsid w:val="00321E4E"/>
    <w:rsid w:val="00324187"/>
    <w:rsid w:val="003252D1"/>
    <w:rsid w:val="003261B5"/>
    <w:rsid w:val="003321C3"/>
    <w:rsid w:val="003347A5"/>
    <w:rsid w:val="00335F44"/>
    <w:rsid w:val="00336F1A"/>
    <w:rsid w:val="00342732"/>
    <w:rsid w:val="0034684A"/>
    <w:rsid w:val="0035119B"/>
    <w:rsid w:val="003532BA"/>
    <w:rsid w:val="00353680"/>
    <w:rsid w:val="00353DA5"/>
    <w:rsid w:val="003572BF"/>
    <w:rsid w:val="00360E50"/>
    <w:rsid w:val="0036219E"/>
    <w:rsid w:val="00363706"/>
    <w:rsid w:val="00365580"/>
    <w:rsid w:val="003668A0"/>
    <w:rsid w:val="00367241"/>
    <w:rsid w:val="00370A05"/>
    <w:rsid w:val="00377F55"/>
    <w:rsid w:val="00383C8C"/>
    <w:rsid w:val="00391874"/>
    <w:rsid w:val="003935DE"/>
    <w:rsid w:val="003A360F"/>
    <w:rsid w:val="003A3E42"/>
    <w:rsid w:val="003A56B8"/>
    <w:rsid w:val="003A5901"/>
    <w:rsid w:val="003A69C4"/>
    <w:rsid w:val="003B4ED8"/>
    <w:rsid w:val="003B5BA3"/>
    <w:rsid w:val="003B7E16"/>
    <w:rsid w:val="003C29FC"/>
    <w:rsid w:val="003C2AEB"/>
    <w:rsid w:val="003C501D"/>
    <w:rsid w:val="003C64F7"/>
    <w:rsid w:val="003D0897"/>
    <w:rsid w:val="003E046A"/>
    <w:rsid w:val="003E2E2E"/>
    <w:rsid w:val="003E3F8B"/>
    <w:rsid w:val="003E596C"/>
    <w:rsid w:val="003F38B0"/>
    <w:rsid w:val="003F6D2A"/>
    <w:rsid w:val="004013DD"/>
    <w:rsid w:val="00402331"/>
    <w:rsid w:val="00405FC7"/>
    <w:rsid w:val="00407FFD"/>
    <w:rsid w:val="004146BD"/>
    <w:rsid w:val="00417325"/>
    <w:rsid w:val="004236D6"/>
    <w:rsid w:val="00424707"/>
    <w:rsid w:val="00430039"/>
    <w:rsid w:val="004313DC"/>
    <w:rsid w:val="004354C4"/>
    <w:rsid w:val="00444324"/>
    <w:rsid w:val="0044475E"/>
    <w:rsid w:val="00444CC8"/>
    <w:rsid w:val="00445A88"/>
    <w:rsid w:val="0044620B"/>
    <w:rsid w:val="004468D4"/>
    <w:rsid w:val="004500D5"/>
    <w:rsid w:val="00450FAD"/>
    <w:rsid w:val="0046044F"/>
    <w:rsid w:val="00461626"/>
    <w:rsid w:val="004626D7"/>
    <w:rsid w:val="00462C42"/>
    <w:rsid w:val="00463BF3"/>
    <w:rsid w:val="004651F1"/>
    <w:rsid w:val="004657B5"/>
    <w:rsid w:val="00472A6C"/>
    <w:rsid w:val="004739CD"/>
    <w:rsid w:val="0047417C"/>
    <w:rsid w:val="00475E78"/>
    <w:rsid w:val="00492476"/>
    <w:rsid w:val="00492FBB"/>
    <w:rsid w:val="004A128B"/>
    <w:rsid w:val="004A153D"/>
    <w:rsid w:val="004B2431"/>
    <w:rsid w:val="004B6183"/>
    <w:rsid w:val="004D0767"/>
    <w:rsid w:val="004D2F9C"/>
    <w:rsid w:val="004D3926"/>
    <w:rsid w:val="004D4461"/>
    <w:rsid w:val="004D5303"/>
    <w:rsid w:val="004D6AC5"/>
    <w:rsid w:val="004D7824"/>
    <w:rsid w:val="004E1FE3"/>
    <w:rsid w:val="004E206F"/>
    <w:rsid w:val="004E223E"/>
    <w:rsid w:val="004E22AC"/>
    <w:rsid w:val="004E505D"/>
    <w:rsid w:val="004E7DED"/>
    <w:rsid w:val="004F1480"/>
    <w:rsid w:val="004F4373"/>
    <w:rsid w:val="005009ED"/>
    <w:rsid w:val="00504B66"/>
    <w:rsid w:val="00506300"/>
    <w:rsid w:val="005116CC"/>
    <w:rsid w:val="0051200E"/>
    <w:rsid w:val="0051296E"/>
    <w:rsid w:val="005155CB"/>
    <w:rsid w:val="0052058B"/>
    <w:rsid w:val="00521343"/>
    <w:rsid w:val="00523161"/>
    <w:rsid w:val="0052779E"/>
    <w:rsid w:val="00527EEC"/>
    <w:rsid w:val="005344F5"/>
    <w:rsid w:val="00535AD1"/>
    <w:rsid w:val="005409DC"/>
    <w:rsid w:val="005437FD"/>
    <w:rsid w:val="0054392B"/>
    <w:rsid w:val="00546157"/>
    <w:rsid w:val="00551D52"/>
    <w:rsid w:val="00553478"/>
    <w:rsid w:val="0055431B"/>
    <w:rsid w:val="005568C6"/>
    <w:rsid w:val="00557553"/>
    <w:rsid w:val="00560BFF"/>
    <w:rsid w:val="00561B7D"/>
    <w:rsid w:val="00570157"/>
    <w:rsid w:val="00571A1C"/>
    <w:rsid w:val="005826C9"/>
    <w:rsid w:val="00583D53"/>
    <w:rsid w:val="00587BFF"/>
    <w:rsid w:val="0059157F"/>
    <w:rsid w:val="005925C4"/>
    <w:rsid w:val="005938C1"/>
    <w:rsid w:val="005949AD"/>
    <w:rsid w:val="005A2A1E"/>
    <w:rsid w:val="005A5052"/>
    <w:rsid w:val="005A63C3"/>
    <w:rsid w:val="005A6C9F"/>
    <w:rsid w:val="005A7F01"/>
    <w:rsid w:val="005B4962"/>
    <w:rsid w:val="005B7174"/>
    <w:rsid w:val="005C5B36"/>
    <w:rsid w:val="005D1242"/>
    <w:rsid w:val="005D16FA"/>
    <w:rsid w:val="005D20B2"/>
    <w:rsid w:val="005E29AA"/>
    <w:rsid w:val="005E3CD3"/>
    <w:rsid w:val="005F0618"/>
    <w:rsid w:val="005F0CE6"/>
    <w:rsid w:val="005F2807"/>
    <w:rsid w:val="005F2E7A"/>
    <w:rsid w:val="005F348A"/>
    <w:rsid w:val="005F5B0A"/>
    <w:rsid w:val="006025EB"/>
    <w:rsid w:val="00604F75"/>
    <w:rsid w:val="00606AD6"/>
    <w:rsid w:val="00611260"/>
    <w:rsid w:val="00612925"/>
    <w:rsid w:val="00613CE3"/>
    <w:rsid w:val="00614815"/>
    <w:rsid w:val="00616A95"/>
    <w:rsid w:val="00617570"/>
    <w:rsid w:val="00625498"/>
    <w:rsid w:val="00627277"/>
    <w:rsid w:val="00631DC1"/>
    <w:rsid w:val="00632D22"/>
    <w:rsid w:val="0063701E"/>
    <w:rsid w:val="006403A1"/>
    <w:rsid w:val="00645889"/>
    <w:rsid w:val="00650486"/>
    <w:rsid w:val="00661870"/>
    <w:rsid w:val="00663890"/>
    <w:rsid w:val="00663EAD"/>
    <w:rsid w:val="00665FEA"/>
    <w:rsid w:val="00673511"/>
    <w:rsid w:val="00674821"/>
    <w:rsid w:val="006753E5"/>
    <w:rsid w:val="0067691A"/>
    <w:rsid w:val="00680599"/>
    <w:rsid w:val="0068437F"/>
    <w:rsid w:val="006911D6"/>
    <w:rsid w:val="00692022"/>
    <w:rsid w:val="00693090"/>
    <w:rsid w:val="006A1012"/>
    <w:rsid w:val="006A2010"/>
    <w:rsid w:val="006A4018"/>
    <w:rsid w:val="006A5383"/>
    <w:rsid w:val="006A693E"/>
    <w:rsid w:val="006A701D"/>
    <w:rsid w:val="006B4963"/>
    <w:rsid w:val="006B4EC6"/>
    <w:rsid w:val="006B624C"/>
    <w:rsid w:val="006C0689"/>
    <w:rsid w:val="006C33B8"/>
    <w:rsid w:val="006C3953"/>
    <w:rsid w:val="006C45ED"/>
    <w:rsid w:val="006C50C0"/>
    <w:rsid w:val="006D396B"/>
    <w:rsid w:val="006E28D5"/>
    <w:rsid w:val="006F11EF"/>
    <w:rsid w:val="006F62E8"/>
    <w:rsid w:val="00701EB5"/>
    <w:rsid w:val="007112CB"/>
    <w:rsid w:val="007119CC"/>
    <w:rsid w:val="00711F72"/>
    <w:rsid w:val="00715FDA"/>
    <w:rsid w:val="00716A89"/>
    <w:rsid w:val="00717171"/>
    <w:rsid w:val="0071791A"/>
    <w:rsid w:val="0072122A"/>
    <w:rsid w:val="00724CBD"/>
    <w:rsid w:val="00726DE6"/>
    <w:rsid w:val="007325FB"/>
    <w:rsid w:val="0073450D"/>
    <w:rsid w:val="0073468D"/>
    <w:rsid w:val="007413E9"/>
    <w:rsid w:val="007471F5"/>
    <w:rsid w:val="00750C04"/>
    <w:rsid w:val="00752DEC"/>
    <w:rsid w:val="00753209"/>
    <w:rsid w:val="00753E21"/>
    <w:rsid w:val="00753FF9"/>
    <w:rsid w:val="00754EAB"/>
    <w:rsid w:val="00755018"/>
    <w:rsid w:val="00757FD5"/>
    <w:rsid w:val="00761106"/>
    <w:rsid w:val="007619AB"/>
    <w:rsid w:val="007642BF"/>
    <w:rsid w:val="00764BDF"/>
    <w:rsid w:val="007659E9"/>
    <w:rsid w:val="00766A06"/>
    <w:rsid w:val="00766F7D"/>
    <w:rsid w:val="007730B3"/>
    <w:rsid w:val="00774566"/>
    <w:rsid w:val="007758FF"/>
    <w:rsid w:val="00777E69"/>
    <w:rsid w:val="007812F4"/>
    <w:rsid w:val="0078222A"/>
    <w:rsid w:val="00782420"/>
    <w:rsid w:val="007874A7"/>
    <w:rsid w:val="007A0D24"/>
    <w:rsid w:val="007A252F"/>
    <w:rsid w:val="007B2682"/>
    <w:rsid w:val="007C3B14"/>
    <w:rsid w:val="007C6F2D"/>
    <w:rsid w:val="007D0ADA"/>
    <w:rsid w:val="007D2504"/>
    <w:rsid w:val="007D3B93"/>
    <w:rsid w:val="007D44E9"/>
    <w:rsid w:val="007E2285"/>
    <w:rsid w:val="007E3BB5"/>
    <w:rsid w:val="007E3CE1"/>
    <w:rsid w:val="007E4E17"/>
    <w:rsid w:val="007E5DA3"/>
    <w:rsid w:val="007E7A91"/>
    <w:rsid w:val="007F5FC6"/>
    <w:rsid w:val="007F71EC"/>
    <w:rsid w:val="007F7309"/>
    <w:rsid w:val="008024AF"/>
    <w:rsid w:val="008055BC"/>
    <w:rsid w:val="008112C4"/>
    <w:rsid w:val="0081149B"/>
    <w:rsid w:val="00812ABE"/>
    <w:rsid w:val="00813322"/>
    <w:rsid w:val="0081433C"/>
    <w:rsid w:val="008169CC"/>
    <w:rsid w:val="008170F6"/>
    <w:rsid w:val="00817F0E"/>
    <w:rsid w:val="00822140"/>
    <w:rsid w:val="00822242"/>
    <w:rsid w:val="00822E73"/>
    <w:rsid w:val="00827EED"/>
    <w:rsid w:val="008319B5"/>
    <w:rsid w:val="008333BC"/>
    <w:rsid w:val="00834067"/>
    <w:rsid w:val="0083531C"/>
    <w:rsid w:val="008365D7"/>
    <w:rsid w:val="0083702E"/>
    <w:rsid w:val="0084197F"/>
    <w:rsid w:val="0084233C"/>
    <w:rsid w:val="008437E3"/>
    <w:rsid w:val="0084498A"/>
    <w:rsid w:val="008458DA"/>
    <w:rsid w:val="00847A88"/>
    <w:rsid w:val="008527C1"/>
    <w:rsid w:val="00852C98"/>
    <w:rsid w:val="00856558"/>
    <w:rsid w:val="008628B6"/>
    <w:rsid w:val="008663A3"/>
    <w:rsid w:val="00866AB8"/>
    <w:rsid w:val="00867729"/>
    <w:rsid w:val="0087450F"/>
    <w:rsid w:val="0088023C"/>
    <w:rsid w:val="008824BB"/>
    <w:rsid w:val="0088283A"/>
    <w:rsid w:val="008831E7"/>
    <w:rsid w:val="00886885"/>
    <w:rsid w:val="0088795F"/>
    <w:rsid w:val="00887994"/>
    <w:rsid w:val="00890D33"/>
    <w:rsid w:val="00897372"/>
    <w:rsid w:val="00897DCF"/>
    <w:rsid w:val="008A08EC"/>
    <w:rsid w:val="008A20A7"/>
    <w:rsid w:val="008A382D"/>
    <w:rsid w:val="008B03B7"/>
    <w:rsid w:val="008B24A7"/>
    <w:rsid w:val="008B4F22"/>
    <w:rsid w:val="008C406F"/>
    <w:rsid w:val="008C4697"/>
    <w:rsid w:val="008C5253"/>
    <w:rsid w:val="008C7867"/>
    <w:rsid w:val="008C7F6F"/>
    <w:rsid w:val="008D1451"/>
    <w:rsid w:val="008D1DCE"/>
    <w:rsid w:val="008D3974"/>
    <w:rsid w:val="008D613F"/>
    <w:rsid w:val="008E2A18"/>
    <w:rsid w:val="008F10FE"/>
    <w:rsid w:val="008F33E0"/>
    <w:rsid w:val="008F59C0"/>
    <w:rsid w:val="008F72EC"/>
    <w:rsid w:val="008F7AFA"/>
    <w:rsid w:val="009061CD"/>
    <w:rsid w:val="00912101"/>
    <w:rsid w:val="00916283"/>
    <w:rsid w:val="00923345"/>
    <w:rsid w:val="00924A65"/>
    <w:rsid w:val="00924D85"/>
    <w:rsid w:val="0092506A"/>
    <w:rsid w:val="00926826"/>
    <w:rsid w:val="00927B86"/>
    <w:rsid w:val="00941282"/>
    <w:rsid w:val="00943FEB"/>
    <w:rsid w:val="00944C86"/>
    <w:rsid w:val="00945110"/>
    <w:rsid w:val="00945782"/>
    <w:rsid w:val="00954811"/>
    <w:rsid w:val="009638C4"/>
    <w:rsid w:val="009660A9"/>
    <w:rsid w:val="00966533"/>
    <w:rsid w:val="00967A0A"/>
    <w:rsid w:val="00970B70"/>
    <w:rsid w:val="00975564"/>
    <w:rsid w:val="009761E1"/>
    <w:rsid w:val="00976D5E"/>
    <w:rsid w:val="0098272B"/>
    <w:rsid w:val="009847AC"/>
    <w:rsid w:val="00990D88"/>
    <w:rsid w:val="009A1DA5"/>
    <w:rsid w:val="009A35D1"/>
    <w:rsid w:val="009A430D"/>
    <w:rsid w:val="009A5E17"/>
    <w:rsid w:val="009B3E40"/>
    <w:rsid w:val="009B52FA"/>
    <w:rsid w:val="009C1FED"/>
    <w:rsid w:val="009D1B8F"/>
    <w:rsid w:val="009E1DA7"/>
    <w:rsid w:val="009E298C"/>
    <w:rsid w:val="009E4444"/>
    <w:rsid w:val="009E4940"/>
    <w:rsid w:val="009E5FD6"/>
    <w:rsid w:val="009F0554"/>
    <w:rsid w:val="00A00037"/>
    <w:rsid w:val="00A02231"/>
    <w:rsid w:val="00A04951"/>
    <w:rsid w:val="00A05726"/>
    <w:rsid w:val="00A07046"/>
    <w:rsid w:val="00A14B78"/>
    <w:rsid w:val="00A159F2"/>
    <w:rsid w:val="00A169E2"/>
    <w:rsid w:val="00A20915"/>
    <w:rsid w:val="00A21AC8"/>
    <w:rsid w:val="00A300BF"/>
    <w:rsid w:val="00A5131D"/>
    <w:rsid w:val="00A515C5"/>
    <w:rsid w:val="00A52203"/>
    <w:rsid w:val="00A556F2"/>
    <w:rsid w:val="00A61E08"/>
    <w:rsid w:val="00A712A4"/>
    <w:rsid w:val="00A7200F"/>
    <w:rsid w:val="00A7203B"/>
    <w:rsid w:val="00A7522C"/>
    <w:rsid w:val="00A75E85"/>
    <w:rsid w:val="00A85156"/>
    <w:rsid w:val="00A90B7A"/>
    <w:rsid w:val="00AA1E77"/>
    <w:rsid w:val="00AA2628"/>
    <w:rsid w:val="00AA2D51"/>
    <w:rsid w:val="00AA3EE7"/>
    <w:rsid w:val="00AA4580"/>
    <w:rsid w:val="00AA5790"/>
    <w:rsid w:val="00AA6ED0"/>
    <w:rsid w:val="00AB326C"/>
    <w:rsid w:val="00AB47ED"/>
    <w:rsid w:val="00AB5D8A"/>
    <w:rsid w:val="00AB5E14"/>
    <w:rsid w:val="00AB728A"/>
    <w:rsid w:val="00AC6F05"/>
    <w:rsid w:val="00AD5FF2"/>
    <w:rsid w:val="00AE0246"/>
    <w:rsid w:val="00AE1AE8"/>
    <w:rsid w:val="00AE6D4B"/>
    <w:rsid w:val="00AF5AEF"/>
    <w:rsid w:val="00AF6E62"/>
    <w:rsid w:val="00AF7CAA"/>
    <w:rsid w:val="00B038D9"/>
    <w:rsid w:val="00B04F8C"/>
    <w:rsid w:val="00B05A33"/>
    <w:rsid w:val="00B067A4"/>
    <w:rsid w:val="00B07B81"/>
    <w:rsid w:val="00B16A39"/>
    <w:rsid w:val="00B176D9"/>
    <w:rsid w:val="00B2323D"/>
    <w:rsid w:val="00B24196"/>
    <w:rsid w:val="00B25953"/>
    <w:rsid w:val="00B4124C"/>
    <w:rsid w:val="00B4136F"/>
    <w:rsid w:val="00B41EC2"/>
    <w:rsid w:val="00B44096"/>
    <w:rsid w:val="00B460B2"/>
    <w:rsid w:val="00B47407"/>
    <w:rsid w:val="00B52FA7"/>
    <w:rsid w:val="00B61328"/>
    <w:rsid w:val="00B61DFB"/>
    <w:rsid w:val="00B70389"/>
    <w:rsid w:val="00B73860"/>
    <w:rsid w:val="00B8002E"/>
    <w:rsid w:val="00B84FC5"/>
    <w:rsid w:val="00B92A53"/>
    <w:rsid w:val="00BA298C"/>
    <w:rsid w:val="00BA4CE2"/>
    <w:rsid w:val="00BA5C85"/>
    <w:rsid w:val="00BB2536"/>
    <w:rsid w:val="00BC2192"/>
    <w:rsid w:val="00BC44F2"/>
    <w:rsid w:val="00BD0EBC"/>
    <w:rsid w:val="00BD2433"/>
    <w:rsid w:val="00BD2E7A"/>
    <w:rsid w:val="00BD41A9"/>
    <w:rsid w:val="00BE04A7"/>
    <w:rsid w:val="00BE4433"/>
    <w:rsid w:val="00BE6437"/>
    <w:rsid w:val="00BF183C"/>
    <w:rsid w:val="00BF2D48"/>
    <w:rsid w:val="00C01C80"/>
    <w:rsid w:val="00C022EB"/>
    <w:rsid w:val="00C02EB8"/>
    <w:rsid w:val="00C06833"/>
    <w:rsid w:val="00C128B8"/>
    <w:rsid w:val="00C17452"/>
    <w:rsid w:val="00C202B7"/>
    <w:rsid w:val="00C20892"/>
    <w:rsid w:val="00C2193C"/>
    <w:rsid w:val="00C321BE"/>
    <w:rsid w:val="00C3533E"/>
    <w:rsid w:val="00C40ACA"/>
    <w:rsid w:val="00C47A23"/>
    <w:rsid w:val="00C52823"/>
    <w:rsid w:val="00C647B3"/>
    <w:rsid w:val="00C6569D"/>
    <w:rsid w:val="00C66982"/>
    <w:rsid w:val="00C7098C"/>
    <w:rsid w:val="00C718AD"/>
    <w:rsid w:val="00C71EF9"/>
    <w:rsid w:val="00C738F7"/>
    <w:rsid w:val="00C75540"/>
    <w:rsid w:val="00C80CEC"/>
    <w:rsid w:val="00C81F72"/>
    <w:rsid w:val="00C82D2E"/>
    <w:rsid w:val="00C83DBC"/>
    <w:rsid w:val="00C8638F"/>
    <w:rsid w:val="00C87471"/>
    <w:rsid w:val="00C955CE"/>
    <w:rsid w:val="00C96387"/>
    <w:rsid w:val="00CA1BDC"/>
    <w:rsid w:val="00CA40C7"/>
    <w:rsid w:val="00CA7335"/>
    <w:rsid w:val="00CB0415"/>
    <w:rsid w:val="00CB399E"/>
    <w:rsid w:val="00CB4BB8"/>
    <w:rsid w:val="00CC129F"/>
    <w:rsid w:val="00CC48C1"/>
    <w:rsid w:val="00CC52EA"/>
    <w:rsid w:val="00CD017D"/>
    <w:rsid w:val="00CD0BAB"/>
    <w:rsid w:val="00CD1F14"/>
    <w:rsid w:val="00CD3F65"/>
    <w:rsid w:val="00CD6AB3"/>
    <w:rsid w:val="00CE3638"/>
    <w:rsid w:val="00CE6E3A"/>
    <w:rsid w:val="00CE6FC5"/>
    <w:rsid w:val="00CF23B6"/>
    <w:rsid w:val="00CF6A39"/>
    <w:rsid w:val="00D00505"/>
    <w:rsid w:val="00D016E6"/>
    <w:rsid w:val="00D01A5B"/>
    <w:rsid w:val="00D11527"/>
    <w:rsid w:val="00D13176"/>
    <w:rsid w:val="00D1343A"/>
    <w:rsid w:val="00D1525F"/>
    <w:rsid w:val="00D16E79"/>
    <w:rsid w:val="00D172AA"/>
    <w:rsid w:val="00D20C7A"/>
    <w:rsid w:val="00D2448F"/>
    <w:rsid w:val="00D26B74"/>
    <w:rsid w:val="00D338F0"/>
    <w:rsid w:val="00D34A84"/>
    <w:rsid w:val="00D41A0D"/>
    <w:rsid w:val="00D4565D"/>
    <w:rsid w:val="00D46FA7"/>
    <w:rsid w:val="00D47D36"/>
    <w:rsid w:val="00D511DA"/>
    <w:rsid w:val="00D55ADE"/>
    <w:rsid w:val="00D55FB6"/>
    <w:rsid w:val="00D56955"/>
    <w:rsid w:val="00D65FE6"/>
    <w:rsid w:val="00D66CC7"/>
    <w:rsid w:val="00D72E82"/>
    <w:rsid w:val="00D741AA"/>
    <w:rsid w:val="00D74BA3"/>
    <w:rsid w:val="00D77CA1"/>
    <w:rsid w:val="00D80D8B"/>
    <w:rsid w:val="00D84F11"/>
    <w:rsid w:val="00D90566"/>
    <w:rsid w:val="00D9417A"/>
    <w:rsid w:val="00D966BD"/>
    <w:rsid w:val="00DA0EAA"/>
    <w:rsid w:val="00DA1035"/>
    <w:rsid w:val="00DA3686"/>
    <w:rsid w:val="00DA6065"/>
    <w:rsid w:val="00DA6217"/>
    <w:rsid w:val="00DB11C8"/>
    <w:rsid w:val="00DB174D"/>
    <w:rsid w:val="00DB346D"/>
    <w:rsid w:val="00DB433A"/>
    <w:rsid w:val="00DB5336"/>
    <w:rsid w:val="00DB6B97"/>
    <w:rsid w:val="00DC21A8"/>
    <w:rsid w:val="00DC556A"/>
    <w:rsid w:val="00DC7FC8"/>
    <w:rsid w:val="00DD0912"/>
    <w:rsid w:val="00DD35CE"/>
    <w:rsid w:val="00DD5A01"/>
    <w:rsid w:val="00DD5F05"/>
    <w:rsid w:val="00DE2919"/>
    <w:rsid w:val="00DE2ADF"/>
    <w:rsid w:val="00DE794D"/>
    <w:rsid w:val="00DF27FD"/>
    <w:rsid w:val="00DF5296"/>
    <w:rsid w:val="00DF6DE2"/>
    <w:rsid w:val="00E0225D"/>
    <w:rsid w:val="00E05DC7"/>
    <w:rsid w:val="00E13788"/>
    <w:rsid w:val="00E148F2"/>
    <w:rsid w:val="00E15C80"/>
    <w:rsid w:val="00E200FB"/>
    <w:rsid w:val="00E24958"/>
    <w:rsid w:val="00E305AD"/>
    <w:rsid w:val="00E32D91"/>
    <w:rsid w:val="00E348A0"/>
    <w:rsid w:val="00E35FE5"/>
    <w:rsid w:val="00E36B50"/>
    <w:rsid w:val="00E370CC"/>
    <w:rsid w:val="00E377B9"/>
    <w:rsid w:val="00E421F7"/>
    <w:rsid w:val="00E47D91"/>
    <w:rsid w:val="00E51FD6"/>
    <w:rsid w:val="00E53C3F"/>
    <w:rsid w:val="00E567CD"/>
    <w:rsid w:val="00E60ED0"/>
    <w:rsid w:val="00E616CF"/>
    <w:rsid w:val="00E631D3"/>
    <w:rsid w:val="00E64152"/>
    <w:rsid w:val="00E64A8A"/>
    <w:rsid w:val="00E64ECD"/>
    <w:rsid w:val="00E66360"/>
    <w:rsid w:val="00E724FF"/>
    <w:rsid w:val="00E7492B"/>
    <w:rsid w:val="00E7645A"/>
    <w:rsid w:val="00E802B4"/>
    <w:rsid w:val="00E83657"/>
    <w:rsid w:val="00E84401"/>
    <w:rsid w:val="00E868A4"/>
    <w:rsid w:val="00E87492"/>
    <w:rsid w:val="00E911D6"/>
    <w:rsid w:val="00E94ADC"/>
    <w:rsid w:val="00EA1355"/>
    <w:rsid w:val="00EA2407"/>
    <w:rsid w:val="00EA4E95"/>
    <w:rsid w:val="00EA51C2"/>
    <w:rsid w:val="00EA677C"/>
    <w:rsid w:val="00EB189A"/>
    <w:rsid w:val="00EB18CF"/>
    <w:rsid w:val="00EB3CA8"/>
    <w:rsid w:val="00EB568D"/>
    <w:rsid w:val="00EB7DAA"/>
    <w:rsid w:val="00EC2B2E"/>
    <w:rsid w:val="00EC5080"/>
    <w:rsid w:val="00EC5089"/>
    <w:rsid w:val="00EC6479"/>
    <w:rsid w:val="00EC6D63"/>
    <w:rsid w:val="00ED1310"/>
    <w:rsid w:val="00ED1B51"/>
    <w:rsid w:val="00ED48A0"/>
    <w:rsid w:val="00ED498B"/>
    <w:rsid w:val="00ED6AF4"/>
    <w:rsid w:val="00EE03D3"/>
    <w:rsid w:val="00EE4683"/>
    <w:rsid w:val="00EF048F"/>
    <w:rsid w:val="00EF04CD"/>
    <w:rsid w:val="00EF74EE"/>
    <w:rsid w:val="00F0210A"/>
    <w:rsid w:val="00F0601B"/>
    <w:rsid w:val="00F13198"/>
    <w:rsid w:val="00F15FD2"/>
    <w:rsid w:val="00F22C6E"/>
    <w:rsid w:val="00F23274"/>
    <w:rsid w:val="00F2624B"/>
    <w:rsid w:val="00F27D86"/>
    <w:rsid w:val="00F37985"/>
    <w:rsid w:val="00F41EF4"/>
    <w:rsid w:val="00F44044"/>
    <w:rsid w:val="00F45644"/>
    <w:rsid w:val="00F60838"/>
    <w:rsid w:val="00F624AA"/>
    <w:rsid w:val="00F65D9A"/>
    <w:rsid w:val="00F67D04"/>
    <w:rsid w:val="00F70320"/>
    <w:rsid w:val="00F72F86"/>
    <w:rsid w:val="00F73C64"/>
    <w:rsid w:val="00F83763"/>
    <w:rsid w:val="00F86A4A"/>
    <w:rsid w:val="00F908FB"/>
    <w:rsid w:val="00F91DFA"/>
    <w:rsid w:val="00F964E7"/>
    <w:rsid w:val="00FA1FDB"/>
    <w:rsid w:val="00FA306D"/>
    <w:rsid w:val="00FA3A1A"/>
    <w:rsid w:val="00FA7327"/>
    <w:rsid w:val="00FA7C8D"/>
    <w:rsid w:val="00FA7DA3"/>
    <w:rsid w:val="00FB419B"/>
    <w:rsid w:val="00FB61EF"/>
    <w:rsid w:val="00FB7B53"/>
    <w:rsid w:val="00FC1840"/>
    <w:rsid w:val="00FC278B"/>
    <w:rsid w:val="00FC4717"/>
    <w:rsid w:val="00FC556D"/>
    <w:rsid w:val="00FD0197"/>
    <w:rsid w:val="00FD1D72"/>
    <w:rsid w:val="00FD3B54"/>
    <w:rsid w:val="00FD4BBD"/>
    <w:rsid w:val="00FD5B23"/>
    <w:rsid w:val="00FD5C8B"/>
    <w:rsid w:val="00FD6F50"/>
    <w:rsid w:val="00FE0C35"/>
    <w:rsid w:val="00FE1FEB"/>
    <w:rsid w:val="00FE5394"/>
    <w:rsid w:val="00FE71C7"/>
    <w:rsid w:val="00FF1539"/>
    <w:rsid w:val="00FF3779"/>
    <w:rsid w:val="00FF64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B663"/>
  <w15:docId w15:val="{ECD45AEA-9651-413A-8885-56BA4548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2BF"/>
  </w:style>
  <w:style w:type="paragraph" w:styleId="Heading1">
    <w:name w:val="heading 1"/>
    <w:basedOn w:val="Normal"/>
    <w:next w:val="Normal"/>
    <w:link w:val="Heading1Char"/>
    <w:uiPriority w:val="9"/>
    <w:qFormat/>
    <w:rsid w:val="00C208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42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42B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D0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17D"/>
  </w:style>
  <w:style w:type="paragraph" w:styleId="Footer">
    <w:name w:val="footer"/>
    <w:basedOn w:val="Normal"/>
    <w:link w:val="FooterChar"/>
    <w:uiPriority w:val="99"/>
    <w:unhideWhenUsed/>
    <w:rsid w:val="00CD0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17D"/>
  </w:style>
  <w:style w:type="table" w:styleId="TableGrid">
    <w:name w:val="Table Grid"/>
    <w:basedOn w:val="TableNormal"/>
    <w:uiPriority w:val="39"/>
    <w:rsid w:val="00CD0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017D"/>
    <w:rPr>
      <w:color w:val="0000FF" w:themeColor="hyperlink"/>
      <w:u w:val="single"/>
    </w:rPr>
  </w:style>
  <w:style w:type="table" w:styleId="LightShading-Accent1">
    <w:name w:val="Light Shading Accent 1"/>
    <w:basedOn w:val="TableNormal"/>
    <w:uiPriority w:val="60"/>
    <w:rsid w:val="00CD017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aliases w:val="List Paragraph - PHO Boday Text"/>
    <w:basedOn w:val="Normal"/>
    <w:uiPriority w:val="34"/>
    <w:qFormat/>
    <w:rsid w:val="00CD017D"/>
    <w:pPr>
      <w:ind w:left="720"/>
      <w:contextualSpacing/>
    </w:pPr>
  </w:style>
  <w:style w:type="table" w:styleId="LightList-Accent1">
    <w:name w:val="Light List Accent 1"/>
    <w:basedOn w:val="TableNormal"/>
    <w:uiPriority w:val="61"/>
    <w:rsid w:val="00CD017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CD017D"/>
    <w:pPr>
      <w:spacing w:after="0" w:line="240" w:lineRule="auto"/>
    </w:pPr>
  </w:style>
  <w:style w:type="character" w:customStyle="1" w:styleId="BalloonTextChar">
    <w:name w:val="Balloon Text Char"/>
    <w:basedOn w:val="DefaultParagraphFont"/>
    <w:link w:val="BalloonText"/>
    <w:uiPriority w:val="99"/>
    <w:semiHidden/>
    <w:rsid w:val="00363706"/>
    <w:rPr>
      <w:rFonts w:ascii="Tahoma" w:hAnsi="Tahoma" w:cs="Tahoma"/>
      <w:sz w:val="16"/>
      <w:szCs w:val="16"/>
      <w:lang w:val="en-US"/>
    </w:rPr>
  </w:style>
  <w:style w:type="paragraph" w:styleId="BalloonText">
    <w:name w:val="Balloon Text"/>
    <w:basedOn w:val="Normal"/>
    <w:link w:val="BalloonTextChar"/>
    <w:uiPriority w:val="99"/>
    <w:semiHidden/>
    <w:unhideWhenUsed/>
    <w:rsid w:val="00363706"/>
    <w:pPr>
      <w:widowControl w:val="0"/>
      <w:spacing w:after="0" w:line="240" w:lineRule="auto"/>
    </w:pPr>
    <w:rPr>
      <w:rFonts w:ascii="Tahoma" w:hAnsi="Tahoma" w:cs="Tahoma"/>
      <w:sz w:val="16"/>
      <w:szCs w:val="16"/>
      <w:lang w:val="en-US"/>
    </w:rPr>
  </w:style>
  <w:style w:type="character" w:customStyle="1" w:styleId="CommentTextChar">
    <w:name w:val="Comment Text Char"/>
    <w:basedOn w:val="DefaultParagraphFont"/>
    <w:link w:val="CommentText"/>
    <w:uiPriority w:val="99"/>
    <w:semiHidden/>
    <w:rsid w:val="00363706"/>
    <w:rPr>
      <w:sz w:val="20"/>
      <w:szCs w:val="20"/>
      <w:lang w:val="en-US"/>
    </w:rPr>
  </w:style>
  <w:style w:type="paragraph" w:styleId="CommentText">
    <w:name w:val="annotation text"/>
    <w:basedOn w:val="Normal"/>
    <w:link w:val="CommentTextChar"/>
    <w:uiPriority w:val="99"/>
    <w:semiHidden/>
    <w:unhideWhenUsed/>
    <w:rsid w:val="00363706"/>
    <w:pPr>
      <w:widowControl w:val="0"/>
      <w:spacing w:line="240" w:lineRule="auto"/>
    </w:pPr>
    <w:rPr>
      <w:sz w:val="20"/>
      <w:szCs w:val="20"/>
      <w:lang w:val="en-US"/>
    </w:rPr>
  </w:style>
  <w:style w:type="character" w:customStyle="1" w:styleId="CommentSubjectChar">
    <w:name w:val="Comment Subject Char"/>
    <w:basedOn w:val="CommentTextChar"/>
    <w:link w:val="CommentSubject"/>
    <w:uiPriority w:val="99"/>
    <w:semiHidden/>
    <w:rsid w:val="00363706"/>
    <w:rPr>
      <w:b/>
      <w:bCs/>
      <w:sz w:val="20"/>
      <w:szCs w:val="20"/>
      <w:lang w:val="en-US"/>
    </w:rPr>
  </w:style>
  <w:style w:type="paragraph" w:styleId="CommentSubject">
    <w:name w:val="annotation subject"/>
    <w:basedOn w:val="CommentText"/>
    <w:next w:val="CommentText"/>
    <w:link w:val="CommentSubjectChar"/>
    <w:uiPriority w:val="99"/>
    <w:semiHidden/>
    <w:unhideWhenUsed/>
    <w:rsid w:val="00363706"/>
    <w:rPr>
      <w:b/>
      <w:bCs/>
    </w:rPr>
  </w:style>
  <w:style w:type="paragraph" w:styleId="NormalWeb">
    <w:name w:val="Normal (Web)"/>
    <w:basedOn w:val="Normal"/>
    <w:uiPriority w:val="99"/>
    <w:unhideWhenUsed/>
    <w:rsid w:val="00363706"/>
    <w:pPr>
      <w:spacing w:before="100" w:beforeAutospacing="1" w:after="100" w:afterAutospacing="1" w:line="240" w:lineRule="auto"/>
    </w:pPr>
    <w:rPr>
      <w:rFonts w:ascii="Times New Roman" w:eastAsiaTheme="minorEastAsia" w:hAnsi="Times New Roman" w:cs="Times New Roman"/>
      <w:sz w:val="24"/>
      <w:szCs w:val="24"/>
      <w:lang w:eastAsia="en-CA"/>
    </w:rPr>
  </w:style>
  <w:style w:type="numbering" w:customStyle="1" w:styleId="NoList1">
    <w:name w:val="No List1"/>
    <w:next w:val="NoList"/>
    <w:uiPriority w:val="99"/>
    <w:semiHidden/>
    <w:unhideWhenUsed/>
    <w:rsid w:val="00975564"/>
  </w:style>
  <w:style w:type="paragraph" w:customStyle="1" w:styleId="PHOBodyText">
    <w:name w:val="PHO Body Text"/>
    <w:link w:val="PHOBodyTextChar"/>
    <w:qFormat/>
    <w:rsid w:val="00975564"/>
    <w:pPr>
      <w:outlineLvl w:val="0"/>
    </w:pPr>
    <w:rPr>
      <w:rFonts w:ascii="Calibri" w:eastAsiaTheme="minorEastAsia" w:hAnsi="Calibri"/>
      <w:szCs w:val="32"/>
      <w:lang w:eastAsia="en-CA"/>
    </w:rPr>
  </w:style>
  <w:style w:type="paragraph" w:customStyle="1" w:styleId="PHOHeading1">
    <w:name w:val="PHO Heading 1"/>
    <w:basedOn w:val="PHOBodyText"/>
    <w:next w:val="PHOBodyText"/>
    <w:link w:val="PHOHeading1Char"/>
    <w:qFormat/>
    <w:rsid w:val="00975564"/>
    <w:pPr>
      <w:keepNext/>
      <w:keepLines/>
      <w:pBdr>
        <w:bottom w:val="single" w:sz="4" w:space="1" w:color="auto"/>
      </w:pBdr>
      <w:spacing w:after="360"/>
    </w:pPr>
    <w:rPr>
      <w:color w:val="3D8704"/>
      <w:sz w:val="48"/>
      <w:szCs w:val="48"/>
    </w:rPr>
  </w:style>
  <w:style w:type="character" w:customStyle="1" w:styleId="PHOBodyTextChar">
    <w:name w:val="PHO Body Text Char"/>
    <w:basedOn w:val="DefaultParagraphFont"/>
    <w:link w:val="PHOBodyText"/>
    <w:rsid w:val="00975564"/>
    <w:rPr>
      <w:rFonts w:ascii="Calibri" w:eastAsiaTheme="minorEastAsia" w:hAnsi="Calibri"/>
      <w:szCs w:val="32"/>
      <w:lang w:eastAsia="en-CA"/>
    </w:rPr>
  </w:style>
  <w:style w:type="character" w:customStyle="1" w:styleId="PHOHeading1Char">
    <w:name w:val="PHO Heading 1 Char"/>
    <w:basedOn w:val="PHOBodyTextChar"/>
    <w:link w:val="PHOHeading1"/>
    <w:rsid w:val="00975564"/>
    <w:rPr>
      <w:rFonts w:ascii="Calibri" w:eastAsiaTheme="minorEastAsia" w:hAnsi="Calibri"/>
      <w:color w:val="3D8704"/>
      <w:sz w:val="48"/>
      <w:szCs w:val="48"/>
      <w:lang w:eastAsia="en-CA"/>
    </w:rPr>
  </w:style>
  <w:style w:type="paragraph" w:customStyle="1" w:styleId="PHOFooterText">
    <w:name w:val="PHO Footer Text"/>
    <w:basedOn w:val="PHOBodyText"/>
    <w:link w:val="PHOFooterTextChar"/>
    <w:qFormat/>
    <w:rsid w:val="00975564"/>
    <w:pPr>
      <w:tabs>
        <w:tab w:val="center" w:pos="4678"/>
        <w:tab w:val="right" w:pos="9361"/>
      </w:tabs>
      <w:spacing w:after="0"/>
    </w:pPr>
    <w:rPr>
      <w:sz w:val="20"/>
    </w:rPr>
  </w:style>
  <w:style w:type="character" w:customStyle="1" w:styleId="PHOFooterTextChar">
    <w:name w:val="PHO Footer Text Char"/>
    <w:basedOn w:val="PHOBodyTextChar"/>
    <w:link w:val="PHOFooterText"/>
    <w:rsid w:val="00975564"/>
    <w:rPr>
      <w:rFonts w:ascii="Calibri" w:eastAsiaTheme="minorEastAsia" w:hAnsi="Calibri"/>
      <w:sz w:val="20"/>
      <w:szCs w:val="32"/>
      <w:lang w:eastAsia="en-CA"/>
    </w:rPr>
  </w:style>
  <w:style w:type="table" w:customStyle="1" w:styleId="TableGrid1">
    <w:name w:val="Table Grid1"/>
    <w:basedOn w:val="TableNormal"/>
    <w:next w:val="TableGrid"/>
    <w:uiPriority w:val="59"/>
    <w:rsid w:val="00975564"/>
    <w:pPr>
      <w:spacing w:after="0" w:line="240" w:lineRule="auto"/>
    </w:pPr>
    <w:rPr>
      <w:rFonts w:eastAsiaTheme="minorEastAsia"/>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OHeader-UsebeforeTOC">
    <w:name w:val="PHO Header - Use before TOC"/>
    <w:basedOn w:val="Normal"/>
    <w:link w:val="PHOHeader-UsebeforeTOCChar"/>
    <w:qFormat/>
    <w:rsid w:val="00975564"/>
    <w:pPr>
      <w:keepNext/>
      <w:keepLines/>
      <w:tabs>
        <w:tab w:val="left" w:pos="1134"/>
      </w:tabs>
      <w:spacing w:before="240" w:after="0" w:line="281" w:lineRule="auto"/>
      <w:outlineLvl w:val="0"/>
    </w:pPr>
    <w:rPr>
      <w:rFonts w:ascii="Calibri" w:eastAsiaTheme="minorEastAsia" w:hAnsi="Calibri"/>
      <w:color w:val="3D8704"/>
      <w:sz w:val="40"/>
      <w:szCs w:val="40"/>
      <w:lang w:eastAsia="en-CA"/>
    </w:rPr>
  </w:style>
  <w:style w:type="character" w:customStyle="1" w:styleId="PHOHeader-UsebeforeTOCChar">
    <w:name w:val="PHO Header - Use before TOC Char"/>
    <w:basedOn w:val="DefaultParagraphFont"/>
    <w:link w:val="PHOHeader-UsebeforeTOC"/>
    <w:rsid w:val="00975564"/>
    <w:rPr>
      <w:rFonts w:ascii="Calibri" w:eastAsiaTheme="minorEastAsia" w:hAnsi="Calibri"/>
      <w:color w:val="3D8704"/>
      <w:sz w:val="40"/>
      <w:szCs w:val="40"/>
      <w:lang w:eastAsia="en-CA"/>
    </w:rPr>
  </w:style>
  <w:style w:type="table" w:customStyle="1" w:styleId="TableGrid2">
    <w:name w:val="Table Grid2"/>
    <w:basedOn w:val="TableNormal"/>
    <w:next w:val="TableGrid"/>
    <w:uiPriority w:val="59"/>
    <w:rsid w:val="0097556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089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20892"/>
    <w:pPr>
      <w:outlineLvl w:val="9"/>
    </w:pPr>
    <w:rPr>
      <w:lang w:val="en-US" w:eastAsia="ja-JP"/>
    </w:rPr>
  </w:style>
  <w:style w:type="paragraph" w:styleId="TOC2">
    <w:name w:val="toc 2"/>
    <w:basedOn w:val="Normal"/>
    <w:next w:val="Normal"/>
    <w:autoRedefine/>
    <w:uiPriority w:val="39"/>
    <w:unhideWhenUsed/>
    <w:rsid w:val="00C20892"/>
    <w:pPr>
      <w:spacing w:after="100"/>
      <w:ind w:left="220"/>
    </w:pPr>
  </w:style>
  <w:style w:type="paragraph" w:styleId="TOC1">
    <w:name w:val="toc 1"/>
    <w:basedOn w:val="Normal"/>
    <w:next w:val="Normal"/>
    <w:autoRedefine/>
    <w:uiPriority w:val="39"/>
    <w:unhideWhenUsed/>
    <w:rsid w:val="00C2089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03e0f63b9f44d6085b12a1763efa8cd xmlns="ddd86614-e075-45fd-ad75-7be4b83b486d">
      <Terms xmlns="http://schemas.microsoft.com/office/infopath/2007/PartnerControls">
        <TermInfo xmlns="http://schemas.microsoft.com/office/infopath/2007/PartnerControls">
          <TermName xmlns="http://schemas.microsoft.com/office/infopath/2007/PartnerControls">PHEP Indicator Manuscript</TermName>
          <TermId xmlns="http://schemas.microsoft.com/office/infopath/2007/PartnerControls">1d94d4bc-2e74-4413-a728-903dd2ba686e</TermId>
        </TermInfo>
      </Terms>
    </g03e0f63b9f44d6085b12a1763efa8cd>
    <TaxCatchAll xmlns="ddd86614-e075-45fd-ad75-7be4b83b486d">
      <Value>10574</Value>
    </TaxCatchAll>
    <_dlc_DocId xmlns="ddd86614-e075-45fd-ad75-7be4b83b486d">E7YEJEDTSY7N-132-3761</_dlc_DocId>
    <_dlc_DocIdUrl xmlns="ddd86614-e075-45fd-ad75-7be4b83b486d">
      <Url>https://goto.oahpp.ca/areas/ems/teamsite/_layouts/DocIdRedir.aspx?ID=E7YEJEDTSY7N-132-3761</Url>
      <Description>E7YEJEDTSY7N-132-3761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Research and Grant Document" ma:contentTypeID="0x010100023B47121BF529409712B797FC2D36FD009979D7AD1C815648A8F889567AE053FD" ma:contentTypeVersion="9" ma:contentTypeDescription="" ma:contentTypeScope="" ma:versionID="213825541ab3308c4a9f26cdef25ab56">
  <xsd:schema xmlns:xsd="http://www.w3.org/2001/XMLSchema" xmlns:xs="http://www.w3.org/2001/XMLSchema" xmlns:p="http://schemas.microsoft.com/office/2006/metadata/properties" xmlns:ns2="ddd86614-e075-45fd-ad75-7be4b83b486d" targetNamespace="http://schemas.microsoft.com/office/2006/metadata/properties" ma:root="true" ma:fieldsID="d28683326bf635cd75b22aa7cba53ef9" ns2:_="">
    <xsd:import namespace="ddd86614-e075-45fd-ad75-7be4b83b486d"/>
    <xsd:element name="properties">
      <xsd:complexType>
        <xsd:sequence>
          <xsd:element name="documentManagement">
            <xsd:complexType>
              <xsd:all>
                <xsd:element ref="ns2:g03e0f63b9f44d6085b12a1763efa8c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g03e0f63b9f44d6085b12a1763efa8cd" ma:index="8" nillable="true" ma:taxonomy="true" ma:internalName="g03e0f63b9f44d6085b12a1763efa8cd" ma:taxonomyFieldName="EMSGrantProposalMaterials" ma:displayName="Research and Grant Document" ma:default="" ma:fieldId="{003e0f63-b9f4-4d60-85b1-2a1763efa8cd}" ma:sspId="49902157-4f79-49bc-a821-2837ff72634b" ma:termSetId="8f80d1f2-0112-49ec-b290-3263ba014ddf"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f78954d5-acc0-4ffb-98ec-a1572a064751}" ma:internalName="TaxCatchAll" ma:showField="CatchAllData" ma:web="ddd86614-e075-45fd-ad75-7be4b83b486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78954d5-acc0-4ffb-98ec-a1572a064751}" ma:internalName="TaxCatchAllLabel" ma:readOnly="true" ma:showField="CatchAllDataLabel" ma:web="ddd86614-e075-45fd-ad75-7be4b83b486d">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0A05727-54E0-4F94-9363-6F87150BC7DB}">
  <ds:schemaRefs>
    <ds:schemaRef ds:uri="http://purl.org/dc/terms/"/>
    <ds:schemaRef ds:uri="http://schemas.openxmlformats.org/package/2006/metadata/core-properties"/>
    <ds:schemaRef ds:uri="http://schemas.microsoft.com/office/2006/documentManagement/types"/>
    <ds:schemaRef ds:uri="ddd86614-e075-45fd-ad75-7be4b83b486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8E2A94E-E394-478C-B88C-62A6B296A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F81368-D88C-41D1-8027-9E6CBC49F081}">
  <ds:schemaRefs>
    <ds:schemaRef ds:uri="http://schemas.microsoft.com/sharepoint/v3/contenttype/forms"/>
  </ds:schemaRefs>
</ds:datastoreItem>
</file>

<file path=customXml/itemProps4.xml><?xml version="1.0" encoding="utf-8"?>
<ds:datastoreItem xmlns:ds="http://schemas.openxmlformats.org/officeDocument/2006/customXml" ds:itemID="{93165661-8D98-4687-A9A9-4F265D7040F8}">
  <ds:schemaRefs>
    <ds:schemaRef ds:uri="http://schemas.microsoft.com/sharepoint/events"/>
  </ds:schemaRefs>
</ds:datastoreItem>
</file>

<file path=customXml/itemProps5.xml><?xml version="1.0" encoding="utf-8"?>
<ds:datastoreItem xmlns:ds="http://schemas.openxmlformats.org/officeDocument/2006/customXml" ds:itemID="{9C00DBA0-97B9-4DB9-8CB6-E5C77B92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6231</Words>
  <Characters>35517</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41665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Lacarte</dc:creator>
  <cp:lastModifiedBy>Yasmin Khan</cp:lastModifiedBy>
  <cp:revision>2</cp:revision>
  <cp:lastPrinted>2019-01-09T15:44:00Z</cp:lastPrinted>
  <dcterms:created xsi:type="dcterms:W3CDTF">2019-12-11T15:41:00Z</dcterms:created>
  <dcterms:modified xsi:type="dcterms:W3CDTF">2019-12-11T15:41:00Z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0x010100023B47121BF529409712B797FC2D36FD009979D7AD1C815648A8F889567AE053FD</vt:lpwstr>
  </property>
  <property fmtid="{D5CDD505-2E9C-101B-9397-08002B2CF9AE}" pid="3" name="_dlc_DocIdItemGuid">
    <vt:lpwstr>bce42b5a-e47f-4c2c-8f2d-7981b4ae32ff</vt:lpwstr>
  </property>
  <property fmtid="{D5CDD505-2E9C-101B-9397-08002B2CF9AE}" pid="4" name="EMSGrantProposalMaterials">
    <vt:lpwstr>10574;#PHEP Indicator Manuscript|1d94d4bc-2e74-4413-a728-903dd2ba686e</vt:lpwstr>
  </property>
</Properties>
</file>