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71115" w14:textId="3B88EECE" w:rsidR="006F0E54" w:rsidRPr="0007451A" w:rsidRDefault="00DA6C3F" w:rsidP="006F0E54">
      <w:pPr>
        <w:pStyle w:val="Heading1"/>
        <w:ind w:left="0" w:firstLine="0"/>
        <w:jc w:val="both"/>
      </w:pPr>
      <w:r>
        <w:t>S1</w:t>
      </w:r>
      <w:r w:rsidR="006F0E54">
        <w:t xml:space="preserve"> </w:t>
      </w:r>
      <w:r w:rsidR="006F0E54" w:rsidRPr="0007451A">
        <w:t>Appendix: Cholera ABM (CABM) in ODD Protocol</w:t>
      </w:r>
    </w:p>
    <w:p w14:paraId="2A67524F" w14:textId="77777777" w:rsidR="006F0E54" w:rsidRPr="0007451A" w:rsidRDefault="006F0E54" w:rsidP="006F0E54">
      <w:pPr>
        <w:pStyle w:val="Heading2"/>
        <w:ind w:left="0" w:firstLine="0"/>
        <w:rPr>
          <w:lang w:eastAsia="en-GB"/>
        </w:rPr>
      </w:pPr>
      <w:r w:rsidRPr="0007451A">
        <w:rPr>
          <w:lang w:eastAsia="en-GB"/>
        </w:rPr>
        <w:t>Overview</w:t>
      </w:r>
    </w:p>
    <w:p w14:paraId="58CD67F4" w14:textId="77777777" w:rsidR="006F0E54" w:rsidRPr="0007451A" w:rsidRDefault="006F0E54" w:rsidP="006F0E54">
      <w:pPr>
        <w:pStyle w:val="Heading3"/>
        <w:rPr>
          <w:lang w:eastAsia="en-GB"/>
        </w:rPr>
      </w:pPr>
      <w:r w:rsidRPr="0007451A">
        <w:rPr>
          <w:lang w:eastAsia="en-GB"/>
        </w:rPr>
        <w:t>Purpose</w:t>
      </w:r>
    </w:p>
    <w:p w14:paraId="5B19F1E0" w14:textId="03159F01"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This model was initially developed to check if runoff water from open dumpsites in Kumasi Ghana can explain the diffusion of cholera during an epidemic in 2005 </w:t>
      </w:r>
      <w:r w:rsidRPr="0007451A">
        <w:rPr>
          <w:rFonts w:asciiTheme="minorBidi" w:eastAsia="Arial" w:hAnsiTheme="minorBidi" w:cstheme="minorBidi"/>
        </w:rPr>
        <w:fldChar w:fldCharType="begin" w:fldLock="1"/>
      </w:r>
      <w:r w:rsidR="00D010C7">
        <w:rPr>
          <w:rFonts w:asciiTheme="minorBidi" w:eastAsia="Arial" w:hAnsiTheme="minorBidi" w:cstheme="minorBidi"/>
        </w:rPr>
        <w:instrText>ADDIN CSL_CITATION {"citationItems":[{"id":"ITEM-1","itemData":{"DOI":"10.1007/s00477-015-1199-x","ISBN":"1436-3240","ISSN":"14363259","abstract":"This paper introduces a spatially explicit agent-based simulation model for micro-scale cholera diffusion. The model simulates both an environmental reservoir of naturally occurring V.cholerae bacteria and hyperinfectious V. cholerae. Objective of the research is to test if runoff from open refuse dumpsites plays a role in cholera diffusion. A number of experiments were conducted with the model for a case study in Kumasi, Ghana, based on an epidemic in 2005. Experiments confirm the importance of the hyperinfectious transmission route, however, they also reveal the importance of a representative spatial distribution of the income classes. Although the contribution of runoff from dumpsites can never be conclusively proven, the experiments show that modelling the epidemic via this mechanism is possible and improves the model results. Relevance of this research is that it shows the possibilities of agent-based modelling combined with pattern reproduction for cholera diffusion studies. The proposed model is simple in its setup but can be extended by adding additional elements such as human movement and change of behaviour of individuals based on disease awareness. Eventually, agent-based models will open opportunities to explore policy related research questions related to interventions to influence the diffusion process.","author":[{"dropping-particle":"","family":"Augustijn","given":"Ellen-wien Wien","non-dropping-particle":"","parse-names":false,"suffix":""},{"dropping-particle":"","family":"Doldersum","given":"Tom","non-dropping-particle":"","parse-names":false,"suffix":""},{"dropping-particle":"","family":"Useya","given":"Juliana","non-dropping-particle":"","parse-names":false,"suffix":""},{"dropping-particle":"","family":"Augustijn","given":"Denie","non-dropping-particle":"","parse-names":false,"suffix":""}],"container-title":"Stochastic Environmental Research and Risk Assessment","id":"ITEM-1","issue":"8","issued":{"date-parts":[["2016"]]},"page":"2079-2095","title":"Agent-based modelling of cholera","type":"article-journal","volume":"30"},"uris":["http://www.mendeley.com/documents/?uuid=f2604c96-0549-4e10-875f-647b901b7e37"]}],"mendeley":{"formattedCitation":"[1]","plainTextFormattedCitation":"[1]","previouslyFormattedCitation":"[1]"},"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[1]</w:t>
      </w:r>
      <w:r w:rsidRPr="0007451A">
        <w:rPr>
          <w:rFonts w:asciiTheme="minorBidi" w:eastAsia="Arial" w:hAnsiTheme="minorBidi" w:cstheme="minorBidi"/>
        </w:rPr>
        <w:fldChar w:fldCharType="end"/>
      </w:r>
      <w:r w:rsidRPr="0007451A">
        <w:rPr>
          <w:rFonts w:asciiTheme="minorBidi" w:eastAsia="Arial" w:hAnsiTheme="minorBidi" w:cstheme="minorBidi"/>
        </w:rPr>
        <w:t xml:space="preserve">. The basic model has been adjusted to include risk perception using Bayesian networks by Abdulkareem et al. </w:t>
      </w:r>
      <w:r w:rsidRPr="0007451A">
        <w:rPr>
          <w:rFonts w:asciiTheme="minorBidi" w:eastAsia="Arial" w:hAnsiTheme="minorBidi" w:cstheme="minorBidi"/>
        </w:rPr>
        <w:fldChar w:fldCharType="begin" w:fldLock="1"/>
      </w:r>
      <w:r w:rsidR="00D010C7">
        <w:rPr>
          <w:rFonts w:asciiTheme="minorBidi" w:eastAsia="Arial" w:hAnsiTheme="minorBidi" w:cstheme="minorBidi"/>
        </w:rPr>
        <w:instrText>ADDIN CSL_CITATION {"citationItems":[{"id":"ITEM-1","itemData":{"DOI":"10.1186/s12942-018-0128-x","ISBN":"1476-072X","ISSN":"1476-072X","PMID":"29558944","abstract":"Background: Millions of people worldwide are exposed to deadly infectious diseases on a regular basis. Breaking news of the Zika outbreak for instance, made it to the main media titles internationally. Perceiving disease risks moti- vate people to adapt their behavior toward a safer and more protective lifestyle. Computational science is instrumen- tal in exploring patterns of disease spread emerging from many individual decisions and interactions among agents and their environment by means of agent-based models. Yet, current disease models rarely consider simulating dynamics in risk perception and its impact on the adaptive protective behavior. Social sciences offer insights into indi- vidual risk perception and corresponding protective actions, while machine learning provides algorithms and meth- ods to capture these learning processes. This article presents an innovative approach to extend agent-based disease models by capturing behavioral aspects of decision-making in a risky context using machine learning techniques. We illustrate it with a case of cholera in Kumasi, Ghana, accounting for spatial and social risk factors that affect intelligent behavior and corresponding disease incidents. The results of computational experiments comparing intelligent with zero-intelligent representations of agents in a spatial disease agent-based model are discussed. Methods: We present a spatial disease agent-based model (ABM) with agents’ behavior grounded in Protection Motivation Theory. Spatial and temporal patterns of disease diffusion among zero-intelligent agents are compared to those produced by a population of intelligent agents. Two Bayesian Networks (BNs) designed and coded using R and are further integrated with the NetLogo-based Cholera ABM. The first is a one-tier BN1 (only risk perception), the second is a two-tier BN2 (risk and coping behavior). Results: We run three experiments (zero-intelligent agents, BN1 intelligence and BN2 intelligence) and report the results per experiment in terms of several macro metrics of interest: an epidemic curve, a risk perception curve, and a distribution of different types of coping strategies over time. Conclusions: Our results emphasize the importance of integrating behavioral aspects of decision making under risk into spatial disease ABMs using machine learning algorithms. This is especially relevant when studying cumulative impacts of behavioral changes and possible intervention strategies. Keywords:","author":[{"dropping-particle":"","family":"Abdulkareem","given":"Shaheen Abdullah","non-dropping-particle":"","parse-names":false,"suffix":""},{"dropping-particle":"","family":"Augustijn","given":"Ellen-Wien","non-dropping-particle":"","parse-names":false,"suffix":""},{"dropping-particle":"","family":"Mustafa","given":"Yaseen T.","non-dropping-particle":"","parse-names":false,"suffix":""},{"dropping-particle":"","family":"Filatova","given":"Tatiana","non-dropping-particle":"","parse-names":false,"suffix":""}],"container-title":"International Journal of Health Geographics","id":"ITEM-1","issue":"1","issued":{"date-parts":[["2018","12","20"]]},"page":"8","publisher":"BioMed Central","title":"Intelligent judgements over health risks in a spatial agent-based model","type":"article-journal","volume":"17"},"uris":["http://www.mendeley.com/documents/?uuid=47d2d231-51d4-415c-8c74-de582b5f1a93"]}],"mendeley":{"formattedCitation":"[2]","plainTextFormattedCitation":"[2]","previouslyFormattedCitation":"[2]"},"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[2]</w:t>
      </w:r>
      <w:r w:rsidRPr="0007451A">
        <w:rPr>
          <w:rFonts w:asciiTheme="minorBidi" w:eastAsia="Arial" w:hAnsiTheme="minorBidi" w:cstheme="minorBidi"/>
        </w:rPr>
        <w:fldChar w:fldCharType="end"/>
      </w:r>
      <w:r w:rsidRPr="0007451A">
        <w:rPr>
          <w:rFonts w:asciiTheme="minorBidi" w:eastAsia="Arial" w:hAnsiTheme="minorBidi" w:cstheme="minorBidi"/>
        </w:rPr>
        <w:t xml:space="preserve">. In both previous implementations, agents take decisions individually and no group processes are implemented. The purpose of this research is to investigate if different types of group </w:t>
      </w:r>
      <w:r>
        <w:rPr>
          <w:rFonts w:asciiTheme="minorBidi" w:eastAsia="Arial" w:hAnsiTheme="minorBidi" w:cstheme="minorBidi"/>
        </w:rPr>
        <w:t>behavior</w:t>
      </w:r>
      <w:r w:rsidRPr="0007451A">
        <w:rPr>
          <w:rFonts w:asciiTheme="minorBidi" w:eastAsia="Arial" w:hAnsiTheme="minorBidi" w:cstheme="minorBidi"/>
        </w:rPr>
        <w:t xml:space="preserve"> and variation in the level of interaction between agents influence the cholera diffusion patterns.</w:t>
      </w:r>
    </w:p>
    <w:p w14:paraId="0D611058" w14:textId="77777777" w:rsidR="006F0E54" w:rsidRPr="0007451A" w:rsidRDefault="006F0E54" w:rsidP="006F0E54">
      <w:pPr>
        <w:pStyle w:val="Heading3"/>
        <w:rPr>
          <w:lang w:eastAsia="en-GB"/>
        </w:rPr>
      </w:pPr>
      <w:r w:rsidRPr="0007451A">
        <w:rPr>
          <w:lang w:eastAsia="en-GB"/>
        </w:rPr>
        <w:t>Entities, State Variables, and Scales</w:t>
      </w:r>
    </w:p>
    <w:p w14:paraId="5FBCBE02" w14:textId="5AD6A502"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The model consists of four sub-models</w:t>
      </w:r>
      <w:r>
        <w:rPr>
          <w:rFonts w:asciiTheme="minorBidi" w:eastAsia="Arial" w:hAnsiTheme="minorBidi" w:cstheme="minorBidi"/>
        </w:rPr>
        <w:t>:</w:t>
      </w:r>
      <w:r w:rsidRPr="0007451A">
        <w:rPr>
          <w:rFonts w:asciiTheme="minorBidi" w:eastAsia="Arial" w:hAnsiTheme="minorBidi" w:cstheme="minorBidi"/>
        </w:rPr>
        <w:t xml:space="preserve"> </w:t>
      </w:r>
      <w:r>
        <w:rPr>
          <w:rFonts w:asciiTheme="minorBidi" w:eastAsia="Arial" w:hAnsiTheme="minorBidi" w:cstheme="minorBidi"/>
        </w:rPr>
        <w:t>a</w:t>
      </w:r>
      <w:r w:rsidRPr="0007451A">
        <w:rPr>
          <w:rFonts w:asciiTheme="minorBidi" w:eastAsia="Arial" w:hAnsiTheme="minorBidi" w:cstheme="minorBidi"/>
        </w:rPr>
        <w:t xml:space="preserve"> disease model, a hydrological model</w:t>
      </w:r>
      <w:r>
        <w:rPr>
          <w:rFonts w:asciiTheme="minorBidi" w:eastAsia="Arial" w:hAnsiTheme="minorBidi" w:cstheme="minorBidi"/>
        </w:rPr>
        <w:t>, an activity model and a visual pollution sub-model</w:t>
      </w:r>
      <w:r w:rsidRPr="0007451A">
        <w:rPr>
          <w:rFonts w:asciiTheme="minorBidi" w:eastAsia="Arial" w:hAnsiTheme="minorBidi" w:cstheme="minorBidi"/>
        </w:rPr>
        <w:t xml:space="preserve">. </w:t>
      </w:r>
      <w:r>
        <w:rPr>
          <w:rFonts w:asciiTheme="minorBidi" w:eastAsia="Arial" w:hAnsiTheme="minorBidi" w:cstheme="minorBidi"/>
        </w:rPr>
        <w:t xml:space="preserve">The hydrological model take care </w:t>
      </w:r>
      <w:r w:rsidRPr="0007451A">
        <w:rPr>
          <w:rFonts w:asciiTheme="minorBidi" w:eastAsia="Arial" w:hAnsiTheme="minorBidi" w:cstheme="minorBidi"/>
        </w:rPr>
        <w:t>taking care of the flow of rainwater over the land surface and the collection of this water into a river</w:t>
      </w:r>
      <w:r>
        <w:rPr>
          <w:rFonts w:asciiTheme="minorBidi" w:eastAsia="Arial" w:hAnsiTheme="minorBidi" w:cstheme="minorBidi"/>
        </w:rPr>
        <w:t xml:space="preserve">. </w:t>
      </w:r>
      <w:r w:rsidRPr="0007451A">
        <w:rPr>
          <w:rFonts w:asciiTheme="minorBidi" w:eastAsia="Arial" w:hAnsiTheme="minorBidi" w:cstheme="minorBidi"/>
        </w:rPr>
        <w:t xml:space="preserve">This model simulates the infection of river water with cholera. </w:t>
      </w:r>
      <w:r>
        <w:rPr>
          <w:rFonts w:asciiTheme="minorBidi" w:eastAsia="Arial" w:hAnsiTheme="minorBidi" w:cstheme="minorBidi"/>
        </w:rPr>
        <w:t>The</w:t>
      </w:r>
      <w:r w:rsidRPr="0007451A">
        <w:rPr>
          <w:rFonts w:asciiTheme="minorBidi" w:eastAsia="Arial" w:hAnsiTheme="minorBidi" w:cstheme="minorBidi"/>
        </w:rPr>
        <w:t xml:space="preserve"> activity model, which drives the collection of water by agents (leading to possible infection) and the dumping of </w:t>
      </w:r>
      <w:proofErr w:type="spellStart"/>
      <w:r w:rsidRPr="0007451A">
        <w:rPr>
          <w:rFonts w:asciiTheme="minorBidi" w:eastAsia="Arial" w:hAnsiTheme="minorBidi" w:cstheme="minorBidi"/>
        </w:rPr>
        <w:t>faecal</w:t>
      </w:r>
      <w:proofErr w:type="spellEnd"/>
      <w:r w:rsidRPr="0007451A">
        <w:rPr>
          <w:rFonts w:asciiTheme="minorBidi" w:eastAsia="Arial" w:hAnsiTheme="minorBidi" w:cstheme="minorBidi"/>
        </w:rPr>
        <w:t xml:space="preserve"> </w:t>
      </w:r>
      <w:r>
        <w:rPr>
          <w:rFonts w:asciiTheme="minorBidi" w:eastAsia="Arial" w:hAnsiTheme="minorBidi" w:cstheme="minorBidi"/>
        </w:rPr>
        <w:t xml:space="preserve">materials </w:t>
      </w:r>
      <w:r w:rsidRPr="0007451A">
        <w:rPr>
          <w:rFonts w:asciiTheme="minorBidi" w:eastAsia="Arial" w:hAnsiTheme="minorBidi" w:cstheme="minorBidi"/>
        </w:rPr>
        <w:t xml:space="preserve">on open dumpsites (driven infection back to the environment). </w:t>
      </w:r>
      <w:r>
        <w:rPr>
          <w:rFonts w:asciiTheme="minorBidi" w:eastAsia="Arial" w:hAnsiTheme="minorBidi" w:cstheme="minorBidi"/>
        </w:rPr>
        <w:t>It</w:t>
      </w:r>
      <w:r w:rsidRPr="0007451A">
        <w:rPr>
          <w:rFonts w:asciiTheme="minorBidi" w:eastAsia="Arial" w:hAnsiTheme="minorBidi" w:cstheme="minorBidi"/>
        </w:rPr>
        <w:t xml:space="preserve"> also evaluates possible risk (risk assessment) and</w:t>
      </w:r>
      <w:r>
        <w:rPr>
          <w:rFonts w:asciiTheme="minorBidi" w:eastAsia="Arial" w:hAnsiTheme="minorBidi" w:cstheme="minorBidi"/>
        </w:rPr>
        <w:t>,</w:t>
      </w:r>
      <w:r w:rsidRPr="0007451A">
        <w:rPr>
          <w:rFonts w:asciiTheme="minorBidi" w:eastAsia="Arial" w:hAnsiTheme="minorBidi" w:cstheme="minorBidi"/>
        </w:rPr>
        <w:t xml:space="preserve"> in case risk</w:t>
      </w:r>
      <w:r>
        <w:rPr>
          <w:rFonts w:asciiTheme="minorBidi" w:eastAsia="Arial" w:hAnsiTheme="minorBidi" w:cstheme="minorBidi"/>
        </w:rPr>
        <w:t>,</w:t>
      </w:r>
      <w:r w:rsidRPr="0007451A">
        <w:rPr>
          <w:rFonts w:asciiTheme="minorBidi" w:eastAsia="Arial" w:hAnsiTheme="minorBidi" w:cstheme="minorBidi"/>
        </w:rPr>
        <w:t xml:space="preserve"> </w:t>
      </w:r>
      <w:r>
        <w:rPr>
          <w:rFonts w:asciiTheme="minorBidi" w:eastAsia="Arial" w:hAnsiTheme="minorBidi" w:cstheme="minorBidi"/>
        </w:rPr>
        <w:t xml:space="preserve">the choice of </w:t>
      </w:r>
      <w:proofErr w:type="spellStart"/>
      <w:r w:rsidRPr="0007451A">
        <w:rPr>
          <w:rFonts w:asciiTheme="minorBidi" w:eastAsia="Arial" w:hAnsiTheme="minorBidi" w:cstheme="minorBidi"/>
        </w:rPr>
        <w:t>of</w:t>
      </w:r>
      <w:proofErr w:type="spellEnd"/>
      <w:r w:rsidRPr="0007451A">
        <w:rPr>
          <w:rFonts w:asciiTheme="minorBidi" w:eastAsia="Arial" w:hAnsiTheme="minorBidi" w:cstheme="minorBidi"/>
        </w:rPr>
        <w:t xml:space="preserve"> using an alternative water source</w:t>
      </w:r>
      <w:r>
        <w:rPr>
          <w:rFonts w:asciiTheme="minorBidi" w:eastAsia="Arial" w:hAnsiTheme="minorBidi" w:cstheme="minorBidi"/>
        </w:rPr>
        <w:t xml:space="preserve"> (coping)</w:t>
      </w:r>
      <w:r w:rsidRPr="0007451A">
        <w:rPr>
          <w:rFonts w:asciiTheme="minorBidi" w:eastAsia="Arial" w:hAnsiTheme="minorBidi" w:cstheme="minorBidi"/>
        </w:rPr>
        <w:t xml:space="preserve">. </w:t>
      </w:r>
      <w:r>
        <w:rPr>
          <w:rFonts w:asciiTheme="minorBidi" w:eastAsia="Arial" w:hAnsiTheme="minorBidi" w:cstheme="minorBidi"/>
        </w:rPr>
        <w:t>The</w:t>
      </w:r>
      <w:r w:rsidRPr="0007451A">
        <w:rPr>
          <w:rFonts w:asciiTheme="minorBidi" w:eastAsia="Arial" w:hAnsiTheme="minorBidi" w:cstheme="minorBidi"/>
        </w:rPr>
        <w:t xml:space="preserve"> </w:t>
      </w:r>
      <w:r>
        <w:rPr>
          <w:rFonts w:asciiTheme="minorBidi" w:eastAsia="Arial" w:hAnsiTheme="minorBidi" w:cstheme="minorBidi"/>
        </w:rPr>
        <w:t>V</w:t>
      </w:r>
      <w:r w:rsidRPr="0007451A">
        <w:rPr>
          <w:rFonts w:asciiTheme="minorBidi" w:eastAsia="Arial" w:hAnsiTheme="minorBidi" w:cstheme="minorBidi"/>
        </w:rPr>
        <w:t xml:space="preserve">isual </w:t>
      </w:r>
      <w:r>
        <w:rPr>
          <w:rFonts w:asciiTheme="minorBidi" w:eastAsia="Arial" w:hAnsiTheme="minorBidi" w:cstheme="minorBidi"/>
        </w:rPr>
        <w:t>P</w:t>
      </w:r>
      <w:r w:rsidRPr="0007451A">
        <w:rPr>
          <w:rFonts w:asciiTheme="minorBidi" w:eastAsia="Arial" w:hAnsiTheme="minorBidi" w:cstheme="minorBidi"/>
        </w:rPr>
        <w:t xml:space="preserve">ollution </w:t>
      </w:r>
      <w:r>
        <w:rPr>
          <w:rFonts w:asciiTheme="minorBidi" w:eastAsia="Arial" w:hAnsiTheme="minorBidi" w:cstheme="minorBidi"/>
        </w:rPr>
        <w:t xml:space="preserve">sub-model calculates the level of visual pollution at water collection points which </w:t>
      </w:r>
      <w:r w:rsidRPr="0007451A">
        <w:rPr>
          <w:rFonts w:asciiTheme="minorBidi" w:eastAsia="Arial" w:hAnsiTheme="minorBidi" w:cstheme="minorBidi"/>
        </w:rPr>
        <w:t xml:space="preserve">is used as a proxy for </w:t>
      </w:r>
      <w:r>
        <w:rPr>
          <w:rFonts w:asciiTheme="minorBidi" w:eastAsia="Arial" w:hAnsiTheme="minorBidi" w:cstheme="minorBidi"/>
        </w:rPr>
        <w:t xml:space="preserve">the </w:t>
      </w:r>
      <w:r w:rsidRPr="0007451A">
        <w:rPr>
          <w:rFonts w:asciiTheme="minorBidi" w:eastAsia="Arial" w:hAnsiTheme="minorBidi" w:cstheme="minorBidi"/>
        </w:rPr>
        <w:t xml:space="preserve">safety of the river water. A complete overview of all agents and their attributes is provided in </w:t>
      </w:r>
      <w:r w:rsidR="00DA6C3F">
        <w:rPr>
          <w:rFonts w:asciiTheme="minorBidi" w:eastAsia="Arial" w:hAnsiTheme="minorBidi" w:cstheme="minorBidi"/>
        </w:rPr>
        <w:t>S1</w:t>
      </w:r>
      <w:r>
        <w:rPr>
          <w:rFonts w:asciiTheme="minorBidi" w:eastAsia="Arial" w:hAnsiTheme="minorBidi" w:cstheme="minorBidi"/>
        </w:rPr>
        <w:t xml:space="preserve"> </w:t>
      </w:r>
      <w:r w:rsidRPr="0007451A">
        <w:rPr>
          <w:rFonts w:asciiTheme="minorBidi" w:eastAsia="Arial" w:hAnsiTheme="minorBidi" w:cstheme="minorBidi"/>
        </w:rPr>
        <w:t xml:space="preserve">Table 1. </w:t>
      </w:r>
    </w:p>
    <w:p w14:paraId="66D23BD9" w14:textId="4B19227D" w:rsidR="006F0E54" w:rsidRPr="0007451A" w:rsidRDefault="00DA6C3F" w:rsidP="006F0E54">
      <w:pPr>
        <w:pStyle w:val="Caption"/>
        <w:keepNext/>
        <w:jc w:val="both"/>
        <w:rPr>
          <w:b/>
          <w:bCs/>
          <w:szCs w:val="20"/>
        </w:rPr>
      </w:pPr>
      <w:r>
        <w:rPr>
          <w:szCs w:val="20"/>
        </w:rPr>
        <w:t>S1</w:t>
      </w:r>
      <w:r w:rsidR="006F0E54">
        <w:rPr>
          <w:szCs w:val="20"/>
        </w:rPr>
        <w:t xml:space="preserve"> </w:t>
      </w:r>
      <w:r w:rsidR="006F0E54" w:rsidRPr="0007451A">
        <w:rPr>
          <w:szCs w:val="20"/>
        </w:rPr>
        <w:t xml:space="preserve">Table </w:t>
      </w:r>
      <w:r w:rsidR="006F0E54" w:rsidRPr="0007451A">
        <w:rPr>
          <w:b/>
          <w:bCs/>
          <w:szCs w:val="20"/>
        </w:rPr>
        <w:t>1</w:t>
      </w:r>
      <w:r w:rsidR="006F0E54" w:rsidRPr="0007451A">
        <w:rPr>
          <w:szCs w:val="20"/>
        </w:rPr>
        <w:t xml:space="preserve">: Attributes and </w:t>
      </w:r>
      <w:r w:rsidR="006F0E54">
        <w:rPr>
          <w:szCs w:val="20"/>
        </w:rPr>
        <w:t>behavior</w:t>
      </w:r>
      <w:r w:rsidR="006F0E54" w:rsidRPr="0007451A">
        <w:rPr>
          <w:szCs w:val="20"/>
        </w:rPr>
        <w:t xml:space="preserve"> of agents in CABM</w:t>
      </w:r>
    </w:p>
    <w:tbl>
      <w:tblPr>
        <w:tblStyle w:val="ListTable6Colorful"/>
        <w:tblW w:w="5000" w:type="pct"/>
        <w:tblLook w:val="04A0" w:firstRow="1" w:lastRow="0" w:firstColumn="1" w:lastColumn="0" w:noHBand="0" w:noVBand="1"/>
      </w:tblPr>
      <w:tblGrid>
        <w:gridCol w:w="2573"/>
        <w:gridCol w:w="3076"/>
        <w:gridCol w:w="3361"/>
      </w:tblGrid>
      <w:tr w:rsidR="006F0E54" w:rsidRPr="0007451A" w14:paraId="5CA4A75A" w14:textId="77777777" w:rsidTr="009D57AD">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28" w:type="pct"/>
            <w:tcBorders>
              <w:top w:val="single" w:sz="4" w:space="0" w:color="auto"/>
              <w:left w:val="single" w:sz="4" w:space="0" w:color="auto"/>
            </w:tcBorders>
            <w:shd w:val="clear" w:color="auto" w:fill="auto"/>
          </w:tcPr>
          <w:p w14:paraId="2A4EEDF7" w14:textId="77777777" w:rsidR="006F0E54" w:rsidRPr="00E120F3" w:rsidRDefault="006F0E54" w:rsidP="009D57AD">
            <w:pPr>
              <w:spacing w:after="100" w:afterAutospacing="1" w:line="360" w:lineRule="auto"/>
              <w:jc w:val="both"/>
              <w:rPr>
                <w:rFonts w:asciiTheme="majorHAnsi" w:hAnsiTheme="majorHAnsi" w:cs="Arial"/>
                <w:sz w:val="18"/>
                <w:szCs w:val="18"/>
                <w:lang w:val="en-GB"/>
              </w:rPr>
            </w:pPr>
            <w:r w:rsidRPr="00E120F3">
              <w:rPr>
                <w:rFonts w:asciiTheme="majorHAnsi" w:hAnsiTheme="majorHAnsi" w:cs="Arial"/>
                <w:sz w:val="18"/>
                <w:szCs w:val="18"/>
                <w:lang w:val="en-GB"/>
              </w:rPr>
              <w:t>Agent name</w:t>
            </w:r>
          </w:p>
        </w:tc>
        <w:tc>
          <w:tcPr>
            <w:tcW w:w="1707" w:type="pct"/>
            <w:tcBorders>
              <w:top w:val="single" w:sz="4" w:space="0" w:color="auto"/>
            </w:tcBorders>
          </w:tcPr>
          <w:p w14:paraId="310BF96B" w14:textId="77777777" w:rsidR="006F0E54" w:rsidRPr="0007451A" w:rsidRDefault="006F0E54" w:rsidP="009D57AD">
            <w:pPr>
              <w:spacing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cs="Arial"/>
                <w:b w:val="0"/>
                <w:sz w:val="18"/>
                <w:szCs w:val="18"/>
                <w:lang w:val="en-GB"/>
              </w:rPr>
            </w:pPr>
            <w:r w:rsidRPr="0007451A">
              <w:rPr>
                <w:rFonts w:cs="Arial"/>
                <w:b w:val="0"/>
                <w:sz w:val="18"/>
                <w:szCs w:val="18"/>
                <w:lang w:val="en-GB"/>
              </w:rPr>
              <w:t>Attributes</w:t>
            </w:r>
          </w:p>
        </w:tc>
        <w:tc>
          <w:tcPr>
            <w:tcW w:w="1865" w:type="pct"/>
            <w:tcBorders>
              <w:top w:val="single" w:sz="4" w:space="0" w:color="auto"/>
              <w:right w:val="single" w:sz="4" w:space="0" w:color="auto"/>
            </w:tcBorders>
          </w:tcPr>
          <w:p w14:paraId="336C4BCC" w14:textId="77777777" w:rsidR="006F0E54" w:rsidRPr="0007451A" w:rsidRDefault="006F0E54" w:rsidP="009D57AD">
            <w:pPr>
              <w:spacing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cs="Arial"/>
                <w:b w:val="0"/>
                <w:sz w:val="18"/>
                <w:szCs w:val="18"/>
                <w:lang w:val="en-GB"/>
              </w:rPr>
            </w:pPr>
            <w:proofErr w:type="spellStart"/>
            <w:r>
              <w:rPr>
                <w:rFonts w:cs="Arial"/>
                <w:b w:val="0"/>
                <w:sz w:val="18"/>
                <w:szCs w:val="18"/>
                <w:lang w:val="en-GB"/>
              </w:rPr>
              <w:t>Behavior</w:t>
            </w:r>
            <w:proofErr w:type="spellEnd"/>
          </w:p>
        </w:tc>
      </w:tr>
      <w:tr w:rsidR="006F0E54" w:rsidRPr="0007451A" w14:paraId="1B4D1EAE" w14:textId="77777777" w:rsidTr="009D57A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28" w:type="pct"/>
            <w:tcBorders>
              <w:top w:val="single" w:sz="4" w:space="0" w:color="000000" w:themeColor="text1"/>
              <w:left w:val="single" w:sz="4" w:space="0" w:color="auto"/>
              <w:bottom w:val="single" w:sz="4" w:space="0" w:color="auto"/>
            </w:tcBorders>
            <w:shd w:val="clear" w:color="auto" w:fill="auto"/>
            <w:vAlign w:val="center"/>
          </w:tcPr>
          <w:p w14:paraId="33B50428" w14:textId="77777777" w:rsidR="006F0E54" w:rsidRPr="00E120F3" w:rsidRDefault="006F0E54" w:rsidP="009D57AD">
            <w:pPr>
              <w:spacing w:after="100" w:afterAutospacing="1" w:line="360" w:lineRule="auto"/>
              <w:rPr>
                <w:rFonts w:asciiTheme="majorHAnsi" w:hAnsiTheme="majorHAnsi" w:cs="Arial"/>
                <w:sz w:val="18"/>
                <w:szCs w:val="18"/>
                <w:lang w:val="en-GB"/>
              </w:rPr>
            </w:pPr>
            <w:r w:rsidRPr="00E120F3">
              <w:rPr>
                <w:rFonts w:asciiTheme="majorHAnsi" w:hAnsiTheme="majorHAnsi" w:cs="Arial"/>
                <w:sz w:val="18"/>
                <w:szCs w:val="18"/>
                <w:lang w:val="en-GB"/>
              </w:rPr>
              <w:t>Household</w:t>
            </w:r>
          </w:p>
        </w:tc>
        <w:tc>
          <w:tcPr>
            <w:tcW w:w="1707" w:type="pct"/>
            <w:tcBorders>
              <w:top w:val="single" w:sz="4" w:space="0" w:color="000000" w:themeColor="text1"/>
              <w:bottom w:val="single" w:sz="4" w:space="0" w:color="auto"/>
            </w:tcBorders>
            <w:shd w:val="clear" w:color="auto" w:fill="auto"/>
          </w:tcPr>
          <w:p w14:paraId="426D51EA"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Income level</w:t>
            </w:r>
          </w:p>
          <w:p w14:paraId="76EC609C"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Hygiene level</w:t>
            </w:r>
          </w:p>
          <w:p w14:paraId="6543425F"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Water collection point</w:t>
            </w:r>
          </w:p>
          <w:p w14:paraId="60562089"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Access to tap water</w:t>
            </w:r>
          </w:p>
          <w:p w14:paraId="632B026E"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Education level</w:t>
            </w:r>
          </w:p>
          <w:p w14:paraId="04092DED"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Memory</w:t>
            </w:r>
          </w:p>
        </w:tc>
        <w:tc>
          <w:tcPr>
            <w:tcW w:w="1865" w:type="pct"/>
            <w:tcBorders>
              <w:top w:val="single" w:sz="4" w:space="0" w:color="000000" w:themeColor="text1"/>
              <w:bottom w:val="single" w:sz="4" w:space="0" w:color="auto"/>
              <w:right w:val="single" w:sz="4" w:space="0" w:color="auto"/>
            </w:tcBorders>
            <w:shd w:val="clear" w:color="auto" w:fill="auto"/>
          </w:tcPr>
          <w:p w14:paraId="6F338927"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Fetching water</w:t>
            </w:r>
          </w:p>
          <w:p w14:paraId="272195E1"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Dump waste</w:t>
            </w:r>
          </w:p>
          <w:p w14:paraId="4E7FA431"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Perceiving risk</w:t>
            </w:r>
          </w:p>
          <w:p w14:paraId="11CAC245"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Make coping decisions</w:t>
            </w:r>
          </w:p>
          <w:p w14:paraId="2A8B9C12"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Evaluating pervious decision</w:t>
            </w:r>
          </w:p>
          <w:p w14:paraId="48EF318F"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Fetch water (new timing)</w:t>
            </w:r>
            <w:r w:rsidRPr="0007451A">
              <w:rPr>
                <w:rFonts w:cs="Arial"/>
                <w:sz w:val="18"/>
                <w:szCs w:val="18"/>
                <w:vertAlign w:val="superscript"/>
                <w:lang w:val="en-GB"/>
              </w:rPr>
              <w:t xml:space="preserve"> </w:t>
            </w:r>
          </w:p>
        </w:tc>
      </w:tr>
      <w:tr w:rsidR="006F0E54" w:rsidRPr="0007451A" w14:paraId="6C5E4703" w14:textId="77777777" w:rsidTr="009D57AD">
        <w:trPr>
          <w:trHeight w:val="261"/>
        </w:trPr>
        <w:tc>
          <w:tcPr>
            <w:cnfStyle w:val="001000000000" w:firstRow="0" w:lastRow="0" w:firstColumn="1" w:lastColumn="0" w:oddVBand="0" w:evenVBand="0" w:oddHBand="0" w:evenHBand="0" w:firstRowFirstColumn="0" w:firstRowLastColumn="0" w:lastRowFirstColumn="0" w:lastRowLastColumn="0"/>
            <w:tcW w:w="1428" w:type="pct"/>
            <w:tcBorders>
              <w:top w:val="single" w:sz="4" w:space="0" w:color="auto"/>
              <w:left w:val="single" w:sz="4" w:space="0" w:color="auto"/>
              <w:bottom w:val="single" w:sz="4" w:space="0" w:color="auto"/>
            </w:tcBorders>
            <w:shd w:val="clear" w:color="auto" w:fill="auto"/>
            <w:vAlign w:val="center"/>
          </w:tcPr>
          <w:p w14:paraId="789EC9FB" w14:textId="77777777" w:rsidR="006F0E54" w:rsidRPr="00E120F3" w:rsidRDefault="006F0E54" w:rsidP="009D57AD">
            <w:pPr>
              <w:spacing w:after="100" w:afterAutospacing="1" w:line="360" w:lineRule="auto"/>
              <w:rPr>
                <w:rFonts w:asciiTheme="majorHAnsi" w:hAnsiTheme="majorHAnsi" w:cs="Arial"/>
                <w:sz w:val="18"/>
                <w:szCs w:val="18"/>
                <w:lang w:val="en-GB"/>
              </w:rPr>
            </w:pPr>
            <w:r w:rsidRPr="00E120F3">
              <w:rPr>
                <w:rFonts w:asciiTheme="majorHAnsi" w:hAnsiTheme="majorHAnsi" w:cs="Arial"/>
                <w:sz w:val="18"/>
                <w:szCs w:val="18"/>
                <w:lang w:val="en-GB"/>
              </w:rPr>
              <w:t>Individuals</w:t>
            </w:r>
          </w:p>
        </w:tc>
        <w:tc>
          <w:tcPr>
            <w:tcW w:w="1707" w:type="pct"/>
            <w:tcBorders>
              <w:top w:val="single" w:sz="4" w:space="0" w:color="auto"/>
              <w:bottom w:val="single" w:sz="4" w:space="0" w:color="auto"/>
            </w:tcBorders>
            <w:shd w:val="clear" w:color="auto" w:fill="auto"/>
          </w:tcPr>
          <w:p w14:paraId="7EB79B0A" w14:textId="77777777" w:rsidR="006F0E54" w:rsidRPr="0007451A" w:rsidRDefault="006F0E54" w:rsidP="006F0E54">
            <w:pPr>
              <w:pStyle w:val="ListParagraph"/>
              <w:numPr>
                <w:ilvl w:val="0"/>
                <w:numId w:val="1"/>
              </w:numPr>
              <w:spacing w:after="100" w:afterAutospacing="1" w:line="360" w:lineRule="auto"/>
              <w:ind w:left="175" w:hanging="218"/>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07451A">
              <w:rPr>
                <w:rFonts w:cs="Arial"/>
                <w:sz w:val="18"/>
                <w:szCs w:val="18"/>
                <w:lang w:val="en-GB"/>
              </w:rPr>
              <w:t>Household ID</w:t>
            </w:r>
          </w:p>
          <w:p w14:paraId="64C3CE62" w14:textId="77777777" w:rsidR="006F0E54" w:rsidRPr="0007451A" w:rsidRDefault="006F0E54" w:rsidP="006F0E54">
            <w:pPr>
              <w:pStyle w:val="ListParagraph"/>
              <w:numPr>
                <w:ilvl w:val="0"/>
                <w:numId w:val="1"/>
              </w:numPr>
              <w:spacing w:after="100" w:afterAutospacing="1" w:line="360" w:lineRule="auto"/>
              <w:ind w:left="175" w:hanging="218"/>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07451A">
              <w:rPr>
                <w:rFonts w:cs="Arial"/>
                <w:sz w:val="18"/>
                <w:szCs w:val="18"/>
                <w:lang w:val="en-GB"/>
              </w:rPr>
              <w:t>Gender</w:t>
            </w:r>
          </w:p>
          <w:p w14:paraId="46D17A44" w14:textId="77777777" w:rsidR="006F0E54" w:rsidRPr="0007451A" w:rsidRDefault="006F0E54" w:rsidP="006F0E54">
            <w:pPr>
              <w:pStyle w:val="ListParagraph"/>
              <w:numPr>
                <w:ilvl w:val="0"/>
                <w:numId w:val="1"/>
              </w:numPr>
              <w:spacing w:after="100" w:afterAutospacing="1" w:line="360" w:lineRule="auto"/>
              <w:ind w:left="175" w:hanging="218"/>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07451A">
              <w:rPr>
                <w:rFonts w:cs="Arial"/>
                <w:sz w:val="18"/>
                <w:szCs w:val="18"/>
                <w:lang w:val="en-GB"/>
              </w:rPr>
              <w:t>Blood type</w:t>
            </w:r>
          </w:p>
          <w:p w14:paraId="6D4C556C" w14:textId="77777777" w:rsidR="006F0E54" w:rsidRPr="0007451A" w:rsidRDefault="006F0E54" w:rsidP="006F0E54">
            <w:pPr>
              <w:pStyle w:val="ListParagraph"/>
              <w:numPr>
                <w:ilvl w:val="0"/>
                <w:numId w:val="1"/>
              </w:numPr>
              <w:spacing w:after="100" w:afterAutospacing="1" w:line="360" w:lineRule="auto"/>
              <w:ind w:left="175" w:hanging="218"/>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07451A">
              <w:rPr>
                <w:rFonts w:cs="Arial"/>
                <w:sz w:val="18"/>
                <w:szCs w:val="18"/>
                <w:lang w:val="en-GB"/>
              </w:rPr>
              <w:t>Age</w:t>
            </w:r>
          </w:p>
          <w:p w14:paraId="2475FE75" w14:textId="77777777" w:rsidR="006F0E54" w:rsidRPr="0007451A" w:rsidRDefault="006F0E54" w:rsidP="006F0E54">
            <w:pPr>
              <w:pStyle w:val="ListParagraph"/>
              <w:numPr>
                <w:ilvl w:val="0"/>
                <w:numId w:val="1"/>
              </w:numPr>
              <w:spacing w:line="360" w:lineRule="auto"/>
              <w:ind w:left="170" w:hanging="215"/>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07451A">
              <w:rPr>
                <w:rFonts w:cs="Arial"/>
                <w:sz w:val="18"/>
                <w:szCs w:val="18"/>
                <w:lang w:val="en-GB"/>
              </w:rPr>
              <w:t>Health status</w:t>
            </w:r>
          </w:p>
        </w:tc>
        <w:tc>
          <w:tcPr>
            <w:tcW w:w="1865" w:type="pct"/>
            <w:tcBorders>
              <w:top w:val="single" w:sz="4" w:space="0" w:color="auto"/>
              <w:bottom w:val="single" w:sz="4" w:space="0" w:color="auto"/>
              <w:right w:val="single" w:sz="4" w:space="0" w:color="auto"/>
            </w:tcBorders>
            <w:shd w:val="clear" w:color="auto" w:fill="auto"/>
          </w:tcPr>
          <w:p w14:paraId="5DAF8979" w14:textId="77777777" w:rsidR="006F0E54" w:rsidRPr="0007451A" w:rsidRDefault="006F0E54" w:rsidP="006F0E54">
            <w:pPr>
              <w:pStyle w:val="ListParagraph"/>
              <w:numPr>
                <w:ilvl w:val="0"/>
                <w:numId w:val="1"/>
              </w:numPr>
              <w:spacing w:after="100" w:afterAutospacing="1" w:line="360" w:lineRule="auto"/>
              <w:ind w:left="175" w:hanging="218"/>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07451A">
              <w:rPr>
                <w:rFonts w:cs="Arial"/>
                <w:sz w:val="18"/>
                <w:szCs w:val="18"/>
                <w:lang w:val="en-GB"/>
              </w:rPr>
              <w:t>Use the water (drink, cook)</w:t>
            </w:r>
          </w:p>
          <w:p w14:paraId="3239BEED" w14:textId="77777777" w:rsidR="006F0E54" w:rsidRPr="0007451A" w:rsidRDefault="006F0E54" w:rsidP="006F0E54">
            <w:pPr>
              <w:pStyle w:val="ListParagraph"/>
              <w:numPr>
                <w:ilvl w:val="0"/>
                <w:numId w:val="1"/>
              </w:numPr>
              <w:spacing w:after="100" w:afterAutospacing="1" w:line="360" w:lineRule="auto"/>
              <w:ind w:left="175" w:hanging="218"/>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07451A">
              <w:rPr>
                <w:rFonts w:cs="Arial"/>
                <w:sz w:val="18"/>
                <w:szCs w:val="18"/>
                <w:lang w:val="en-GB"/>
              </w:rPr>
              <w:t>Infected/recovered</w:t>
            </w:r>
          </w:p>
        </w:tc>
      </w:tr>
      <w:tr w:rsidR="006F0E54" w:rsidRPr="0007451A" w14:paraId="0BF05F45" w14:textId="77777777" w:rsidTr="009D57A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28" w:type="pct"/>
            <w:tcBorders>
              <w:top w:val="single" w:sz="4" w:space="0" w:color="auto"/>
              <w:left w:val="single" w:sz="4" w:space="0" w:color="auto"/>
              <w:bottom w:val="single" w:sz="4" w:space="0" w:color="auto"/>
            </w:tcBorders>
            <w:shd w:val="clear" w:color="auto" w:fill="auto"/>
            <w:vAlign w:val="center"/>
          </w:tcPr>
          <w:p w14:paraId="77D731C7" w14:textId="77777777" w:rsidR="006F0E54" w:rsidRPr="00E120F3" w:rsidRDefault="006F0E54" w:rsidP="009D57AD">
            <w:pPr>
              <w:spacing w:after="100" w:afterAutospacing="1" w:line="360" w:lineRule="auto"/>
              <w:rPr>
                <w:rFonts w:asciiTheme="majorHAnsi" w:hAnsiTheme="majorHAnsi" w:cs="Arial"/>
                <w:sz w:val="18"/>
                <w:szCs w:val="18"/>
                <w:lang w:val="en-GB"/>
              </w:rPr>
            </w:pPr>
            <w:r w:rsidRPr="00E120F3">
              <w:rPr>
                <w:rFonts w:asciiTheme="majorHAnsi" w:hAnsiTheme="majorHAnsi" w:cs="Arial"/>
                <w:sz w:val="18"/>
                <w:szCs w:val="18"/>
                <w:lang w:val="en-GB"/>
              </w:rPr>
              <w:t>Rain particles</w:t>
            </w:r>
          </w:p>
        </w:tc>
        <w:tc>
          <w:tcPr>
            <w:tcW w:w="1707" w:type="pct"/>
            <w:tcBorders>
              <w:top w:val="single" w:sz="4" w:space="0" w:color="auto"/>
              <w:bottom w:val="single" w:sz="4" w:space="0" w:color="auto"/>
            </w:tcBorders>
            <w:shd w:val="clear" w:color="auto" w:fill="auto"/>
          </w:tcPr>
          <w:p w14:paraId="159D8A85"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Infection level</w:t>
            </w:r>
          </w:p>
          <w:p w14:paraId="57D7C118"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lastRenderedPageBreak/>
              <w:t>Volume</w:t>
            </w:r>
          </w:p>
          <w:p w14:paraId="0B179914" w14:textId="77777777" w:rsidR="006F0E54" w:rsidRPr="0007451A" w:rsidRDefault="006F0E54" w:rsidP="006F0E54">
            <w:pPr>
              <w:pStyle w:val="ListParagraph"/>
              <w:numPr>
                <w:ilvl w:val="0"/>
                <w:numId w:val="1"/>
              </w:numPr>
              <w:spacing w:after="100" w:afterAutospacing="1" w:line="360" w:lineRule="auto"/>
              <w:ind w:left="175" w:hanging="218"/>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07451A">
              <w:rPr>
                <w:rFonts w:cs="Arial"/>
                <w:sz w:val="18"/>
                <w:szCs w:val="18"/>
                <w:lang w:val="en-GB"/>
              </w:rPr>
              <w:t>Travel time</w:t>
            </w:r>
          </w:p>
        </w:tc>
        <w:tc>
          <w:tcPr>
            <w:tcW w:w="1865" w:type="pct"/>
            <w:tcBorders>
              <w:top w:val="single" w:sz="4" w:space="0" w:color="auto"/>
              <w:bottom w:val="single" w:sz="4" w:space="0" w:color="auto"/>
              <w:right w:val="single" w:sz="4" w:space="0" w:color="auto"/>
            </w:tcBorders>
            <w:shd w:val="clear" w:color="auto" w:fill="auto"/>
          </w:tcPr>
          <w:p w14:paraId="23584233" w14:textId="77777777" w:rsidR="006F0E54" w:rsidRPr="0007451A" w:rsidRDefault="006F0E54" w:rsidP="009D57AD">
            <w:pPr>
              <w:pStyle w:val="ListParagraph"/>
              <w:spacing w:after="100" w:afterAutospacing="1" w:line="360" w:lineRule="auto"/>
              <w:ind w:left="175"/>
              <w:cnfStyle w:val="000000100000" w:firstRow="0" w:lastRow="0" w:firstColumn="0" w:lastColumn="0" w:oddVBand="0" w:evenVBand="0" w:oddHBand="1" w:evenHBand="0" w:firstRowFirstColumn="0" w:firstRowLastColumn="0" w:lastRowFirstColumn="0" w:lastRowLastColumn="0"/>
              <w:rPr>
                <w:rFonts w:cs="Arial"/>
                <w:sz w:val="18"/>
                <w:szCs w:val="18"/>
                <w:lang w:val="en-GB"/>
              </w:rPr>
            </w:pPr>
          </w:p>
        </w:tc>
      </w:tr>
      <w:tr w:rsidR="006F0E54" w:rsidRPr="0007451A" w14:paraId="7E5A90D3" w14:textId="77777777" w:rsidTr="009D57AD">
        <w:trPr>
          <w:trHeight w:val="261"/>
        </w:trPr>
        <w:tc>
          <w:tcPr>
            <w:cnfStyle w:val="001000000000" w:firstRow="0" w:lastRow="0" w:firstColumn="1" w:lastColumn="0" w:oddVBand="0" w:evenVBand="0" w:oddHBand="0" w:evenHBand="0" w:firstRowFirstColumn="0" w:firstRowLastColumn="0" w:lastRowFirstColumn="0" w:lastRowLastColumn="0"/>
            <w:tcW w:w="1428" w:type="pct"/>
            <w:tcBorders>
              <w:top w:val="single" w:sz="4" w:space="0" w:color="auto"/>
              <w:left w:val="single" w:sz="4" w:space="0" w:color="auto"/>
              <w:bottom w:val="single" w:sz="4" w:space="0" w:color="auto"/>
            </w:tcBorders>
            <w:shd w:val="clear" w:color="auto" w:fill="auto"/>
            <w:vAlign w:val="center"/>
          </w:tcPr>
          <w:p w14:paraId="1F838B26" w14:textId="77777777" w:rsidR="006F0E54" w:rsidRPr="00E120F3" w:rsidRDefault="006F0E54" w:rsidP="009D57AD">
            <w:pPr>
              <w:spacing w:after="100" w:afterAutospacing="1" w:line="360" w:lineRule="auto"/>
              <w:rPr>
                <w:rFonts w:asciiTheme="majorHAnsi" w:hAnsiTheme="majorHAnsi" w:cs="Arial"/>
                <w:sz w:val="18"/>
                <w:szCs w:val="18"/>
                <w:vertAlign w:val="superscript"/>
                <w:lang w:val="en-GB"/>
              </w:rPr>
            </w:pPr>
            <w:r w:rsidRPr="00E120F3">
              <w:rPr>
                <w:rFonts w:asciiTheme="majorHAnsi" w:hAnsiTheme="majorHAnsi" w:cs="Arial"/>
                <w:sz w:val="18"/>
                <w:szCs w:val="18"/>
                <w:lang w:val="en-GB"/>
              </w:rPr>
              <w:t>Media</w:t>
            </w:r>
            <w:r w:rsidRPr="00E120F3">
              <w:rPr>
                <w:rFonts w:asciiTheme="majorHAnsi" w:hAnsiTheme="majorHAnsi" w:cs="Arial"/>
                <w:sz w:val="18"/>
                <w:szCs w:val="18"/>
                <w:vertAlign w:val="superscript"/>
                <w:lang w:val="en-GB"/>
              </w:rPr>
              <w:t>*</w:t>
            </w:r>
          </w:p>
        </w:tc>
        <w:tc>
          <w:tcPr>
            <w:tcW w:w="1707" w:type="pct"/>
            <w:tcBorders>
              <w:top w:val="single" w:sz="4" w:space="0" w:color="auto"/>
              <w:bottom w:val="single" w:sz="4" w:space="0" w:color="auto"/>
            </w:tcBorders>
          </w:tcPr>
          <w:p w14:paraId="147DE34F" w14:textId="77777777" w:rsidR="006F0E54" w:rsidRPr="0007451A" w:rsidRDefault="006F0E54" w:rsidP="006F0E54">
            <w:pPr>
              <w:pStyle w:val="ListParagraph"/>
              <w:numPr>
                <w:ilvl w:val="0"/>
                <w:numId w:val="1"/>
              </w:numPr>
              <w:spacing w:after="100" w:afterAutospacing="1" w:line="360" w:lineRule="auto"/>
              <w:ind w:left="175" w:hanging="218"/>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07451A">
              <w:rPr>
                <w:rFonts w:cs="Arial"/>
                <w:sz w:val="18"/>
                <w:szCs w:val="18"/>
                <w:lang w:val="en-GB"/>
              </w:rPr>
              <w:t>Cholera News</w:t>
            </w:r>
          </w:p>
        </w:tc>
        <w:tc>
          <w:tcPr>
            <w:tcW w:w="1865" w:type="pct"/>
            <w:tcBorders>
              <w:top w:val="single" w:sz="4" w:space="0" w:color="auto"/>
              <w:bottom w:val="single" w:sz="4" w:space="0" w:color="auto"/>
              <w:right w:val="single" w:sz="4" w:space="0" w:color="auto"/>
            </w:tcBorders>
          </w:tcPr>
          <w:p w14:paraId="3C861183" w14:textId="77777777" w:rsidR="006F0E54" w:rsidRPr="0007451A" w:rsidRDefault="006F0E54" w:rsidP="009D57AD">
            <w:pPr>
              <w:pStyle w:val="ListParagraph"/>
              <w:spacing w:after="100" w:afterAutospacing="1" w:line="360" w:lineRule="auto"/>
              <w:ind w:left="175"/>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07451A">
              <w:rPr>
                <w:rFonts w:cs="Arial"/>
                <w:sz w:val="18"/>
                <w:szCs w:val="18"/>
                <w:lang w:val="en-GB"/>
              </w:rPr>
              <w:t>Broadcasting cholera news</w:t>
            </w:r>
          </w:p>
        </w:tc>
      </w:tr>
    </w:tbl>
    <w:p w14:paraId="7372DE5E" w14:textId="0AAB2318" w:rsidR="006F0E54" w:rsidRPr="0007451A" w:rsidRDefault="006F0E54" w:rsidP="006F0E54">
      <w:pPr>
        <w:pBdr>
          <w:top w:val="nil"/>
          <w:left w:val="nil"/>
          <w:bottom w:val="nil"/>
          <w:right w:val="nil"/>
          <w:between w:val="nil"/>
        </w:pBdr>
        <w:spacing w:before="120" w:after="120" w:line="480" w:lineRule="auto"/>
        <w:jc w:val="both"/>
        <w:rPr>
          <w:rFonts w:asciiTheme="minorBidi" w:eastAsia="Arial" w:hAnsiTheme="minorBidi" w:cstheme="minorBidi"/>
        </w:rPr>
      </w:pPr>
      <w:r>
        <w:rPr>
          <w:rFonts w:asciiTheme="minorBidi" w:eastAsia="Arial" w:hAnsiTheme="minorBidi" w:cstheme="minorBidi"/>
        </w:rPr>
        <w:t>All</w:t>
      </w:r>
      <w:r w:rsidRPr="0007451A">
        <w:rPr>
          <w:rFonts w:asciiTheme="minorBidi" w:eastAsia="Arial" w:hAnsiTheme="minorBidi" w:cstheme="minorBidi"/>
        </w:rPr>
        <w:t xml:space="preserve"> environments are static </w:t>
      </w:r>
      <w:r>
        <w:rPr>
          <w:rFonts w:asciiTheme="minorBidi" w:eastAsia="Arial" w:hAnsiTheme="minorBidi" w:cstheme="minorBidi"/>
        </w:rPr>
        <w:t>except</w:t>
      </w:r>
      <w:r w:rsidRPr="0007451A">
        <w:rPr>
          <w:rFonts w:asciiTheme="minorBidi" w:eastAsia="Arial" w:hAnsiTheme="minorBidi" w:cstheme="minorBidi"/>
        </w:rPr>
        <w:t xml:space="preserve"> the water collection points, </w:t>
      </w:r>
      <w:r>
        <w:rPr>
          <w:rFonts w:asciiTheme="minorBidi" w:eastAsia="Arial" w:hAnsiTheme="minorBidi" w:cstheme="minorBidi"/>
        </w:rPr>
        <w:t xml:space="preserve">which </w:t>
      </w:r>
      <w:r w:rsidRPr="0007451A">
        <w:rPr>
          <w:rFonts w:asciiTheme="minorBidi" w:eastAsia="Arial" w:hAnsiTheme="minorBidi" w:cstheme="minorBidi"/>
        </w:rPr>
        <w:t>vary in infection level during the simulation runs</w:t>
      </w:r>
      <w:r>
        <w:rPr>
          <w:rFonts w:asciiTheme="minorBidi" w:eastAsia="Arial" w:hAnsiTheme="minorBidi" w:cstheme="minorBidi"/>
        </w:rPr>
        <w:t xml:space="preserve"> (</w:t>
      </w:r>
      <w:r w:rsidR="00DA6C3F">
        <w:rPr>
          <w:rFonts w:asciiTheme="minorBidi" w:eastAsia="Arial" w:hAnsiTheme="minorBidi" w:cstheme="minorBidi"/>
        </w:rPr>
        <w:t>S1</w:t>
      </w:r>
      <w:r>
        <w:rPr>
          <w:rFonts w:asciiTheme="minorBidi" w:eastAsia="Arial" w:hAnsiTheme="minorBidi" w:cstheme="minorBidi"/>
        </w:rPr>
        <w:t xml:space="preserve"> Table 2)</w:t>
      </w:r>
      <w:r w:rsidRPr="0007451A">
        <w:rPr>
          <w:rFonts w:asciiTheme="minorBidi" w:eastAsia="Arial" w:hAnsiTheme="minorBidi" w:cstheme="minorBidi"/>
        </w:rPr>
        <w:t>.</w:t>
      </w:r>
    </w:p>
    <w:p w14:paraId="18C9B5C3" w14:textId="33940EC8" w:rsidR="006F0E54" w:rsidRPr="0007451A" w:rsidRDefault="00DA6C3F" w:rsidP="006F0E54">
      <w:pPr>
        <w:pStyle w:val="Caption"/>
        <w:keepNext/>
        <w:jc w:val="both"/>
        <w:rPr>
          <w:b/>
          <w:bCs/>
          <w:szCs w:val="20"/>
        </w:rPr>
      </w:pPr>
      <w:r>
        <w:rPr>
          <w:szCs w:val="20"/>
        </w:rPr>
        <w:t>S1</w:t>
      </w:r>
      <w:r w:rsidR="006F0E54">
        <w:rPr>
          <w:szCs w:val="20"/>
        </w:rPr>
        <w:t xml:space="preserve"> </w:t>
      </w:r>
      <w:r w:rsidR="006F0E54" w:rsidRPr="0007451A">
        <w:rPr>
          <w:szCs w:val="20"/>
        </w:rPr>
        <w:t xml:space="preserve">Table </w:t>
      </w:r>
      <w:r w:rsidR="006F0E54" w:rsidRPr="0007451A">
        <w:rPr>
          <w:b/>
          <w:bCs/>
          <w:szCs w:val="20"/>
        </w:rPr>
        <w:t>2</w:t>
      </w:r>
      <w:r w:rsidR="006F0E54" w:rsidRPr="0007451A">
        <w:rPr>
          <w:szCs w:val="20"/>
        </w:rPr>
        <w:t>: Environment Elements in CABM</w:t>
      </w:r>
    </w:p>
    <w:tbl>
      <w:tblPr>
        <w:tblW w:w="8818" w:type="dxa"/>
        <w:tblCellMar>
          <w:top w:w="15" w:type="dxa"/>
          <w:left w:w="15" w:type="dxa"/>
          <w:bottom w:w="15" w:type="dxa"/>
          <w:right w:w="15" w:type="dxa"/>
        </w:tblCellMar>
        <w:tblLook w:val="04A0" w:firstRow="1" w:lastRow="0" w:firstColumn="1" w:lastColumn="0" w:noHBand="0" w:noVBand="1"/>
      </w:tblPr>
      <w:tblGrid>
        <w:gridCol w:w="1691"/>
        <w:gridCol w:w="2835"/>
        <w:gridCol w:w="4292"/>
      </w:tblGrid>
      <w:tr w:rsidR="006F0E54" w:rsidRPr="0007451A" w14:paraId="6C1191E7" w14:textId="77777777" w:rsidTr="009D57AD">
        <w:tc>
          <w:tcPr>
            <w:tcW w:w="1691" w:type="dxa"/>
            <w:tcBorders>
              <w:top w:val="single" w:sz="8" w:space="0" w:color="000000"/>
              <w:left w:val="single" w:sz="8" w:space="0" w:color="000000"/>
              <w:bottom w:val="single" w:sz="4" w:space="0" w:color="auto"/>
            </w:tcBorders>
            <w:tcMar>
              <w:top w:w="100" w:type="dxa"/>
              <w:left w:w="100" w:type="dxa"/>
              <w:bottom w:w="100" w:type="dxa"/>
              <w:right w:w="100" w:type="dxa"/>
            </w:tcMar>
            <w:vAlign w:val="center"/>
            <w:hideMark/>
          </w:tcPr>
          <w:p w14:paraId="0D4EA5D4" w14:textId="77777777" w:rsidR="006F0E54" w:rsidRPr="0007451A" w:rsidRDefault="006F0E54" w:rsidP="009D57AD">
            <w:pPr>
              <w:spacing w:before="120" w:after="0"/>
              <w:rPr>
                <w:rFonts w:asciiTheme="minorBidi" w:hAnsiTheme="minorBidi" w:cstheme="minorBidi"/>
                <w:sz w:val="18"/>
                <w:szCs w:val="18"/>
              </w:rPr>
            </w:pPr>
            <w:proofErr w:type="spellStart"/>
            <w:r w:rsidRPr="0007451A">
              <w:rPr>
                <w:rFonts w:asciiTheme="minorBidi" w:hAnsiTheme="minorBidi" w:cstheme="minorBidi"/>
                <w:b/>
                <w:bCs/>
                <w:sz w:val="18"/>
                <w:szCs w:val="18"/>
              </w:rPr>
              <w:t>Submodel</w:t>
            </w:r>
            <w:proofErr w:type="spellEnd"/>
          </w:p>
        </w:tc>
        <w:tc>
          <w:tcPr>
            <w:tcW w:w="2835" w:type="dxa"/>
            <w:tcBorders>
              <w:top w:val="single" w:sz="8" w:space="0" w:color="000000"/>
              <w:bottom w:val="single" w:sz="4" w:space="0" w:color="auto"/>
            </w:tcBorders>
            <w:tcMar>
              <w:top w:w="100" w:type="dxa"/>
              <w:left w:w="100" w:type="dxa"/>
              <w:bottom w:w="100" w:type="dxa"/>
              <w:right w:w="100" w:type="dxa"/>
            </w:tcMar>
            <w:vAlign w:val="center"/>
            <w:hideMark/>
          </w:tcPr>
          <w:p w14:paraId="1D3C5B08" w14:textId="77777777" w:rsidR="006F0E54" w:rsidRPr="0007451A" w:rsidRDefault="006F0E54" w:rsidP="009D57AD">
            <w:pPr>
              <w:spacing w:before="120" w:after="0"/>
              <w:rPr>
                <w:rFonts w:asciiTheme="minorBidi" w:hAnsiTheme="minorBidi" w:cstheme="minorBidi"/>
                <w:sz w:val="18"/>
                <w:szCs w:val="18"/>
              </w:rPr>
            </w:pPr>
            <w:r w:rsidRPr="0007451A">
              <w:rPr>
                <w:rFonts w:asciiTheme="minorBidi" w:hAnsiTheme="minorBidi" w:cstheme="minorBidi"/>
                <w:b/>
                <w:bCs/>
                <w:sz w:val="18"/>
                <w:szCs w:val="18"/>
              </w:rPr>
              <w:t>Environment</w:t>
            </w:r>
          </w:p>
        </w:tc>
        <w:tc>
          <w:tcPr>
            <w:tcW w:w="4292" w:type="dxa"/>
            <w:tcBorders>
              <w:top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2F7D1168" w14:textId="77777777" w:rsidR="006F0E54" w:rsidRPr="0007451A" w:rsidRDefault="006F0E54" w:rsidP="009D57AD">
            <w:pPr>
              <w:spacing w:before="120" w:after="0"/>
              <w:rPr>
                <w:rFonts w:asciiTheme="minorBidi" w:hAnsiTheme="minorBidi" w:cstheme="minorBidi"/>
                <w:sz w:val="18"/>
                <w:szCs w:val="18"/>
              </w:rPr>
            </w:pPr>
            <w:r w:rsidRPr="0007451A">
              <w:rPr>
                <w:rFonts w:asciiTheme="minorBidi" w:hAnsiTheme="minorBidi" w:cstheme="minorBidi"/>
                <w:b/>
                <w:bCs/>
                <w:sz w:val="18"/>
                <w:szCs w:val="18"/>
              </w:rPr>
              <w:t>Function</w:t>
            </w:r>
          </w:p>
        </w:tc>
      </w:tr>
      <w:tr w:rsidR="006F0E54" w:rsidRPr="0007451A" w14:paraId="768A2180" w14:textId="77777777" w:rsidTr="009D57AD">
        <w:tc>
          <w:tcPr>
            <w:tcW w:w="1691" w:type="dxa"/>
            <w:vMerge w:val="restart"/>
            <w:tcBorders>
              <w:top w:val="single" w:sz="4" w:space="0" w:color="auto"/>
              <w:left w:val="single" w:sz="4" w:space="0" w:color="auto"/>
              <w:bottom w:val="single" w:sz="4" w:space="0" w:color="auto"/>
            </w:tcBorders>
            <w:tcMar>
              <w:top w:w="100" w:type="dxa"/>
              <w:left w:w="100" w:type="dxa"/>
              <w:bottom w:w="100" w:type="dxa"/>
              <w:right w:w="100" w:type="dxa"/>
            </w:tcMar>
            <w:vAlign w:val="center"/>
          </w:tcPr>
          <w:p w14:paraId="791743ED" w14:textId="77777777" w:rsidR="006F0E54" w:rsidRPr="00BC4CA4" w:rsidRDefault="006F0E54" w:rsidP="009D57AD">
            <w:pPr>
              <w:spacing w:before="120" w:after="0"/>
              <w:rPr>
                <w:rFonts w:asciiTheme="minorBidi" w:hAnsiTheme="minorBidi" w:cstheme="minorBidi"/>
                <w:b/>
                <w:bCs/>
                <w:sz w:val="18"/>
                <w:szCs w:val="18"/>
              </w:rPr>
            </w:pPr>
            <w:r w:rsidRPr="00E120F3">
              <w:rPr>
                <w:rFonts w:asciiTheme="minorBidi" w:hAnsiTheme="minorBidi" w:cstheme="minorBidi"/>
                <w:b/>
                <w:bCs/>
                <w:sz w:val="18"/>
                <w:szCs w:val="18"/>
              </w:rPr>
              <w:t>Initialization</w:t>
            </w:r>
          </w:p>
        </w:tc>
        <w:tc>
          <w:tcPr>
            <w:tcW w:w="2835" w:type="dxa"/>
            <w:tcBorders>
              <w:top w:val="single" w:sz="4" w:space="0" w:color="auto"/>
            </w:tcBorders>
            <w:tcMar>
              <w:top w:w="100" w:type="dxa"/>
              <w:left w:w="100" w:type="dxa"/>
              <w:bottom w:w="100" w:type="dxa"/>
              <w:right w:w="100" w:type="dxa"/>
            </w:tcMar>
            <w:vAlign w:val="center"/>
          </w:tcPr>
          <w:p w14:paraId="0C95C26D" w14:textId="77777777" w:rsidR="006F0E54" w:rsidRPr="00E120F3" w:rsidRDefault="006F0E54" w:rsidP="006F0E54">
            <w:pPr>
              <w:pStyle w:val="ListParagraph"/>
              <w:numPr>
                <w:ilvl w:val="0"/>
                <w:numId w:val="9"/>
              </w:numPr>
              <w:tabs>
                <w:tab w:val="left" w:pos="185"/>
              </w:tabs>
              <w:spacing w:before="120"/>
              <w:ind w:left="327" w:hanging="284"/>
              <w:jc w:val="left"/>
              <w:rPr>
                <w:rFonts w:asciiTheme="minorBidi" w:hAnsiTheme="minorBidi" w:cstheme="minorBidi"/>
                <w:b/>
                <w:bCs/>
                <w:sz w:val="18"/>
                <w:szCs w:val="18"/>
              </w:rPr>
            </w:pPr>
            <w:r w:rsidRPr="00E120F3">
              <w:rPr>
                <w:rFonts w:asciiTheme="minorBidi" w:hAnsiTheme="minorBidi" w:cstheme="minorBidi"/>
                <w:sz w:val="18"/>
                <w:szCs w:val="18"/>
              </w:rPr>
              <w:t>Boundaries of income levels</w:t>
            </w:r>
          </w:p>
        </w:tc>
        <w:tc>
          <w:tcPr>
            <w:tcW w:w="4292" w:type="dxa"/>
            <w:tcBorders>
              <w:top w:val="single" w:sz="4" w:space="0" w:color="auto"/>
              <w:left w:val="nil"/>
              <w:right w:val="single" w:sz="4" w:space="0" w:color="auto"/>
            </w:tcBorders>
            <w:tcMar>
              <w:top w:w="100" w:type="dxa"/>
              <w:left w:w="100" w:type="dxa"/>
              <w:bottom w:w="100" w:type="dxa"/>
              <w:right w:w="100" w:type="dxa"/>
            </w:tcMar>
            <w:vAlign w:val="center"/>
          </w:tcPr>
          <w:p w14:paraId="685095A7" w14:textId="77777777" w:rsidR="006F0E54" w:rsidRPr="0007451A" w:rsidRDefault="006F0E54" w:rsidP="006F0E54">
            <w:pPr>
              <w:pStyle w:val="ListParagraph"/>
              <w:numPr>
                <w:ilvl w:val="0"/>
                <w:numId w:val="7"/>
              </w:numPr>
              <w:spacing w:before="120"/>
              <w:ind w:left="182" w:hanging="142"/>
              <w:jc w:val="left"/>
              <w:rPr>
                <w:rFonts w:asciiTheme="minorBidi" w:hAnsiTheme="minorBidi" w:cstheme="minorBidi"/>
                <w:b/>
                <w:bCs/>
                <w:sz w:val="18"/>
                <w:szCs w:val="18"/>
                <w:lang w:val="en-GB"/>
              </w:rPr>
            </w:pPr>
            <w:r w:rsidRPr="0007451A">
              <w:rPr>
                <w:rFonts w:asciiTheme="minorBidi" w:hAnsiTheme="minorBidi" w:cstheme="minorBidi"/>
                <w:sz w:val="18"/>
                <w:szCs w:val="18"/>
                <w:lang w:val="en-GB"/>
              </w:rPr>
              <w:t xml:space="preserve">Used during the </w:t>
            </w:r>
            <w:r w:rsidRPr="0007451A">
              <w:rPr>
                <w:rFonts w:asciiTheme="minorBidi" w:hAnsiTheme="minorBidi" w:cstheme="minorBidi"/>
                <w:sz w:val="19"/>
                <w:szCs w:val="19"/>
                <w:lang w:val="en-GB"/>
              </w:rPr>
              <w:t>creation of the</w:t>
            </w:r>
            <w:r w:rsidRPr="0007451A">
              <w:rPr>
                <w:rFonts w:asciiTheme="minorBidi" w:hAnsiTheme="minorBidi" w:cstheme="minorBidi"/>
                <w:sz w:val="18"/>
                <w:szCs w:val="18"/>
                <w:lang w:val="en-GB"/>
              </w:rPr>
              <w:t xml:space="preserve"> synthetic population and distribution of agents over the study area.</w:t>
            </w:r>
          </w:p>
        </w:tc>
      </w:tr>
      <w:tr w:rsidR="006F0E54" w:rsidRPr="0007451A" w14:paraId="0B687C49" w14:textId="77777777" w:rsidTr="009D57AD">
        <w:tc>
          <w:tcPr>
            <w:tcW w:w="1691" w:type="dxa"/>
            <w:vMerge/>
            <w:tcBorders>
              <w:top w:val="single" w:sz="4" w:space="0" w:color="auto"/>
              <w:left w:val="single" w:sz="4" w:space="0" w:color="auto"/>
              <w:bottom w:val="single" w:sz="4" w:space="0" w:color="auto"/>
            </w:tcBorders>
            <w:tcMar>
              <w:top w:w="100" w:type="dxa"/>
              <w:left w:w="100" w:type="dxa"/>
              <w:bottom w:w="100" w:type="dxa"/>
              <w:right w:w="100" w:type="dxa"/>
            </w:tcMar>
            <w:vAlign w:val="center"/>
          </w:tcPr>
          <w:p w14:paraId="2C3412AE" w14:textId="77777777" w:rsidR="006F0E54" w:rsidRPr="0007451A" w:rsidRDefault="006F0E54" w:rsidP="009D57AD">
            <w:pPr>
              <w:spacing w:before="120" w:after="0"/>
              <w:rPr>
                <w:rFonts w:asciiTheme="minorBidi" w:hAnsiTheme="minorBidi" w:cstheme="minorBidi"/>
                <w:b/>
                <w:bCs/>
                <w:sz w:val="18"/>
                <w:szCs w:val="18"/>
              </w:rPr>
            </w:pPr>
          </w:p>
        </w:tc>
        <w:tc>
          <w:tcPr>
            <w:tcW w:w="2835" w:type="dxa"/>
            <w:tcBorders>
              <w:bottom w:val="single" w:sz="4" w:space="0" w:color="auto"/>
            </w:tcBorders>
            <w:tcMar>
              <w:top w:w="100" w:type="dxa"/>
              <w:left w:w="100" w:type="dxa"/>
              <w:bottom w:w="100" w:type="dxa"/>
              <w:right w:w="100" w:type="dxa"/>
            </w:tcMar>
            <w:vAlign w:val="center"/>
          </w:tcPr>
          <w:p w14:paraId="64BD5555" w14:textId="77777777" w:rsidR="006F0E54" w:rsidRPr="0007451A" w:rsidRDefault="006F0E54" w:rsidP="006F0E54">
            <w:pPr>
              <w:pStyle w:val="ListParagraph"/>
              <w:numPr>
                <w:ilvl w:val="0"/>
                <w:numId w:val="9"/>
              </w:numPr>
              <w:tabs>
                <w:tab w:val="left" w:pos="185"/>
              </w:tabs>
              <w:spacing w:before="120"/>
              <w:ind w:left="327" w:hanging="284"/>
              <w:jc w:val="left"/>
              <w:rPr>
                <w:rFonts w:asciiTheme="minorBidi" w:hAnsiTheme="minorBidi" w:cstheme="minorBidi"/>
                <w:b/>
                <w:bCs/>
                <w:sz w:val="18"/>
                <w:szCs w:val="18"/>
              </w:rPr>
            </w:pPr>
            <w:r w:rsidRPr="0007451A">
              <w:rPr>
                <w:rFonts w:asciiTheme="minorBidi" w:hAnsiTheme="minorBidi" w:cstheme="minorBidi"/>
                <w:sz w:val="18"/>
                <w:szCs w:val="18"/>
              </w:rPr>
              <w:t>Community boundaries</w:t>
            </w:r>
          </w:p>
        </w:tc>
        <w:tc>
          <w:tcPr>
            <w:tcW w:w="4292" w:type="dxa"/>
            <w:tcBorders>
              <w:left w:val="nil"/>
              <w:bottom w:val="single" w:sz="4" w:space="0" w:color="auto"/>
              <w:right w:val="single" w:sz="4" w:space="0" w:color="auto"/>
            </w:tcBorders>
            <w:tcMar>
              <w:top w:w="100" w:type="dxa"/>
              <w:left w:w="100" w:type="dxa"/>
              <w:bottom w:w="100" w:type="dxa"/>
              <w:right w:w="100" w:type="dxa"/>
            </w:tcMar>
            <w:vAlign w:val="center"/>
          </w:tcPr>
          <w:p w14:paraId="4E7F7997" w14:textId="77777777" w:rsidR="006F0E54" w:rsidRPr="0007451A" w:rsidRDefault="006F0E54" w:rsidP="006F0E54">
            <w:pPr>
              <w:pStyle w:val="ListParagraph"/>
              <w:numPr>
                <w:ilvl w:val="0"/>
                <w:numId w:val="7"/>
              </w:numPr>
              <w:spacing w:before="120"/>
              <w:ind w:left="182" w:hanging="142"/>
              <w:jc w:val="left"/>
              <w:rPr>
                <w:rFonts w:asciiTheme="minorBidi" w:hAnsiTheme="minorBidi" w:cstheme="minorBidi"/>
                <w:sz w:val="18"/>
                <w:szCs w:val="18"/>
                <w:lang w:val="en-GB"/>
              </w:rPr>
            </w:pPr>
            <w:r w:rsidRPr="0007451A">
              <w:rPr>
                <w:rFonts w:asciiTheme="minorBidi" w:hAnsiTheme="minorBidi" w:cstheme="minorBidi"/>
                <w:sz w:val="18"/>
                <w:szCs w:val="18"/>
                <w:lang w:val="en-GB"/>
              </w:rPr>
              <w:t>Thiessen polygons were drawn as community boundaries, in which household agents of the same community, income-level and education level formulate their groups</w:t>
            </w:r>
          </w:p>
        </w:tc>
      </w:tr>
      <w:tr w:rsidR="006F0E54" w:rsidRPr="0007451A" w14:paraId="4E557302" w14:textId="77777777" w:rsidTr="009D57AD">
        <w:tc>
          <w:tcPr>
            <w:tcW w:w="1691" w:type="dxa"/>
            <w:vMerge w:val="restart"/>
            <w:tcBorders>
              <w:top w:val="single" w:sz="4" w:space="0" w:color="auto"/>
              <w:left w:val="single" w:sz="8" w:space="0" w:color="000000"/>
              <w:bottom w:val="single" w:sz="8" w:space="0" w:color="000000"/>
            </w:tcBorders>
            <w:tcMar>
              <w:top w:w="100" w:type="dxa"/>
              <w:left w:w="100" w:type="dxa"/>
              <w:bottom w:w="100" w:type="dxa"/>
              <w:right w:w="100" w:type="dxa"/>
            </w:tcMar>
            <w:vAlign w:val="center"/>
            <w:hideMark/>
          </w:tcPr>
          <w:p w14:paraId="4274BB9C" w14:textId="77777777" w:rsidR="006F0E54" w:rsidRPr="00E120F3" w:rsidRDefault="006F0E54" w:rsidP="009D57AD">
            <w:pPr>
              <w:spacing w:before="120" w:after="0"/>
              <w:rPr>
                <w:rFonts w:asciiTheme="minorBidi" w:hAnsiTheme="minorBidi" w:cstheme="minorBidi"/>
                <w:b/>
                <w:bCs/>
                <w:sz w:val="18"/>
                <w:szCs w:val="18"/>
              </w:rPr>
            </w:pPr>
            <w:r w:rsidRPr="00E120F3">
              <w:rPr>
                <w:rFonts w:asciiTheme="minorBidi" w:hAnsiTheme="minorBidi" w:cstheme="minorBidi"/>
                <w:b/>
                <w:bCs/>
                <w:sz w:val="18"/>
                <w:szCs w:val="18"/>
              </w:rPr>
              <w:t>Hydrology</w:t>
            </w:r>
          </w:p>
        </w:tc>
        <w:tc>
          <w:tcPr>
            <w:tcW w:w="2835" w:type="dxa"/>
            <w:tcBorders>
              <w:top w:val="single" w:sz="4" w:space="0" w:color="auto"/>
            </w:tcBorders>
            <w:tcMar>
              <w:top w:w="100" w:type="dxa"/>
              <w:left w:w="100" w:type="dxa"/>
              <w:bottom w:w="100" w:type="dxa"/>
              <w:right w:w="100" w:type="dxa"/>
            </w:tcMar>
            <w:vAlign w:val="center"/>
            <w:hideMark/>
          </w:tcPr>
          <w:p w14:paraId="134E2744" w14:textId="77777777" w:rsidR="006F0E54" w:rsidRPr="0007451A" w:rsidRDefault="006F0E54" w:rsidP="006F0E54">
            <w:pPr>
              <w:pStyle w:val="ListParagraph"/>
              <w:numPr>
                <w:ilvl w:val="0"/>
                <w:numId w:val="9"/>
              </w:numPr>
              <w:tabs>
                <w:tab w:val="left" w:pos="185"/>
              </w:tabs>
              <w:spacing w:before="120"/>
              <w:ind w:left="327" w:hanging="284"/>
              <w:jc w:val="left"/>
              <w:rPr>
                <w:rFonts w:asciiTheme="minorBidi" w:hAnsiTheme="minorBidi" w:cstheme="minorBidi"/>
                <w:sz w:val="18"/>
                <w:szCs w:val="18"/>
              </w:rPr>
            </w:pPr>
            <w:r w:rsidRPr="0007451A">
              <w:rPr>
                <w:rFonts w:asciiTheme="minorBidi" w:hAnsiTheme="minorBidi" w:cstheme="minorBidi"/>
                <w:sz w:val="18"/>
                <w:szCs w:val="18"/>
              </w:rPr>
              <w:t>Elevation layer (DEM)</w:t>
            </w:r>
          </w:p>
        </w:tc>
        <w:tc>
          <w:tcPr>
            <w:tcW w:w="4292" w:type="dxa"/>
            <w:tcBorders>
              <w:top w:val="single" w:sz="4" w:space="0" w:color="auto"/>
              <w:left w:val="nil"/>
              <w:right w:val="single" w:sz="8" w:space="0" w:color="000000"/>
            </w:tcBorders>
            <w:tcMar>
              <w:top w:w="100" w:type="dxa"/>
              <w:left w:w="100" w:type="dxa"/>
              <w:bottom w:w="100" w:type="dxa"/>
              <w:right w:w="100" w:type="dxa"/>
            </w:tcMar>
            <w:vAlign w:val="center"/>
            <w:hideMark/>
          </w:tcPr>
          <w:p w14:paraId="38451C24" w14:textId="77777777" w:rsidR="006F0E54" w:rsidRPr="0007451A" w:rsidRDefault="006F0E54" w:rsidP="006F0E54">
            <w:pPr>
              <w:pStyle w:val="ListParagraph"/>
              <w:numPr>
                <w:ilvl w:val="0"/>
                <w:numId w:val="7"/>
              </w:numPr>
              <w:spacing w:before="120"/>
              <w:ind w:left="182" w:hanging="142"/>
              <w:jc w:val="left"/>
              <w:rPr>
                <w:rFonts w:asciiTheme="minorBidi" w:hAnsiTheme="minorBidi" w:cstheme="minorBidi"/>
                <w:sz w:val="18"/>
                <w:szCs w:val="18"/>
              </w:rPr>
            </w:pPr>
            <w:r w:rsidRPr="0007451A">
              <w:rPr>
                <w:rFonts w:asciiTheme="minorBidi" w:hAnsiTheme="minorBidi" w:cstheme="minorBidi"/>
                <w:sz w:val="18"/>
                <w:szCs w:val="18"/>
              </w:rPr>
              <w:t>Used to calculate runoff</w:t>
            </w:r>
          </w:p>
        </w:tc>
      </w:tr>
      <w:tr w:rsidR="006F0E54" w:rsidRPr="0007451A" w14:paraId="18D00168" w14:textId="77777777" w:rsidTr="009D57AD">
        <w:tc>
          <w:tcPr>
            <w:tcW w:w="1691" w:type="dxa"/>
            <w:vMerge/>
            <w:tcBorders>
              <w:left w:val="single" w:sz="8" w:space="0" w:color="000000"/>
              <w:bottom w:val="single" w:sz="8" w:space="0" w:color="000000"/>
            </w:tcBorders>
            <w:tcMar>
              <w:top w:w="100" w:type="dxa"/>
              <w:left w:w="100" w:type="dxa"/>
              <w:bottom w:w="100" w:type="dxa"/>
              <w:right w:w="100" w:type="dxa"/>
            </w:tcMar>
            <w:vAlign w:val="center"/>
            <w:hideMark/>
          </w:tcPr>
          <w:p w14:paraId="3F29FD13" w14:textId="77777777" w:rsidR="006F0E54" w:rsidRPr="0007451A" w:rsidRDefault="006F0E54" w:rsidP="009D57AD">
            <w:pPr>
              <w:spacing w:before="120" w:after="0"/>
              <w:rPr>
                <w:rFonts w:asciiTheme="minorBidi" w:hAnsiTheme="minorBidi" w:cstheme="minorBidi"/>
                <w:sz w:val="18"/>
                <w:szCs w:val="18"/>
              </w:rPr>
            </w:pPr>
          </w:p>
        </w:tc>
        <w:tc>
          <w:tcPr>
            <w:tcW w:w="2835" w:type="dxa"/>
            <w:tcBorders>
              <w:bottom w:val="single" w:sz="4" w:space="0" w:color="auto"/>
            </w:tcBorders>
            <w:tcMar>
              <w:top w:w="100" w:type="dxa"/>
              <w:left w:w="100" w:type="dxa"/>
              <w:bottom w:w="100" w:type="dxa"/>
              <w:right w:w="100" w:type="dxa"/>
            </w:tcMar>
            <w:vAlign w:val="center"/>
            <w:hideMark/>
          </w:tcPr>
          <w:p w14:paraId="48DEAA94" w14:textId="77777777" w:rsidR="006F0E54" w:rsidRPr="0007451A" w:rsidRDefault="006F0E54" w:rsidP="006F0E54">
            <w:pPr>
              <w:pStyle w:val="ListParagraph"/>
              <w:numPr>
                <w:ilvl w:val="0"/>
                <w:numId w:val="9"/>
              </w:numPr>
              <w:tabs>
                <w:tab w:val="left" w:pos="185"/>
              </w:tabs>
              <w:spacing w:before="120"/>
              <w:ind w:left="327" w:hanging="284"/>
              <w:jc w:val="left"/>
              <w:rPr>
                <w:rFonts w:asciiTheme="minorBidi" w:hAnsiTheme="minorBidi" w:cstheme="minorBidi"/>
                <w:sz w:val="18"/>
                <w:szCs w:val="18"/>
              </w:rPr>
            </w:pPr>
            <w:r w:rsidRPr="0007451A">
              <w:rPr>
                <w:rFonts w:asciiTheme="minorBidi" w:hAnsiTheme="minorBidi" w:cstheme="minorBidi"/>
                <w:sz w:val="18"/>
                <w:szCs w:val="18"/>
              </w:rPr>
              <w:t>River</w:t>
            </w:r>
          </w:p>
        </w:tc>
        <w:tc>
          <w:tcPr>
            <w:tcW w:w="4292" w:type="dxa"/>
            <w:tcBorders>
              <w:left w:val="nil"/>
              <w:bottom w:val="single" w:sz="4" w:space="0" w:color="auto"/>
              <w:right w:val="single" w:sz="8" w:space="0" w:color="000000"/>
            </w:tcBorders>
            <w:tcMar>
              <w:top w:w="100" w:type="dxa"/>
              <w:left w:w="100" w:type="dxa"/>
              <w:bottom w:w="100" w:type="dxa"/>
              <w:right w:w="100" w:type="dxa"/>
            </w:tcMar>
            <w:vAlign w:val="center"/>
            <w:hideMark/>
          </w:tcPr>
          <w:p w14:paraId="2142C017" w14:textId="77777777" w:rsidR="006F0E54" w:rsidRPr="0007451A" w:rsidRDefault="006F0E54" w:rsidP="006F0E54">
            <w:pPr>
              <w:pStyle w:val="ListParagraph"/>
              <w:numPr>
                <w:ilvl w:val="0"/>
                <w:numId w:val="7"/>
              </w:numPr>
              <w:spacing w:before="120"/>
              <w:ind w:left="182" w:hanging="142"/>
              <w:jc w:val="left"/>
              <w:rPr>
                <w:rFonts w:asciiTheme="minorBidi" w:hAnsiTheme="minorBidi" w:cstheme="minorBidi"/>
                <w:sz w:val="18"/>
                <w:szCs w:val="18"/>
              </w:rPr>
            </w:pPr>
            <w:r w:rsidRPr="0007451A">
              <w:rPr>
                <w:rFonts w:asciiTheme="minorBidi" w:hAnsiTheme="minorBidi" w:cstheme="minorBidi"/>
                <w:sz w:val="18"/>
                <w:szCs w:val="18"/>
              </w:rPr>
              <w:t>Used for the collection of water</w:t>
            </w:r>
          </w:p>
        </w:tc>
      </w:tr>
      <w:tr w:rsidR="006F0E54" w:rsidRPr="0007451A" w14:paraId="4FAB9E87" w14:textId="77777777" w:rsidTr="009D57AD">
        <w:trPr>
          <w:trHeight w:val="663"/>
        </w:trPr>
        <w:tc>
          <w:tcPr>
            <w:tcW w:w="1691" w:type="dxa"/>
            <w:vMerge w:val="restart"/>
            <w:tcBorders>
              <w:top w:val="single" w:sz="8" w:space="0" w:color="000000"/>
              <w:left w:val="single" w:sz="8" w:space="0" w:color="000000"/>
            </w:tcBorders>
            <w:tcMar>
              <w:top w:w="100" w:type="dxa"/>
              <w:left w:w="100" w:type="dxa"/>
              <w:bottom w:w="100" w:type="dxa"/>
              <w:right w:w="100" w:type="dxa"/>
            </w:tcMar>
            <w:vAlign w:val="center"/>
            <w:hideMark/>
          </w:tcPr>
          <w:p w14:paraId="7ED2BE75" w14:textId="77777777" w:rsidR="006F0E54" w:rsidRPr="00E120F3" w:rsidRDefault="006F0E54" w:rsidP="009D57AD">
            <w:pPr>
              <w:spacing w:before="120" w:after="0"/>
              <w:rPr>
                <w:rFonts w:asciiTheme="minorBidi" w:hAnsiTheme="minorBidi" w:cstheme="minorBidi"/>
                <w:b/>
                <w:bCs/>
                <w:sz w:val="18"/>
                <w:szCs w:val="18"/>
              </w:rPr>
            </w:pPr>
            <w:r w:rsidRPr="00E120F3">
              <w:rPr>
                <w:rFonts w:asciiTheme="minorBidi" w:hAnsiTheme="minorBidi" w:cstheme="minorBidi"/>
                <w:b/>
                <w:bCs/>
                <w:sz w:val="18"/>
                <w:szCs w:val="18"/>
              </w:rPr>
              <w:t>Activity model</w:t>
            </w:r>
          </w:p>
        </w:tc>
        <w:tc>
          <w:tcPr>
            <w:tcW w:w="2835" w:type="dxa"/>
            <w:tcBorders>
              <w:top w:val="single" w:sz="4" w:space="0" w:color="auto"/>
            </w:tcBorders>
            <w:tcMar>
              <w:top w:w="100" w:type="dxa"/>
              <w:left w:w="100" w:type="dxa"/>
              <w:bottom w:w="100" w:type="dxa"/>
              <w:right w:w="100" w:type="dxa"/>
            </w:tcMar>
            <w:vAlign w:val="center"/>
            <w:hideMark/>
          </w:tcPr>
          <w:p w14:paraId="75E179E0" w14:textId="77777777" w:rsidR="006F0E54" w:rsidRPr="0007451A" w:rsidRDefault="006F0E54" w:rsidP="006F0E54">
            <w:pPr>
              <w:pStyle w:val="ListParagraph"/>
              <w:numPr>
                <w:ilvl w:val="0"/>
                <w:numId w:val="9"/>
              </w:numPr>
              <w:tabs>
                <w:tab w:val="left" w:pos="185"/>
              </w:tabs>
              <w:spacing w:before="120"/>
              <w:ind w:left="327" w:hanging="284"/>
              <w:jc w:val="left"/>
              <w:rPr>
                <w:rFonts w:asciiTheme="minorBidi" w:hAnsiTheme="minorBidi" w:cstheme="minorBidi"/>
                <w:sz w:val="18"/>
                <w:szCs w:val="18"/>
              </w:rPr>
            </w:pPr>
            <w:r w:rsidRPr="0007451A">
              <w:rPr>
                <w:rFonts w:asciiTheme="minorBidi" w:hAnsiTheme="minorBidi" w:cstheme="minorBidi"/>
                <w:sz w:val="18"/>
                <w:szCs w:val="18"/>
              </w:rPr>
              <w:t>Water collection points</w:t>
            </w:r>
          </w:p>
        </w:tc>
        <w:tc>
          <w:tcPr>
            <w:tcW w:w="4292" w:type="dxa"/>
            <w:tcBorders>
              <w:top w:val="single" w:sz="4" w:space="0" w:color="auto"/>
              <w:right w:val="single" w:sz="4" w:space="0" w:color="auto"/>
            </w:tcBorders>
            <w:tcMar>
              <w:top w:w="100" w:type="dxa"/>
              <w:left w:w="100" w:type="dxa"/>
              <w:bottom w:w="100" w:type="dxa"/>
              <w:right w:w="100" w:type="dxa"/>
            </w:tcMar>
            <w:vAlign w:val="center"/>
            <w:hideMark/>
          </w:tcPr>
          <w:p w14:paraId="660D6B74" w14:textId="77777777" w:rsidR="006F0E54" w:rsidRPr="0007451A" w:rsidRDefault="006F0E54" w:rsidP="006F0E54">
            <w:pPr>
              <w:pStyle w:val="ListParagraph"/>
              <w:numPr>
                <w:ilvl w:val="0"/>
                <w:numId w:val="7"/>
              </w:numPr>
              <w:spacing w:before="120"/>
              <w:ind w:left="182" w:hanging="142"/>
              <w:jc w:val="left"/>
              <w:rPr>
                <w:rFonts w:asciiTheme="minorBidi" w:hAnsiTheme="minorBidi" w:cstheme="minorBidi"/>
                <w:sz w:val="18"/>
                <w:szCs w:val="18"/>
                <w:lang w:val="en-GB"/>
              </w:rPr>
            </w:pPr>
            <w:r w:rsidRPr="0007451A">
              <w:rPr>
                <w:rFonts w:asciiTheme="minorBidi" w:hAnsiTheme="minorBidi" w:cstheme="minorBidi"/>
                <w:sz w:val="18"/>
                <w:szCs w:val="18"/>
                <w:lang w:val="en-GB"/>
              </w:rPr>
              <w:t>Have infection level.</w:t>
            </w:r>
          </w:p>
          <w:p w14:paraId="2BE01C54" w14:textId="77777777" w:rsidR="006F0E54" w:rsidRPr="0007451A" w:rsidRDefault="006F0E54" w:rsidP="006F0E54">
            <w:pPr>
              <w:pStyle w:val="ListParagraph"/>
              <w:numPr>
                <w:ilvl w:val="0"/>
                <w:numId w:val="7"/>
              </w:numPr>
              <w:spacing w:before="120"/>
              <w:ind w:left="182" w:hanging="142"/>
              <w:jc w:val="left"/>
              <w:rPr>
                <w:rFonts w:asciiTheme="minorBidi" w:hAnsiTheme="minorBidi" w:cstheme="minorBidi"/>
                <w:sz w:val="18"/>
                <w:szCs w:val="18"/>
                <w:lang w:val="en-GB"/>
              </w:rPr>
            </w:pPr>
            <w:r w:rsidRPr="0007451A">
              <w:rPr>
                <w:rFonts w:asciiTheme="minorBidi" w:hAnsiTheme="minorBidi" w:cstheme="minorBidi"/>
                <w:sz w:val="18"/>
                <w:szCs w:val="18"/>
                <w:lang w:val="en-GB"/>
              </w:rPr>
              <w:t>Places where people collect river water</w:t>
            </w:r>
          </w:p>
        </w:tc>
      </w:tr>
      <w:tr w:rsidR="006F0E54" w:rsidRPr="0007451A" w14:paraId="386FF7B2" w14:textId="77777777" w:rsidTr="009D57AD">
        <w:trPr>
          <w:trHeight w:val="663"/>
        </w:trPr>
        <w:tc>
          <w:tcPr>
            <w:tcW w:w="1691" w:type="dxa"/>
            <w:vMerge/>
            <w:tcBorders>
              <w:left w:val="single" w:sz="8" w:space="0" w:color="000000"/>
            </w:tcBorders>
            <w:tcMar>
              <w:top w:w="100" w:type="dxa"/>
              <w:left w:w="100" w:type="dxa"/>
              <w:bottom w:w="100" w:type="dxa"/>
              <w:right w:w="100" w:type="dxa"/>
            </w:tcMar>
            <w:vAlign w:val="center"/>
            <w:hideMark/>
          </w:tcPr>
          <w:p w14:paraId="05ED7CFC" w14:textId="77777777" w:rsidR="006F0E54" w:rsidRPr="0007451A" w:rsidRDefault="006F0E54" w:rsidP="009D57AD">
            <w:pPr>
              <w:spacing w:before="120" w:after="0"/>
              <w:rPr>
                <w:rFonts w:asciiTheme="minorBidi" w:hAnsiTheme="minorBidi" w:cstheme="minorBidi"/>
                <w:sz w:val="18"/>
                <w:szCs w:val="18"/>
              </w:rPr>
            </w:pPr>
          </w:p>
        </w:tc>
        <w:tc>
          <w:tcPr>
            <w:tcW w:w="2835" w:type="dxa"/>
            <w:tcMar>
              <w:top w:w="100" w:type="dxa"/>
              <w:left w:w="100" w:type="dxa"/>
              <w:bottom w:w="100" w:type="dxa"/>
              <w:right w:w="100" w:type="dxa"/>
            </w:tcMar>
            <w:vAlign w:val="center"/>
            <w:hideMark/>
          </w:tcPr>
          <w:p w14:paraId="02E07E28" w14:textId="77777777" w:rsidR="006F0E54" w:rsidRPr="0007451A" w:rsidRDefault="006F0E54" w:rsidP="006F0E54">
            <w:pPr>
              <w:pStyle w:val="ListParagraph"/>
              <w:numPr>
                <w:ilvl w:val="0"/>
                <w:numId w:val="9"/>
              </w:numPr>
              <w:tabs>
                <w:tab w:val="left" w:pos="185"/>
              </w:tabs>
              <w:spacing w:before="120"/>
              <w:ind w:left="327" w:hanging="284"/>
              <w:jc w:val="left"/>
              <w:rPr>
                <w:rFonts w:asciiTheme="minorBidi" w:hAnsiTheme="minorBidi" w:cstheme="minorBidi"/>
                <w:sz w:val="18"/>
                <w:szCs w:val="18"/>
              </w:rPr>
            </w:pPr>
            <w:r w:rsidRPr="0007451A">
              <w:rPr>
                <w:rFonts w:asciiTheme="minorBidi" w:hAnsiTheme="minorBidi" w:cstheme="minorBidi"/>
                <w:sz w:val="18"/>
                <w:szCs w:val="18"/>
              </w:rPr>
              <w:t>Residential locations</w:t>
            </w:r>
          </w:p>
        </w:tc>
        <w:tc>
          <w:tcPr>
            <w:tcW w:w="4292" w:type="dxa"/>
            <w:tcBorders>
              <w:right w:val="single" w:sz="4" w:space="0" w:color="auto"/>
            </w:tcBorders>
            <w:tcMar>
              <w:top w:w="100" w:type="dxa"/>
              <w:left w:w="100" w:type="dxa"/>
              <w:bottom w:w="100" w:type="dxa"/>
              <w:right w:w="100" w:type="dxa"/>
            </w:tcMar>
            <w:vAlign w:val="center"/>
            <w:hideMark/>
          </w:tcPr>
          <w:p w14:paraId="79547741" w14:textId="77777777" w:rsidR="006F0E54" w:rsidRPr="0007451A" w:rsidRDefault="006F0E54" w:rsidP="006F0E54">
            <w:pPr>
              <w:pStyle w:val="ListParagraph"/>
              <w:numPr>
                <w:ilvl w:val="0"/>
                <w:numId w:val="7"/>
              </w:numPr>
              <w:spacing w:before="120"/>
              <w:ind w:left="182" w:hanging="142"/>
              <w:jc w:val="left"/>
              <w:rPr>
                <w:rFonts w:asciiTheme="minorBidi" w:hAnsiTheme="minorBidi" w:cstheme="minorBidi"/>
                <w:sz w:val="18"/>
                <w:szCs w:val="18"/>
                <w:lang w:val="en-GB"/>
              </w:rPr>
            </w:pPr>
            <w:r w:rsidRPr="0007451A">
              <w:rPr>
                <w:rFonts w:asciiTheme="minorBidi" w:hAnsiTheme="minorBidi" w:cstheme="minorBidi"/>
                <w:sz w:val="18"/>
                <w:szCs w:val="18"/>
                <w:lang w:val="en-GB"/>
              </w:rPr>
              <w:t>Represent housing block.</w:t>
            </w:r>
          </w:p>
        </w:tc>
      </w:tr>
      <w:tr w:rsidR="006F0E54" w:rsidRPr="0007451A" w14:paraId="4251FC8C" w14:textId="77777777" w:rsidTr="009D57AD">
        <w:trPr>
          <w:trHeight w:val="663"/>
        </w:trPr>
        <w:tc>
          <w:tcPr>
            <w:tcW w:w="1691" w:type="dxa"/>
            <w:vMerge/>
            <w:tcBorders>
              <w:left w:val="single" w:sz="8" w:space="0" w:color="000000"/>
              <w:bottom w:val="single" w:sz="4" w:space="0" w:color="auto"/>
            </w:tcBorders>
            <w:tcMar>
              <w:top w:w="100" w:type="dxa"/>
              <w:left w:w="100" w:type="dxa"/>
              <w:bottom w:w="100" w:type="dxa"/>
              <w:right w:w="100" w:type="dxa"/>
            </w:tcMar>
            <w:vAlign w:val="center"/>
            <w:hideMark/>
          </w:tcPr>
          <w:p w14:paraId="3A7E349E" w14:textId="77777777" w:rsidR="006F0E54" w:rsidRPr="0007451A" w:rsidRDefault="006F0E54" w:rsidP="009D57AD">
            <w:pPr>
              <w:spacing w:before="120" w:after="0"/>
              <w:rPr>
                <w:rFonts w:asciiTheme="minorBidi" w:hAnsiTheme="minorBidi" w:cstheme="minorBidi"/>
                <w:sz w:val="18"/>
                <w:szCs w:val="18"/>
              </w:rPr>
            </w:pPr>
          </w:p>
        </w:tc>
        <w:tc>
          <w:tcPr>
            <w:tcW w:w="2835" w:type="dxa"/>
            <w:tcBorders>
              <w:bottom w:val="single" w:sz="4" w:space="0" w:color="auto"/>
            </w:tcBorders>
            <w:tcMar>
              <w:top w:w="100" w:type="dxa"/>
              <w:left w:w="100" w:type="dxa"/>
              <w:bottom w:w="100" w:type="dxa"/>
              <w:right w:w="100" w:type="dxa"/>
            </w:tcMar>
            <w:vAlign w:val="center"/>
            <w:hideMark/>
          </w:tcPr>
          <w:p w14:paraId="16B559C8" w14:textId="77777777" w:rsidR="006F0E54" w:rsidRPr="0007451A" w:rsidRDefault="006F0E54" w:rsidP="006F0E54">
            <w:pPr>
              <w:pStyle w:val="ListParagraph"/>
              <w:numPr>
                <w:ilvl w:val="0"/>
                <w:numId w:val="9"/>
              </w:numPr>
              <w:tabs>
                <w:tab w:val="left" w:pos="185"/>
              </w:tabs>
              <w:spacing w:before="120"/>
              <w:ind w:left="327" w:hanging="284"/>
              <w:jc w:val="left"/>
              <w:rPr>
                <w:rFonts w:asciiTheme="minorBidi" w:hAnsiTheme="minorBidi" w:cstheme="minorBidi"/>
                <w:sz w:val="18"/>
                <w:szCs w:val="18"/>
              </w:rPr>
            </w:pPr>
            <w:r w:rsidRPr="0007451A">
              <w:rPr>
                <w:rFonts w:asciiTheme="minorBidi" w:hAnsiTheme="minorBidi" w:cstheme="minorBidi"/>
                <w:sz w:val="18"/>
                <w:szCs w:val="18"/>
              </w:rPr>
              <w:t>Dumpsite locations</w:t>
            </w:r>
          </w:p>
        </w:tc>
        <w:tc>
          <w:tcPr>
            <w:tcW w:w="4292" w:type="dxa"/>
            <w:tcBorders>
              <w:bottom w:val="single" w:sz="4" w:space="0" w:color="auto"/>
              <w:right w:val="single" w:sz="4" w:space="0" w:color="auto"/>
            </w:tcBorders>
            <w:tcMar>
              <w:top w:w="100" w:type="dxa"/>
              <w:left w:w="100" w:type="dxa"/>
              <w:bottom w:w="100" w:type="dxa"/>
              <w:right w:w="100" w:type="dxa"/>
            </w:tcMar>
            <w:vAlign w:val="center"/>
            <w:hideMark/>
          </w:tcPr>
          <w:p w14:paraId="464212F7" w14:textId="77777777" w:rsidR="006F0E54" w:rsidRPr="0007451A" w:rsidRDefault="006F0E54" w:rsidP="006F0E54">
            <w:pPr>
              <w:pStyle w:val="ListParagraph"/>
              <w:numPr>
                <w:ilvl w:val="0"/>
                <w:numId w:val="7"/>
              </w:numPr>
              <w:spacing w:before="120"/>
              <w:ind w:left="182" w:hanging="142"/>
              <w:jc w:val="left"/>
              <w:rPr>
                <w:rFonts w:asciiTheme="minorBidi" w:hAnsiTheme="minorBidi" w:cstheme="minorBidi"/>
                <w:sz w:val="18"/>
                <w:szCs w:val="18"/>
                <w:lang w:val="en-GB"/>
              </w:rPr>
            </w:pPr>
            <w:r w:rsidRPr="0007451A">
              <w:rPr>
                <w:rFonts w:asciiTheme="minorBidi" w:hAnsiTheme="minorBidi" w:cstheme="minorBidi"/>
                <w:sz w:val="18"/>
                <w:szCs w:val="18"/>
                <w:lang w:val="en-GB"/>
              </w:rPr>
              <w:t>Use by households to dump waste. They can become infected with cholera.</w:t>
            </w:r>
          </w:p>
          <w:p w14:paraId="6FDE683E" w14:textId="77777777" w:rsidR="006F0E54" w:rsidRPr="0007451A" w:rsidRDefault="006F0E54" w:rsidP="006F0E54">
            <w:pPr>
              <w:pStyle w:val="ListParagraph"/>
              <w:numPr>
                <w:ilvl w:val="0"/>
                <w:numId w:val="7"/>
              </w:numPr>
              <w:spacing w:before="120"/>
              <w:ind w:left="182" w:hanging="142"/>
              <w:jc w:val="left"/>
              <w:rPr>
                <w:rFonts w:asciiTheme="minorBidi" w:hAnsiTheme="minorBidi" w:cstheme="minorBidi"/>
                <w:sz w:val="18"/>
                <w:szCs w:val="18"/>
                <w:lang w:val="en-GB"/>
              </w:rPr>
            </w:pPr>
            <w:r w:rsidRPr="0007451A">
              <w:rPr>
                <w:rFonts w:asciiTheme="minorBidi" w:hAnsiTheme="minorBidi" w:cstheme="minorBidi"/>
                <w:sz w:val="18"/>
                <w:szCs w:val="18"/>
                <w:lang w:val="en-GB"/>
              </w:rPr>
              <w:t>Influences visual pollution.</w:t>
            </w:r>
          </w:p>
        </w:tc>
      </w:tr>
      <w:tr w:rsidR="006F0E54" w:rsidRPr="0007451A" w14:paraId="4871B987" w14:textId="77777777" w:rsidTr="009D57AD">
        <w:trPr>
          <w:trHeight w:val="638"/>
        </w:trPr>
        <w:tc>
          <w:tcPr>
            <w:tcW w:w="1691" w:type="dxa"/>
            <w:vMerge w:val="restart"/>
            <w:tcBorders>
              <w:top w:val="single" w:sz="4" w:space="0" w:color="auto"/>
              <w:left w:val="single" w:sz="4" w:space="0" w:color="auto"/>
            </w:tcBorders>
            <w:tcMar>
              <w:top w:w="100" w:type="dxa"/>
              <w:left w:w="100" w:type="dxa"/>
              <w:bottom w:w="100" w:type="dxa"/>
              <w:right w:w="100" w:type="dxa"/>
            </w:tcMar>
            <w:vAlign w:val="center"/>
            <w:hideMark/>
          </w:tcPr>
          <w:p w14:paraId="5E526199" w14:textId="77777777" w:rsidR="006F0E54" w:rsidRPr="00E120F3" w:rsidRDefault="006F0E54" w:rsidP="009D57AD">
            <w:pPr>
              <w:spacing w:before="120" w:after="0"/>
              <w:rPr>
                <w:rFonts w:asciiTheme="minorBidi" w:hAnsiTheme="minorBidi" w:cstheme="minorBidi"/>
                <w:b/>
                <w:bCs/>
                <w:sz w:val="18"/>
                <w:szCs w:val="18"/>
              </w:rPr>
            </w:pPr>
            <w:r w:rsidRPr="00E120F3">
              <w:rPr>
                <w:rFonts w:asciiTheme="minorBidi" w:hAnsiTheme="minorBidi" w:cstheme="minorBidi"/>
                <w:b/>
                <w:bCs/>
                <w:sz w:val="18"/>
                <w:szCs w:val="18"/>
              </w:rPr>
              <w:t>Visual Pollution</w:t>
            </w:r>
          </w:p>
        </w:tc>
        <w:tc>
          <w:tcPr>
            <w:tcW w:w="2835" w:type="dxa"/>
            <w:tcBorders>
              <w:top w:val="single" w:sz="4" w:space="0" w:color="auto"/>
            </w:tcBorders>
            <w:tcMar>
              <w:top w:w="100" w:type="dxa"/>
              <w:left w:w="100" w:type="dxa"/>
              <w:bottom w:w="100" w:type="dxa"/>
              <w:right w:w="100" w:type="dxa"/>
            </w:tcMar>
            <w:vAlign w:val="center"/>
            <w:hideMark/>
          </w:tcPr>
          <w:p w14:paraId="19770326" w14:textId="77777777" w:rsidR="006F0E54" w:rsidRPr="0007451A" w:rsidRDefault="006F0E54" w:rsidP="006F0E54">
            <w:pPr>
              <w:pStyle w:val="ListParagraph"/>
              <w:numPr>
                <w:ilvl w:val="0"/>
                <w:numId w:val="9"/>
              </w:numPr>
              <w:tabs>
                <w:tab w:val="left" w:pos="185"/>
              </w:tabs>
              <w:spacing w:before="120"/>
              <w:ind w:left="327" w:hanging="284"/>
              <w:jc w:val="left"/>
              <w:rPr>
                <w:rFonts w:asciiTheme="minorBidi" w:hAnsiTheme="minorBidi" w:cstheme="minorBidi"/>
                <w:sz w:val="18"/>
                <w:szCs w:val="18"/>
              </w:rPr>
            </w:pPr>
            <w:r w:rsidRPr="0007451A">
              <w:rPr>
                <w:rFonts w:asciiTheme="minorBidi" w:hAnsiTheme="minorBidi" w:cstheme="minorBidi"/>
                <w:sz w:val="18"/>
                <w:szCs w:val="18"/>
              </w:rPr>
              <w:t>Dumpsite locations</w:t>
            </w:r>
          </w:p>
        </w:tc>
        <w:tc>
          <w:tcPr>
            <w:tcW w:w="4292" w:type="dxa"/>
            <w:tcBorders>
              <w:top w:val="single" w:sz="4" w:space="0" w:color="auto"/>
              <w:right w:val="single" w:sz="4" w:space="0" w:color="auto"/>
            </w:tcBorders>
            <w:tcMar>
              <w:top w:w="100" w:type="dxa"/>
              <w:left w:w="100" w:type="dxa"/>
              <w:bottom w:w="100" w:type="dxa"/>
              <w:right w:w="100" w:type="dxa"/>
            </w:tcMar>
            <w:vAlign w:val="center"/>
            <w:hideMark/>
          </w:tcPr>
          <w:p w14:paraId="05C0971C" w14:textId="77777777" w:rsidR="006F0E54" w:rsidRPr="0007451A" w:rsidRDefault="006F0E54" w:rsidP="006F0E54">
            <w:pPr>
              <w:pStyle w:val="ListParagraph"/>
              <w:numPr>
                <w:ilvl w:val="0"/>
                <w:numId w:val="7"/>
              </w:numPr>
              <w:spacing w:before="120"/>
              <w:ind w:left="182" w:hanging="142"/>
              <w:jc w:val="left"/>
              <w:rPr>
                <w:rFonts w:asciiTheme="minorBidi" w:hAnsiTheme="minorBidi" w:cstheme="minorBidi"/>
                <w:sz w:val="18"/>
                <w:szCs w:val="18"/>
              </w:rPr>
            </w:pPr>
            <w:r w:rsidRPr="0007451A">
              <w:rPr>
                <w:rFonts w:asciiTheme="minorBidi" w:hAnsiTheme="minorBidi" w:cstheme="minorBidi"/>
                <w:sz w:val="18"/>
                <w:szCs w:val="18"/>
              </w:rPr>
              <w:t>Garbage flow from the open dumpsites to the river.</w:t>
            </w:r>
          </w:p>
        </w:tc>
      </w:tr>
      <w:tr w:rsidR="006F0E54" w:rsidRPr="0007451A" w14:paraId="0BC5742C" w14:textId="77777777" w:rsidTr="009D57AD">
        <w:tc>
          <w:tcPr>
            <w:tcW w:w="1691" w:type="dxa"/>
            <w:vMerge/>
            <w:tcBorders>
              <w:left w:val="single" w:sz="4" w:space="0" w:color="auto"/>
            </w:tcBorders>
            <w:tcMar>
              <w:top w:w="100" w:type="dxa"/>
              <w:left w:w="100" w:type="dxa"/>
              <w:bottom w:w="100" w:type="dxa"/>
              <w:right w:w="100" w:type="dxa"/>
            </w:tcMar>
            <w:vAlign w:val="center"/>
          </w:tcPr>
          <w:p w14:paraId="4DE75E43" w14:textId="77777777" w:rsidR="006F0E54" w:rsidRPr="0007451A" w:rsidRDefault="006F0E54" w:rsidP="009D57AD">
            <w:pPr>
              <w:spacing w:before="120" w:after="0"/>
              <w:rPr>
                <w:rFonts w:asciiTheme="minorBidi" w:hAnsiTheme="minorBidi" w:cstheme="minorBidi"/>
                <w:sz w:val="18"/>
                <w:szCs w:val="18"/>
              </w:rPr>
            </w:pPr>
          </w:p>
        </w:tc>
        <w:tc>
          <w:tcPr>
            <w:tcW w:w="2835" w:type="dxa"/>
            <w:tcMar>
              <w:top w:w="100" w:type="dxa"/>
              <w:left w:w="100" w:type="dxa"/>
              <w:bottom w:w="100" w:type="dxa"/>
              <w:right w:w="100" w:type="dxa"/>
            </w:tcMar>
            <w:vAlign w:val="center"/>
          </w:tcPr>
          <w:p w14:paraId="40181199" w14:textId="77777777" w:rsidR="006F0E54" w:rsidRPr="0007451A" w:rsidRDefault="006F0E54" w:rsidP="006F0E54">
            <w:pPr>
              <w:pStyle w:val="ListParagraph"/>
              <w:numPr>
                <w:ilvl w:val="0"/>
                <w:numId w:val="9"/>
              </w:numPr>
              <w:tabs>
                <w:tab w:val="left" w:pos="185"/>
              </w:tabs>
              <w:spacing w:before="120"/>
              <w:ind w:left="327" w:hanging="284"/>
              <w:jc w:val="left"/>
              <w:rPr>
                <w:rFonts w:asciiTheme="minorBidi" w:hAnsiTheme="minorBidi" w:cstheme="minorBidi"/>
                <w:sz w:val="18"/>
                <w:szCs w:val="18"/>
              </w:rPr>
            </w:pPr>
            <w:r w:rsidRPr="0007451A">
              <w:rPr>
                <w:rFonts w:asciiTheme="minorBidi" w:hAnsiTheme="minorBidi" w:cstheme="minorBidi"/>
                <w:sz w:val="18"/>
                <w:szCs w:val="18"/>
              </w:rPr>
              <w:t>Water – collection points</w:t>
            </w:r>
          </w:p>
        </w:tc>
        <w:tc>
          <w:tcPr>
            <w:tcW w:w="4292" w:type="dxa"/>
            <w:tcBorders>
              <w:right w:val="single" w:sz="4" w:space="0" w:color="auto"/>
            </w:tcBorders>
            <w:tcMar>
              <w:top w:w="100" w:type="dxa"/>
              <w:left w:w="100" w:type="dxa"/>
              <w:bottom w:w="100" w:type="dxa"/>
              <w:right w:w="100" w:type="dxa"/>
            </w:tcMar>
            <w:vAlign w:val="center"/>
          </w:tcPr>
          <w:p w14:paraId="7667EB94" w14:textId="77777777" w:rsidR="006F0E54" w:rsidRPr="0007451A" w:rsidRDefault="006F0E54" w:rsidP="006F0E54">
            <w:pPr>
              <w:pStyle w:val="ListParagraph"/>
              <w:numPr>
                <w:ilvl w:val="0"/>
                <w:numId w:val="7"/>
              </w:numPr>
              <w:spacing w:before="120"/>
              <w:ind w:left="182" w:hanging="142"/>
              <w:jc w:val="left"/>
              <w:rPr>
                <w:rFonts w:asciiTheme="minorBidi" w:hAnsiTheme="minorBidi" w:cstheme="minorBidi"/>
                <w:sz w:val="18"/>
                <w:szCs w:val="18"/>
              </w:rPr>
            </w:pPr>
            <w:r w:rsidRPr="0007451A">
              <w:rPr>
                <w:rFonts w:asciiTheme="minorBidi" w:hAnsiTheme="minorBidi" w:cstheme="minorBidi"/>
                <w:sz w:val="18"/>
                <w:szCs w:val="18"/>
              </w:rPr>
              <w:t>Household agents evaluate the visual pollution of water collection points during the risk perception process</w:t>
            </w:r>
          </w:p>
        </w:tc>
      </w:tr>
      <w:tr w:rsidR="006F0E54" w:rsidRPr="0007451A" w14:paraId="015DB608" w14:textId="77777777" w:rsidTr="009D57AD">
        <w:tc>
          <w:tcPr>
            <w:tcW w:w="1691" w:type="dxa"/>
            <w:vMerge/>
            <w:tcBorders>
              <w:left w:val="single" w:sz="4" w:space="0" w:color="auto"/>
              <w:bottom w:val="single" w:sz="4" w:space="0" w:color="auto"/>
            </w:tcBorders>
            <w:tcMar>
              <w:top w:w="100" w:type="dxa"/>
              <w:left w:w="100" w:type="dxa"/>
              <w:bottom w:w="100" w:type="dxa"/>
              <w:right w:w="100" w:type="dxa"/>
            </w:tcMar>
            <w:vAlign w:val="center"/>
          </w:tcPr>
          <w:p w14:paraId="31066293" w14:textId="77777777" w:rsidR="006F0E54" w:rsidRPr="0007451A" w:rsidRDefault="006F0E54" w:rsidP="009D57AD">
            <w:pPr>
              <w:spacing w:before="120" w:after="0"/>
              <w:rPr>
                <w:rFonts w:asciiTheme="minorBidi" w:hAnsiTheme="minorBidi" w:cstheme="minorBidi"/>
                <w:sz w:val="18"/>
                <w:szCs w:val="18"/>
              </w:rPr>
            </w:pPr>
          </w:p>
        </w:tc>
        <w:tc>
          <w:tcPr>
            <w:tcW w:w="2835" w:type="dxa"/>
            <w:tcBorders>
              <w:bottom w:val="single" w:sz="4" w:space="0" w:color="auto"/>
            </w:tcBorders>
            <w:tcMar>
              <w:top w:w="100" w:type="dxa"/>
              <w:left w:w="100" w:type="dxa"/>
              <w:bottom w:w="100" w:type="dxa"/>
              <w:right w:w="100" w:type="dxa"/>
            </w:tcMar>
            <w:vAlign w:val="center"/>
          </w:tcPr>
          <w:p w14:paraId="5D0069C8" w14:textId="77777777" w:rsidR="006F0E54" w:rsidRPr="0007451A" w:rsidRDefault="006F0E54" w:rsidP="006F0E54">
            <w:pPr>
              <w:pStyle w:val="ListParagraph"/>
              <w:numPr>
                <w:ilvl w:val="0"/>
                <w:numId w:val="9"/>
              </w:numPr>
              <w:tabs>
                <w:tab w:val="left" w:pos="185"/>
              </w:tabs>
              <w:spacing w:before="120"/>
              <w:ind w:left="327" w:hanging="284"/>
              <w:jc w:val="left"/>
              <w:rPr>
                <w:rFonts w:asciiTheme="minorBidi" w:hAnsiTheme="minorBidi" w:cstheme="minorBidi"/>
                <w:sz w:val="18"/>
                <w:szCs w:val="18"/>
              </w:rPr>
            </w:pPr>
            <w:r w:rsidRPr="0007451A">
              <w:rPr>
                <w:rFonts w:asciiTheme="minorBidi" w:hAnsiTheme="minorBidi" w:cstheme="minorBidi"/>
                <w:sz w:val="18"/>
                <w:szCs w:val="18"/>
              </w:rPr>
              <w:t>Elevation layer (DEM)</w:t>
            </w:r>
          </w:p>
        </w:tc>
        <w:tc>
          <w:tcPr>
            <w:tcW w:w="4292" w:type="dxa"/>
            <w:tcBorders>
              <w:bottom w:val="single" w:sz="4" w:space="0" w:color="auto"/>
              <w:right w:val="single" w:sz="4" w:space="0" w:color="auto"/>
            </w:tcBorders>
            <w:tcMar>
              <w:top w:w="100" w:type="dxa"/>
              <w:left w:w="100" w:type="dxa"/>
              <w:bottom w:w="100" w:type="dxa"/>
              <w:right w:w="100" w:type="dxa"/>
            </w:tcMar>
            <w:vAlign w:val="center"/>
          </w:tcPr>
          <w:p w14:paraId="73E70953" w14:textId="77777777" w:rsidR="006F0E54" w:rsidRPr="0007451A" w:rsidRDefault="006F0E54" w:rsidP="006F0E54">
            <w:pPr>
              <w:pStyle w:val="ListParagraph"/>
              <w:numPr>
                <w:ilvl w:val="0"/>
                <w:numId w:val="7"/>
              </w:numPr>
              <w:spacing w:before="120"/>
              <w:ind w:left="182" w:hanging="142"/>
              <w:jc w:val="left"/>
              <w:rPr>
                <w:rFonts w:asciiTheme="minorBidi" w:hAnsiTheme="minorBidi" w:cstheme="minorBidi"/>
                <w:sz w:val="18"/>
                <w:szCs w:val="18"/>
                <w:lang w:val="en-GB"/>
              </w:rPr>
            </w:pPr>
            <w:r w:rsidRPr="0007451A">
              <w:rPr>
                <w:rFonts w:asciiTheme="minorBidi" w:hAnsiTheme="minorBidi" w:cstheme="minorBidi"/>
                <w:sz w:val="18"/>
                <w:szCs w:val="18"/>
                <w:lang w:val="en-GB"/>
              </w:rPr>
              <w:t>The flow of the garbage in the river water is calculated based on the DEM.</w:t>
            </w:r>
          </w:p>
        </w:tc>
      </w:tr>
    </w:tbl>
    <w:p w14:paraId="031D1492" w14:textId="77777777" w:rsidR="006F0E54" w:rsidRPr="0007451A" w:rsidRDefault="006F0E54" w:rsidP="006F0E54">
      <w:pPr>
        <w:pBdr>
          <w:top w:val="nil"/>
          <w:left w:val="nil"/>
          <w:bottom w:val="nil"/>
          <w:right w:val="nil"/>
          <w:between w:val="nil"/>
        </w:pBdr>
        <w:spacing w:before="120" w:after="120" w:line="480" w:lineRule="auto"/>
        <w:jc w:val="both"/>
        <w:rPr>
          <w:rFonts w:asciiTheme="minorBidi" w:eastAsia="Arial" w:hAnsiTheme="minorBidi" w:cstheme="minorBidi"/>
        </w:rPr>
      </w:pPr>
      <w:r w:rsidRPr="0007451A">
        <w:rPr>
          <w:rFonts w:asciiTheme="minorBidi" w:eastAsia="Arial" w:hAnsiTheme="minorBidi" w:cstheme="minorBidi"/>
        </w:rPr>
        <w:t xml:space="preserve">The case study area captured in CABM </w:t>
      </w:r>
      <w:r>
        <w:rPr>
          <w:rFonts w:asciiTheme="minorBidi" w:eastAsia="Arial" w:hAnsiTheme="minorBidi" w:cstheme="minorBidi"/>
        </w:rPr>
        <w:t>covers</w:t>
      </w:r>
      <w:r w:rsidRPr="0007451A">
        <w:rPr>
          <w:rFonts w:asciiTheme="minorBidi" w:eastAsia="Arial" w:hAnsiTheme="minorBidi" w:cstheme="minorBidi"/>
        </w:rPr>
        <w:t xml:space="preserve"> 19.2 km</w:t>
      </w:r>
      <w:r w:rsidRPr="0007451A">
        <w:rPr>
          <w:rFonts w:asciiTheme="minorBidi" w:eastAsia="Arial" w:hAnsiTheme="minorBidi" w:cstheme="minorBidi"/>
          <w:vertAlign w:val="superscript"/>
        </w:rPr>
        <w:t>2</w:t>
      </w:r>
      <w:r w:rsidRPr="0007451A">
        <w:rPr>
          <w:rFonts w:asciiTheme="minorBidi" w:eastAsia="Arial" w:hAnsiTheme="minorBidi" w:cstheme="minorBidi"/>
        </w:rPr>
        <w:t xml:space="preserve"> and consists of 21 communities. The spatial resolution is 30 by 30 meter; and the simulation time step is one hour</w:t>
      </w:r>
      <w:r>
        <w:rPr>
          <w:rFonts w:asciiTheme="minorBidi" w:eastAsia="Arial" w:hAnsiTheme="minorBidi" w:cstheme="minorBidi"/>
        </w:rPr>
        <w:t xml:space="preserve">. We run the model </w:t>
      </w:r>
      <w:r w:rsidRPr="0007451A">
        <w:rPr>
          <w:rFonts w:asciiTheme="minorBidi" w:eastAsia="Arial" w:hAnsiTheme="minorBidi" w:cstheme="minorBidi"/>
        </w:rPr>
        <w:t>for 90 days.</w:t>
      </w:r>
    </w:p>
    <w:p w14:paraId="0DAAD958" w14:textId="77777777" w:rsidR="006F0E54" w:rsidRPr="0007451A" w:rsidRDefault="006F0E54" w:rsidP="006F0E54">
      <w:pPr>
        <w:pStyle w:val="Heading3"/>
        <w:rPr>
          <w:lang w:eastAsia="en-GB"/>
        </w:rPr>
      </w:pPr>
      <w:r w:rsidRPr="0007451A">
        <w:rPr>
          <w:lang w:eastAsia="en-GB"/>
        </w:rPr>
        <w:t>Process Overview and Scheduling</w:t>
      </w:r>
    </w:p>
    <w:p w14:paraId="6E60BBB3" w14:textId="147AA14B"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The processes included in the CABM model are illustrated in </w:t>
      </w:r>
      <w:r w:rsidR="00DA6C3F">
        <w:rPr>
          <w:rFonts w:asciiTheme="minorBidi" w:eastAsia="Arial" w:hAnsiTheme="minorBidi" w:cstheme="minorBidi"/>
        </w:rPr>
        <w:t>S1</w:t>
      </w:r>
      <w:r>
        <w:rPr>
          <w:rFonts w:asciiTheme="minorBidi" w:eastAsia="Arial" w:hAnsiTheme="minorBidi" w:cstheme="minorBidi"/>
        </w:rPr>
        <w:t xml:space="preserve"> </w:t>
      </w:r>
      <w:r w:rsidRPr="0007451A">
        <w:rPr>
          <w:rFonts w:asciiTheme="minorBidi" w:eastAsia="Arial" w:hAnsiTheme="minorBidi" w:cstheme="minorBidi"/>
        </w:rPr>
        <w:t>Fig 1 and described below.</w:t>
      </w:r>
    </w:p>
    <w:p w14:paraId="58E3F3C1" w14:textId="66CD7554" w:rsidR="00E25C3A" w:rsidRDefault="00522624" w:rsidP="006F0E54">
      <w:pPr>
        <w:pStyle w:val="Caption"/>
        <w:spacing w:after="240"/>
        <w:jc w:val="center"/>
        <w:rPr>
          <w:szCs w:val="20"/>
        </w:rPr>
      </w:pPr>
      <w:r>
        <w:rPr>
          <w:noProof/>
          <w:szCs w:val="20"/>
        </w:rPr>
        <w:lastRenderedPageBreak/>
        <w:drawing>
          <wp:inline distT="0" distB="0" distL="0" distR="0" wp14:anchorId="731B0F79" wp14:editId="3216797B">
            <wp:extent cx="402590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 Appendix A Fig 1.tif"/>
                    <pic:cNvPicPr/>
                  </pic:nvPicPr>
                  <pic:blipFill>
                    <a:blip r:embed="rId8">
                      <a:extLst>
                        <a:ext uri="{28A0092B-C50C-407E-A947-70E740481C1C}">
                          <a14:useLocalDpi xmlns:a14="http://schemas.microsoft.com/office/drawing/2010/main" val="0"/>
                        </a:ext>
                      </a:extLst>
                    </a:blip>
                    <a:stretch>
                      <a:fillRect/>
                    </a:stretch>
                  </pic:blipFill>
                  <pic:spPr>
                    <a:xfrm>
                      <a:off x="0" y="0"/>
                      <a:ext cx="4025900" cy="2540000"/>
                    </a:xfrm>
                    <a:prstGeom prst="rect">
                      <a:avLst/>
                    </a:prstGeom>
                  </pic:spPr>
                </pic:pic>
              </a:graphicData>
            </a:graphic>
          </wp:inline>
        </w:drawing>
      </w:r>
    </w:p>
    <w:p w14:paraId="100DB276" w14:textId="0E4A7129" w:rsidR="006F0E54" w:rsidRPr="00E25C3A" w:rsidRDefault="00DA6C3F" w:rsidP="006F0E54">
      <w:pPr>
        <w:pStyle w:val="Caption"/>
        <w:spacing w:after="240"/>
        <w:jc w:val="center"/>
        <w:rPr>
          <w:b/>
          <w:bCs/>
          <w:i w:val="0"/>
          <w:iCs w:val="0"/>
          <w:szCs w:val="20"/>
        </w:rPr>
      </w:pPr>
      <w:r w:rsidRPr="00E25C3A">
        <w:rPr>
          <w:b/>
          <w:bCs/>
          <w:i w:val="0"/>
          <w:iCs w:val="0"/>
          <w:szCs w:val="20"/>
        </w:rPr>
        <w:t>S1</w:t>
      </w:r>
      <w:r w:rsidR="006F0E54" w:rsidRPr="00E25C3A">
        <w:rPr>
          <w:b/>
          <w:bCs/>
          <w:i w:val="0"/>
          <w:iCs w:val="0"/>
          <w:szCs w:val="20"/>
        </w:rPr>
        <w:t xml:space="preserve"> Fig 1: CABM Processes Overview; blue boxes refer to these activities that are related protection procedure and green boxes refers to these activities that are related to getting cholera infection. Red arrows refer to the impact of activities of a certain agent type on another agents; while blue arrows refer to repeating activities by a certain agent</w:t>
      </w:r>
    </w:p>
    <w:p w14:paraId="78840E70" w14:textId="48142484"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When</w:t>
      </w:r>
      <w:r w:rsidRPr="0007451A">
        <w:rPr>
          <w:rFonts w:asciiTheme="minorBidi" w:eastAsia="Arial" w:hAnsiTheme="minorBidi" w:cstheme="minorBidi"/>
          <w:b/>
          <w:bCs/>
        </w:rPr>
        <w:t xml:space="preserve"> household agents</w:t>
      </w:r>
      <w:r w:rsidRPr="0007451A">
        <w:rPr>
          <w:rFonts w:asciiTheme="minorBidi" w:eastAsia="Arial" w:hAnsiTheme="minorBidi" w:cstheme="minorBidi"/>
        </w:rPr>
        <w:t xml:space="preserve"> need to collect water from the river, they determine the pollution level around their water collection point and collect information from their neighbors, determine the media value and check their memory (Calculate VP – </w:t>
      </w:r>
      <w:r w:rsidR="00DA6C3F">
        <w:rPr>
          <w:rFonts w:asciiTheme="minorBidi" w:eastAsia="Arial" w:hAnsiTheme="minorBidi" w:cstheme="minorBidi"/>
        </w:rPr>
        <w:t>S1</w:t>
      </w:r>
      <w:r>
        <w:rPr>
          <w:rFonts w:asciiTheme="minorBidi" w:eastAsia="Arial" w:hAnsiTheme="minorBidi" w:cstheme="minorBidi"/>
        </w:rPr>
        <w:t xml:space="preserve"> </w:t>
      </w:r>
      <w:r w:rsidRPr="0007451A">
        <w:rPr>
          <w:rFonts w:asciiTheme="minorBidi" w:eastAsia="Arial" w:hAnsiTheme="minorBidi" w:cstheme="minorBidi"/>
        </w:rPr>
        <w:t xml:space="preserve">Fig 1). When they determine risk, they proceed to the Coping Appraisal (Coping Appraisal Collect Water – </w:t>
      </w:r>
      <w:r w:rsidR="00DA6C3F">
        <w:rPr>
          <w:rFonts w:asciiTheme="minorBidi" w:eastAsia="Arial" w:hAnsiTheme="minorBidi" w:cstheme="minorBidi"/>
        </w:rPr>
        <w:t>S1</w:t>
      </w:r>
      <w:r>
        <w:rPr>
          <w:rFonts w:asciiTheme="minorBidi" w:eastAsia="Arial" w:hAnsiTheme="minorBidi" w:cstheme="minorBidi"/>
        </w:rPr>
        <w:t xml:space="preserve"> </w:t>
      </w:r>
      <w:r w:rsidRPr="0007451A">
        <w:rPr>
          <w:rFonts w:asciiTheme="minorBidi" w:eastAsia="Arial" w:hAnsiTheme="minorBidi" w:cstheme="minorBidi"/>
        </w:rPr>
        <w:t xml:space="preserve">Fig 1). Household agents perceive risk </w:t>
      </w:r>
      <w:r>
        <w:rPr>
          <w:rFonts w:asciiTheme="minorBidi" w:eastAsia="Arial" w:hAnsiTheme="minorBidi" w:cstheme="minorBidi"/>
        </w:rPr>
        <w:t xml:space="preserve">daily </w:t>
      </w:r>
      <w:r w:rsidRPr="0007451A">
        <w:rPr>
          <w:rFonts w:asciiTheme="minorBidi" w:eastAsia="Arial" w:hAnsiTheme="minorBidi" w:cstheme="minorBidi"/>
        </w:rPr>
        <w:t>– unless they have a household member infect</w:t>
      </w:r>
      <w:r>
        <w:rPr>
          <w:rFonts w:asciiTheme="minorBidi" w:eastAsia="Arial" w:hAnsiTheme="minorBidi" w:cstheme="minorBidi"/>
        </w:rPr>
        <w:t>ed</w:t>
      </w:r>
      <w:r w:rsidRPr="0007451A">
        <w:rPr>
          <w:rFonts w:asciiTheme="minorBidi" w:eastAsia="Arial" w:hAnsiTheme="minorBidi" w:cstheme="minorBidi"/>
        </w:rPr>
        <w:t xml:space="preserve"> with cholera.</w:t>
      </w:r>
    </w:p>
    <w:p w14:paraId="7D2ADA04" w14:textId="212A749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The </w:t>
      </w:r>
      <w:r w:rsidRPr="0007451A">
        <w:rPr>
          <w:rFonts w:asciiTheme="minorBidi" w:eastAsia="Arial" w:hAnsiTheme="minorBidi" w:cstheme="minorBidi"/>
          <w:b/>
          <w:bCs/>
        </w:rPr>
        <w:t>individual agents</w:t>
      </w:r>
      <w:r w:rsidRPr="0007451A">
        <w:rPr>
          <w:rFonts w:asciiTheme="minorBidi" w:eastAsia="Arial" w:hAnsiTheme="minorBidi" w:cstheme="minorBidi"/>
        </w:rPr>
        <w:t xml:space="preserve"> update their infection Level (Update Infection level –</w:t>
      </w:r>
      <w:r>
        <w:rPr>
          <w:rFonts w:asciiTheme="minorBidi" w:eastAsia="Arial" w:hAnsiTheme="minorBidi" w:cstheme="minorBidi"/>
        </w:rPr>
        <w:t xml:space="preserve"> </w:t>
      </w:r>
      <w:r w:rsidR="00DA6C3F">
        <w:rPr>
          <w:rFonts w:asciiTheme="minorBidi" w:eastAsia="Arial" w:hAnsiTheme="minorBidi" w:cstheme="minorBidi"/>
        </w:rPr>
        <w:t>S1</w:t>
      </w:r>
      <w:r w:rsidRPr="0007451A">
        <w:rPr>
          <w:rFonts w:asciiTheme="minorBidi" w:eastAsia="Arial" w:hAnsiTheme="minorBidi" w:cstheme="minorBidi"/>
        </w:rPr>
        <w:t xml:space="preserve"> Fig 1) daily, following the Coping appraisal and Water Collection phase.</w:t>
      </w:r>
    </w:p>
    <w:p w14:paraId="6FFACB0E"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The </w:t>
      </w:r>
      <w:r w:rsidRPr="0007451A">
        <w:rPr>
          <w:rFonts w:asciiTheme="minorBidi" w:eastAsia="Arial" w:hAnsiTheme="minorBidi" w:cstheme="minorBidi"/>
          <w:b/>
          <w:bCs/>
        </w:rPr>
        <w:t>media agent</w:t>
      </w:r>
      <w:r w:rsidRPr="00DD1CE9">
        <w:t xml:space="preserve"> </w:t>
      </w:r>
      <w:r w:rsidRPr="00DD1CE9">
        <w:rPr>
          <w:rFonts w:asciiTheme="minorBidi" w:eastAsia="Arial" w:hAnsiTheme="minorBidi" w:cstheme="minorBidi"/>
        </w:rPr>
        <w:t>can be scheduled to start broadcasting news about cholera from a particular day. After activation, the broadcasting will continue until the end of the simulation run</w:t>
      </w:r>
      <w:r w:rsidRPr="0007451A">
        <w:rPr>
          <w:rFonts w:asciiTheme="minorBidi" w:eastAsia="Arial" w:hAnsiTheme="minorBidi" w:cstheme="minorBidi"/>
        </w:rPr>
        <w:t>.</w:t>
      </w:r>
    </w:p>
    <w:p w14:paraId="034CBED1" w14:textId="281D2FFA"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The </w:t>
      </w:r>
      <w:r w:rsidRPr="0007451A">
        <w:rPr>
          <w:rFonts w:asciiTheme="minorBidi" w:eastAsia="Arial" w:hAnsiTheme="minorBidi" w:cstheme="minorBidi"/>
          <w:b/>
          <w:bCs/>
        </w:rPr>
        <w:t>rain particles</w:t>
      </w:r>
      <w:r w:rsidRPr="0007451A">
        <w:rPr>
          <w:rFonts w:asciiTheme="minorBidi" w:eastAsia="Arial" w:hAnsiTheme="minorBidi" w:cstheme="minorBidi"/>
        </w:rPr>
        <w:t xml:space="preserve"> move over the terrain (DEM)</w:t>
      </w:r>
      <w:r>
        <w:rPr>
          <w:rFonts w:asciiTheme="minorBidi" w:eastAsia="Arial" w:hAnsiTheme="minorBidi" w:cstheme="minorBidi"/>
        </w:rPr>
        <w:t>,</w:t>
      </w:r>
      <w:r w:rsidRPr="0007451A">
        <w:rPr>
          <w:rFonts w:asciiTheme="minorBidi" w:eastAsia="Arial" w:hAnsiTheme="minorBidi" w:cstheme="minorBidi"/>
        </w:rPr>
        <w:t xml:space="preserve"> updating their position every hour (Move – Runoff – </w:t>
      </w:r>
      <w:r w:rsidR="00DA6C3F">
        <w:rPr>
          <w:rFonts w:asciiTheme="minorBidi" w:eastAsia="Arial" w:hAnsiTheme="minorBidi" w:cstheme="minorBidi"/>
        </w:rPr>
        <w:t>S1</w:t>
      </w:r>
      <w:r>
        <w:rPr>
          <w:rFonts w:asciiTheme="minorBidi" w:eastAsia="Arial" w:hAnsiTheme="minorBidi" w:cstheme="minorBidi"/>
        </w:rPr>
        <w:t xml:space="preserve"> </w:t>
      </w:r>
      <w:r w:rsidRPr="0007451A">
        <w:rPr>
          <w:rFonts w:asciiTheme="minorBidi" w:eastAsia="Arial" w:hAnsiTheme="minorBidi" w:cstheme="minorBidi"/>
        </w:rPr>
        <w:t xml:space="preserve">Fig 1). They can become infected (from infected dumpsites) and carry this infected to the nearest river or tributary while flowing over the terrain. This will lead to infected water collection points. The rain particle infection level is updated hourly. </w:t>
      </w:r>
    </w:p>
    <w:p w14:paraId="32410C9A" w14:textId="0DF032D5"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The </w:t>
      </w:r>
      <w:r w:rsidRPr="0007451A">
        <w:rPr>
          <w:rFonts w:asciiTheme="minorBidi" w:eastAsia="Arial" w:hAnsiTheme="minorBidi" w:cstheme="minorBidi"/>
          <w:b/>
          <w:bCs/>
        </w:rPr>
        <w:t>dumpsites</w:t>
      </w:r>
      <w:r w:rsidRPr="0007451A">
        <w:rPr>
          <w:rFonts w:asciiTheme="minorBidi" w:eastAsia="Arial" w:hAnsiTheme="minorBidi" w:cstheme="minorBidi"/>
        </w:rPr>
        <w:t xml:space="preserve"> are </w:t>
      </w:r>
      <w:r>
        <w:rPr>
          <w:rFonts w:asciiTheme="minorBidi" w:eastAsia="Arial" w:hAnsiTheme="minorBidi" w:cstheme="minorBidi"/>
        </w:rPr>
        <w:t>a source of cholera infection</w:t>
      </w:r>
      <w:r w:rsidRPr="0007451A">
        <w:rPr>
          <w:rFonts w:asciiTheme="minorBidi" w:eastAsia="Arial" w:hAnsiTheme="minorBidi" w:cstheme="minorBidi"/>
        </w:rPr>
        <w:t xml:space="preserve">. They become infected by households that are dumping infected </w:t>
      </w:r>
      <w:proofErr w:type="spellStart"/>
      <w:r w:rsidRPr="0007451A">
        <w:rPr>
          <w:rFonts w:asciiTheme="minorBidi" w:eastAsia="Arial" w:hAnsiTheme="minorBidi" w:cstheme="minorBidi"/>
        </w:rPr>
        <w:t>faecal</w:t>
      </w:r>
      <w:proofErr w:type="spellEnd"/>
      <w:r w:rsidRPr="0007451A">
        <w:rPr>
          <w:rFonts w:asciiTheme="minorBidi" w:eastAsia="Arial" w:hAnsiTheme="minorBidi" w:cstheme="minorBidi"/>
        </w:rPr>
        <w:t xml:space="preserve"> </w:t>
      </w:r>
      <w:r>
        <w:rPr>
          <w:rFonts w:asciiTheme="minorBidi" w:eastAsia="Arial" w:hAnsiTheme="minorBidi" w:cstheme="minorBidi"/>
        </w:rPr>
        <w:t xml:space="preserve">materials </w:t>
      </w:r>
      <w:r w:rsidRPr="0007451A">
        <w:rPr>
          <w:rFonts w:asciiTheme="minorBidi" w:eastAsia="Arial" w:hAnsiTheme="minorBidi" w:cstheme="minorBidi"/>
        </w:rPr>
        <w:t xml:space="preserve">(Dump waste – </w:t>
      </w:r>
      <w:r w:rsidR="00DA6C3F">
        <w:rPr>
          <w:rFonts w:asciiTheme="minorBidi" w:eastAsia="Arial" w:hAnsiTheme="minorBidi" w:cstheme="minorBidi"/>
        </w:rPr>
        <w:t>S1</w:t>
      </w:r>
      <w:r>
        <w:rPr>
          <w:rFonts w:asciiTheme="minorBidi" w:eastAsia="Arial" w:hAnsiTheme="minorBidi" w:cstheme="minorBidi"/>
        </w:rPr>
        <w:t xml:space="preserve"> </w:t>
      </w:r>
      <w:r w:rsidRPr="0007451A">
        <w:rPr>
          <w:rFonts w:asciiTheme="minorBidi" w:eastAsia="Arial" w:hAnsiTheme="minorBidi" w:cstheme="minorBidi"/>
        </w:rPr>
        <w:t xml:space="preserve">Fig 1). Twice a week, dumpsites are emptied. Removing the garbage </w:t>
      </w:r>
      <w:r>
        <w:rPr>
          <w:rFonts w:asciiTheme="minorBidi" w:eastAsia="Arial" w:hAnsiTheme="minorBidi" w:cstheme="minorBidi"/>
        </w:rPr>
        <w:t xml:space="preserve">from dumpsites has an </w:t>
      </w:r>
      <w:r w:rsidRPr="0007451A">
        <w:rPr>
          <w:rFonts w:asciiTheme="minorBidi" w:eastAsia="Arial" w:hAnsiTheme="minorBidi" w:cstheme="minorBidi"/>
        </w:rPr>
        <w:t xml:space="preserve">impact on the spread of cholera </w:t>
      </w:r>
      <w:r>
        <w:rPr>
          <w:rFonts w:asciiTheme="minorBidi" w:eastAsia="Arial" w:hAnsiTheme="minorBidi" w:cstheme="minorBidi"/>
        </w:rPr>
        <w:t>and</w:t>
      </w:r>
      <w:r w:rsidRPr="0007451A">
        <w:rPr>
          <w:rFonts w:asciiTheme="minorBidi" w:eastAsia="Arial" w:hAnsiTheme="minorBidi" w:cstheme="minorBidi"/>
        </w:rPr>
        <w:t xml:space="preserve"> influences the visual pollution level of the river water points when household agents evaluate the risk.</w:t>
      </w:r>
    </w:p>
    <w:p w14:paraId="048D3E07" w14:textId="77777777" w:rsidR="006F0E54" w:rsidRPr="0007451A" w:rsidRDefault="006F0E54" w:rsidP="006F0E54">
      <w:pPr>
        <w:pStyle w:val="Heading2"/>
        <w:ind w:left="0" w:firstLine="0"/>
        <w:rPr>
          <w:lang w:eastAsia="en-GB"/>
        </w:rPr>
      </w:pPr>
      <w:r w:rsidRPr="0007451A">
        <w:rPr>
          <w:lang w:eastAsia="en-GB"/>
        </w:rPr>
        <w:lastRenderedPageBreak/>
        <w:t>Design Concepts</w:t>
      </w:r>
    </w:p>
    <w:p w14:paraId="39914100" w14:textId="77777777" w:rsidR="006F0E54" w:rsidRPr="0007451A" w:rsidRDefault="006F0E54" w:rsidP="006F0E54">
      <w:pPr>
        <w:pStyle w:val="Heading3"/>
        <w:rPr>
          <w:lang w:eastAsia="en-GB"/>
        </w:rPr>
      </w:pPr>
      <w:r w:rsidRPr="0007451A">
        <w:rPr>
          <w:lang w:eastAsia="en-GB"/>
        </w:rPr>
        <w:t>Theoretical and Empirical Background</w:t>
      </w:r>
    </w:p>
    <w:p w14:paraId="14776828" w14:textId="233F300A" w:rsidR="006F0E54"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Pr>
          <w:rFonts w:asciiTheme="minorBidi" w:eastAsia="Arial" w:hAnsiTheme="minorBidi" w:cstheme="minorBidi"/>
        </w:rPr>
        <w:t>The behavior</w:t>
      </w:r>
      <w:r w:rsidRPr="0007451A">
        <w:rPr>
          <w:rFonts w:asciiTheme="minorBidi" w:eastAsia="Arial" w:hAnsiTheme="minorBidi" w:cstheme="minorBidi"/>
        </w:rPr>
        <w:t xml:space="preserve"> of people has an impact on the chance they have of getting ill. By perceiving the risk of infection, a person can decide to take precaution measures to lower this risk. In this model</w:t>
      </w:r>
      <w:r>
        <w:rPr>
          <w:rFonts w:asciiTheme="minorBidi" w:eastAsia="Arial" w:hAnsiTheme="minorBidi" w:cstheme="minorBidi"/>
        </w:rPr>
        <w:t>,</w:t>
      </w:r>
      <w:r w:rsidRPr="0007451A">
        <w:rPr>
          <w:rFonts w:asciiTheme="minorBidi" w:eastAsia="Arial" w:hAnsiTheme="minorBidi" w:cstheme="minorBidi"/>
        </w:rPr>
        <w:t xml:space="preserve"> we use </w:t>
      </w:r>
      <w:r>
        <w:rPr>
          <w:rFonts w:asciiTheme="minorBidi" w:eastAsia="Arial" w:hAnsiTheme="minorBidi" w:cstheme="minorBidi"/>
        </w:rPr>
        <w:t xml:space="preserve">the </w:t>
      </w:r>
      <w:r w:rsidRPr="0007451A">
        <w:rPr>
          <w:rFonts w:asciiTheme="minorBidi" w:eastAsia="Arial" w:hAnsiTheme="minorBidi" w:cstheme="minorBidi"/>
        </w:rPr>
        <w:t xml:space="preserve">Protection Motivation Theory (PMT) as the theoretical framework for risk perception. PMT was </w:t>
      </w:r>
      <w:r>
        <w:rPr>
          <w:rFonts w:asciiTheme="minorBidi" w:eastAsia="Arial" w:hAnsiTheme="minorBidi" w:cstheme="minorBidi"/>
        </w:rPr>
        <w:t>initi</w:t>
      </w:r>
      <w:r w:rsidRPr="0007451A">
        <w:rPr>
          <w:rFonts w:asciiTheme="minorBidi" w:eastAsia="Arial" w:hAnsiTheme="minorBidi" w:cstheme="minorBidi"/>
        </w:rPr>
        <w:t xml:space="preserve">ally proposed by Rogers in 1975 and was revised in 1983 to contribute conceptual visibility to the understanding of fear appeals </w:t>
      </w:r>
      <w:r w:rsidRPr="0007451A">
        <w:rPr>
          <w:rFonts w:asciiTheme="minorBidi" w:eastAsia="Arial" w:hAnsiTheme="minorBidi" w:cstheme="minorBidi"/>
        </w:rPr>
        <w:fldChar w:fldCharType="begin" w:fldLock="1"/>
      </w:r>
      <w:r w:rsidR="00D010C7">
        <w:rPr>
          <w:rFonts w:asciiTheme="minorBidi" w:eastAsia="Arial" w:hAnsiTheme="minorBidi" w:cstheme="minorBidi"/>
        </w:rPr>
        <w:instrText>ADDIN CSL_CITATION {"citationItems":[{"id":"ITEM-1","itemData":{"DOI":"10.1016/0022-1031(83)90023-9","ISBN":"0022-1031","ISSN":"00221031","abstract":"The effects of fear appeals on persuasion were investigated in a factorial experiment that was designed to test a combined model of protection motivation theory and self-efficacy theory. As predicted, the probability of a threat's occurrence and the effectiveness of a coping response both had positive main effects on intentions to adopt a recommended preventive health behavior. More importantly, the findings provided support for self-efficacy expectancy as a fourth component of protection motivation theory: Self-efficacy had a direct influence on intentions and interacted with two other variables of protection motivation theory. The interaction effect was interpreted in terms of two new decision-making strategies that people use when confronted with a fear appeal: a precaution strategy and a hyperdefensiveness strategy. In addition, the results replicated previous findings on the relationship between self-efficacy expectancy and outcome expectancy. A model incorporating protection motivation theory and self-efficacy theory is presented as a possible general model of attitude change.","author":[{"dropping-particle":"","family":"Maddux","given":"James E","non-dropping-particle":"","parse-names":false,"suffix":""},{"dropping-particle":"","family":"Rogers","given":"Ronald W","non-dropping-particle":"","parse-names":false,"suffix":""}],"container-title":"Journal of Experimental Social Psychology","id":"ITEM-1","issue":"5","issued":{"date-parts":[["1983","1","1"]]},"page":"469-479","title":"Protection motivation and self-efficacy: A revised theory of fear appeals and attitude change","type":"article-journal","volume":"19"},"uris":["http://www.mendeley.com/documents/?uuid=156859f6-73d2-4fc0-af0d-6d0258634bf7"]}],"mendeley":{"formattedCitation":"[3]","plainTextFormattedCitation":"[3]","previouslyFormattedCitation":"[3]"},"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[3]</w:t>
      </w:r>
      <w:r w:rsidRPr="0007451A">
        <w:rPr>
          <w:rFonts w:asciiTheme="minorBidi" w:eastAsia="Arial" w:hAnsiTheme="minorBidi" w:cstheme="minorBidi"/>
        </w:rPr>
        <w:fldChar w:fldCharType="end"/>
      </w:r>
      <w:r w:rsidRPr="0007451A">
        <w:rPr>
          <w:rFonts w:asciiTheme="minorBidi" w:eastAsia="Arial" w:hAnsiTheme="minorBidi" w:cstheme="minorBidi"/>
        </w:rPr>
        <w:t>. PMT splits the reaction of a person to a dangerous situation in two steps: “threat appraisal” and “coping appraisal”. It takes information from various sources as inputs and delivers a decision on what action to take as on output (</w:t>
      </w:r>
      <w:r w:rsidR="00DA6C3F">
        <w:rPr>
          <w:rFonts w:asciiTheme="minorBidi" w:eastAsia="Arial" w:hAnsiTheme="minorBidi" w:cstheme="minorBidi"/>
        </w:rPr>
        <w:t>S1</w:t>
      </w:r>
      <w:r w:rsidR="00F36C07">
        <w:rPr>
          <w:rFonts w:asciiTheme="minorBidi" w:eastAsia="Arial" w:hAnsiTheme="minorBidi" w:cstheme="minorBidi"/>
        </w:rPr>
        <w:t xml:space="preserve"> </w:t>
      </w:r>
      <w:r w:rsidRPr="0007451A">
        <w:rPr>
          <w:rFonts w:asciiTheme="minorBidi" w:eastAsia="Arial" w:hAnsiTheme="minorBidi" w:cstheme="minorBidi"/>
        </w:rPr>
        <w:t>Fig 2).</w:t>
      </w:r>
    </w:p>
    <w:p w14:paraId="4A22A6A1" w14:textId="1A43BAB9" w:rsidR="00522624" w:rsidRPr="0007451A" w:rsidRDefault="00522624" w:rsidP="00522624">
      <w:pPr>
        <w:pBdr>
          <w:top w:val="nil"/>
          <w:left w:val="nil"/>
          <w:bottom w:val="nil"/>
          <w:right w:val="nil"/>
          <w:between w:val="nil"/>
        </w:pBdr>
        <w:spacing w:after="120" w:line="480" w:lineRule="auto"/>
        <w:jc w:val="center"/>
        <w:rPr>
          <w:rFonts w:asciiTheme="minorBidi" w:eastAsia="Arial" w:hAnsiTheme="minorBidi" w:cstheme="minorBidi"/>
        </w:rPr>
      </w:pPr>
      <w:r>
        <w:rPr>
          <w:rFonts w:asciiTheme="minorBidi" w:eastAsia="Arial" w:hAnsiTheme="minorBidi" w:cstheme="minorBidi"/>
          <w:noProof/>
        </w:rPr>
        <w:drawing>
          <wp:inline distT="0" distB="0" distL="0" distR="0" wp14:anchorId="335F04AE" wp14:editId="7EEC1110">
            <wp:extent cx="4326255" cy="23241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 Appendic A Fig 2.tif"/>
                    <pic:cNvPicPr/>
                  </pic:nvPicPr>
                  <pic:blipFill>
                    <a:blip r:embed="rId9">
                      <a:extLst>
                        <a:ext uri="{28A0092B-C50C-407E-A947-70E740481C1C}">
                          <a14:useLocalDpi xmlns:a14="http://schemas.microsoft.com/office/drawing/2010/main" val="0"/>
                        </a:ext>
                      </a:extLst>
                    </a:blip>
                    <a:stretch>
                      <a:fillRect/>
                    </a:stretch>
                  </pic:blipFill>
                  <pic:spPr>
                    <a:xfrm>
                      <a:off x="0" y="0"/>
                      <a:ext cx="4340220" cy="2331602"/>
                    </a:xfrm>
                    <a:prstGeom prst="rect">
                      <a:avLst/>
                    </a:prstGeom>
                  </pic:spPr>
                </pic:pic>
              </a:graphicData>
            </a:graphic>
          </wp:inline>
        </w:drawing>
      </w:r>
    </w:p>
    <w:p w14:paraId="43E38120" w14:textId="3E37515D" w:rsidR="006F0E54" w:rsidRPr="00522624" w:rsidRDefault="00DA6C3F" w:rsidP="006F0E54">
      <w:pPr>
        <w:pStyle w:val="Caption"/>
        <w:spacing w:after="240"/>
        <w:jc w:val="center"/>
        <w:rPr>
          <w:b/>
          <w:bCs/>
          <w:i w:val="0"/>
          <w:iCs w:val="0"/>
          <w:szCs w:val="20"/>
        </w:rPr>
      </w:pPr>
      <w:r w:rsidRPr="00522624">
        <w:rPr>
          <w:b/>
          <w:bCs/>
          <w:i w:val="0"/>
          <w:iCs w:val="0"/>
          <w:szCs w:val="20"/>
        </w:rPr>
        <w:t>S1</w:t>
      </w:r>
      <w:r w:rsidR="00F36C07" w:rsidRPr="00522624">
        <w:rPr>
          <w:b/>
          <w:bCs/>
          <w:i w:val="0"/>
          <w:iCs w:val="0"/>
          <w:szCs w:val="20"/>
        </w:rPr>
        <w:t xml:space="preserve"> </w:t>
      </w:r>
      <w:r w:rsidR="006F0E54" w:rsidRPr="00522624">
        <w:rPr>
          <w:b/>
          <w:bCs/>
          <w:i w:val="0"/>
          <w:iCs w:val="0"/>
          <w:szCs w:val="20"/>
        </w:rPr>
        <w:t>Fig</w:t>
      </w:r>
      <w:r w:rsidR="00F36C07" w:rsidRPr="00522624">
        <w:rPr>
          <w:b/>
          <w:bCs/>
          <w:i w:val="0"/>
          <w:iCs w:val="0"/>
          <w:szCs w:val="20"/>
        </w:rPr>
        <w:t xml:space="preserve"> </w:t>
      </w:r>
      <w:r w:rsidR="006F0E54" w:rsidRPr="00522624">
        <w:rPr>
          <w:b/>
          <w:bCs/>
          <w:i w:val="0"/>
          <w:iCs w:val="0"/>
          <w:szCs w:val="20"/>
        </w:rPr>
        <w:t>2: Cognitive Progress of Protection Motivation Theory (PMT)</w:t>
      </w:r>
    </w:p>
    <w:p w14:paraId="09DD841E"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In the </w:t>
      </w:r>
      <w:r w:rsidRPr="0007451A">
        <w:rPr>
          <w:rFonts w:asciiTheme="minorBidi" w:eastAsia="Arial" w:hAnsiTheme="minorBidi" w:cstheme="minorBidi"/>
          <w:b/>
          <w:bCs/>
        </w:rPr>
        <w:t>threat appraisal</w:t>
      </w:r>
      <w:r w:rsidRPr="0007451A">
        <w:rPr>
          <w:rFonts w:asciiTheme="minorBidi" w:eastAsia="Arial" w:hAnsiTheme="minorBidi" w:cstheme="minorBidi"/>
        </w:rPr>
        <w:t xml:space="preserve"> </w:t>
      </w:r>
      <w:r w:rsidRPr="0007451A">
        <w:rPr>
          <w:rFonts w:asciiTheme="minorBidi" w:eastAsia="Arial" w:hAnsiTheme="minorBidi" w:cstheme="minorBidi"/>
          <w:b/>
          <w:bCs/>
        </w:rPr>
        <w:t>stage</w:t>
      </w:r>
      <w:r w:rsidRPr="0007451A">
        <w:rPr>
          <w:rFonts w:asciiTheme="minorBidi" w:eastAsia="Arial" w:hAnsiTheme="minorBidi" w:cstheme="minorBidi"/>
        </w:rPr>
        <w:t xml:space="preserve"> (risk perception), an individual assesses the probability and consequences of a risk event occurring, to judge how seriously s/he has to take the threat</w:t>
      </w:r>
      <w:r>
        <w:rPr>
          <w:rFonts w:asciiTheme="minorBidi" w:eastAsia="Arial" w:hAnsiTheme="minorBidi" w:cstheme="minorBidi"/>
        </w:rPr>
        <w:t>, w</w:t>
      </w:r>
      <w:r w:rsidRPr="0007451A">
        <w:rPr>
          <w:rFonts w:asciiTheme="minorBidi" w:eastAsia="Arial" w:hAnsiTheme="minorBidi" w:cstheme="minorBidi"/>
        </w:rPr>
        <w:t>hile the perceived probability measures how susceptible the person is to the communicated threat. The purpose of this stage is to detect whether the risk is at an acceptable level or not.</w:t>
      </w:r>
    </w:p>
    <w:p w14:paraId="12221E0F"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In the case of perceiv</w:t>
      </w:r>
      <w:r>
        <w:rPr>
          <w:rFonts w:asciiTheme="minorBidi" w:eastAsia="Arial" w:hAnsiTheme="minorBidi" w:cstheme="minorBidi"/>
        </w:rPr>
        <w:t>ed</w:t>
      </w:r>
      <w:r w:rsidRPr="0007451A">
        <w:rPr>
          <w:rFonts w:asciiTheme="minorBidi" w:eastAsia="Arial" w:hAnsiTheme="minorBidi" w:cstheme="minorBidi"/>
        </w:rPr>
        <w:t xml:space="preserve"> risk, the person is motivated to adopt the protective </w:t>
      </w:r>
      <w:r>
        <w:rPr>
          <w:rFonts w:asciiTheme="minorBidi" w:eastAsia="Arial" w:hAnsiTheme="minorBidi" w:cstheme="minorBidi"/>
        </w:rPr>
        <w:t>behavior</w:t>
      </w:r>
      <w:r w:rsidRPr="0007451A">
        <w:rPr>
          <w:rFonts w:asciiTheme="minorBidi" w:eastAsia="Arial" w:hAnsiTheme="minorBidi" w:cstheme="minorBidi"/>
        </w:rPr>
        <w:t xml:space="preserve"> by passing to the coping stage. The </w:t>
      </w:r>
      <w:r w:rsidRPr="0007451A">
        <w:rPr>
          <w:rFonts w:asciiTheme="minorBidi" w:eastAsia="Arial" w:hAnsiTheme="minorBidi" w:cstheme="minorBidi"/>
          <w:b/>
          <w:bCs/>
        </w:rPr>
        <w:t>coping stage</w:t>
      </w:r>
      <w:r w:rsidRPr="0007451A">
        <w:rPr>
          <w:rFonts w:asciiTheme="minorBidi" w:eastAsia="Arial" w:hAnsiTheme="minorBidi" w:cstheme="minorBidi"/>
        </w:rPr>
        <w:t xml:space="preserve"> consists of two main parts adaptation (response) –efficacy and self-efficacy. Adaptation-efficacy measures the effectiveness of protective </w:t>
      </w:r>
      <w:r>
        <w:rPr>
          <w:rFonts w:asciiTheme="minorBidi" w:eastAsia="Arial" w:hAnsiTheme="minorBidi" w:cstheme="minorBidi"/>
        </w:rPr>
        <w:t>behavior</w:t>
      </w:r>
      <w:r w:rsidRPr="0007451A">
        <w:rPr>
          <w:rFonts w:asciiTheme="minorBidi" w:eastAsia="Arial" w:hAnsiTheme="minorBidi" w:cstheme="minorBidi"/>
        </w:rPr>
        <w:t xml:space="preserve"> against the harmful situation – i.e. the beliefs of a person that the recommended </w:t>
      </w:r>
      <w:r>
        <w:rPr>
          <w:rFonts w:asciiTheme="minorBidi" w:eastAsia="Arial" w:hAnsiTheme="minorBidi" w:cstheme="minorBidi"/>
        </w:rPr>
        <w:t>behavior</w:t>
      </w:r>
      <w:r w:rsidRPr="0007451A">
        <w:rPr>
          <w:rFonts w:asciiTheme="minorBidi" w:eastAsia="Arial" w:hAnsiTheme="minorBidi" w:cstheme="minorBidi"/>
        </w:rPr>
        <w:t xml:space="preserve"> will protect him/her. While the self-efficacy measures the ability of a person to perform the recommended </w:t>
      </w:r>
      <w:r>
        <w:rPr>
          <w:rFonts w:asciiTheme="minorBidi" w:eastAsia="Arial" w:hAnsiTheme="minorBidi" w:cstheme="minorBidi"/>
        </w:rPr>
        <w:t>behavior</w:t>
      </w:r>
      <w:r w:rsidRPr="0007451A">
        <w:rPr>
          <w:rFonts w:asciiTheme="minorBidi" w:eastAsia="Arial" w:hAnsiTheme="minorBidi" w:cstheme="minorBidi"/>
        </w:rPr>
        <w:t xml:space="preserve">. </w:t>
      </w:r>
      <w:r>
        <w:rPr>
          <w:rFonts w:asciiTheme="minorBidi" w:eastAsia="Arial" w:hAnsiTheme="minorBidi" w:cstheme="minorBidi"/>
        </w:rPr>
        <w:t>Besides</w:t>
      </w:r>
      <w:r w:rsidRPr="0007451A">
        <w:rPr>
          <w:rFonts w:asciiTheme="minorBidi" w:eastAsia="Arial" w:hAnsiTheme="minorBidi" w:cstheme="minorBidi"/>
        </w:rPr>
        <w:t xml:space="preserve">, the person needs to evaluate the cost required to cope </w:t>
      </w:r>
      <w:r>
        <w:rPr>
          <w:rFonts w:asciiTheme="minorBidi" w:eastAsia="Arial" w:hAnsiTheme="minorBidi" w:cstheme="minorBidi"/>
        </w:rPr>
        <w:t>with</w:t>
      </w:r>
      <w:r w:rsidRPr="0007451A">
        <w:rPr>
          <w:rFonts w:asciiTheme="minorBidi" w:eastAsia="Arial" w:hAnsiTheme="minorBidi" w:cstheme="minorBidi"/>
        </w:rPr>
        <w:t xml:space="preserve"> the threat. This involves the psychological, physical and social consequences for the person’s adaptation process.</w:t>
      </w:r>
    </w:p>
    <w:p w14:paraId="41E7F0E7" w14:textId="77777777" w:rsidR="006F0E54" w:rsidRPr="0007451A" w:rsidRDefault="006F0E54" w:rsidP="006F0E54">
      <w:pPr>
        <w:pStyle w:val="Heading3"/>
        <w:rPr>
          <w:lang w:eastAsia="en-GB"/>
        </w:rPr>
      </w:pPr>
      <w:r w:rsidRPr="0007451A">
        <w:rPr>
          <w:lang w:eastAsia="en-GB"/>
        </w:rPr>
        <w:lastRenderedPageBreak/>
        <w:t>Decision Making</w:t>
      </w:r>
    </w:p>
    <w:p w14:paraId="7A11A462"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Household agents with low or middle income and no access to tap water have to look for another source of water. Usually, this source is the river. The perception of risk might trigger these agents to assess the state of the river water. The assessment </w:t>
      </w:r>
      <w:r>
        <w:rPr>
          <w:rFonts w:asciiTheme="minorBidi" w:eastAsia="Arial" w:hAnsiTheme="minorBidi" w:cstheme="minorBidi"/>
        </w:rPr>
        <w:t>is done</w:t>
      </w:r>
      <w:r w:rsidRPr="0007451A">
        <w:rPr>
          <w:rFonts w:asciiTheme="minorBidi" w:eastAsia="Arial" w:hAnsiTheme="minorBidi" w:cstheme="minorBidi"/>
        </w:rPr>
        <w:t xml:space="preserve"> through </w:t>
      </w:r>
      <w:r>
        <w:rPr>
          <w:rFonts w:asciiTheme="minorBidi" w:eastAsia="Arial" w:hAnsiTheme="minorBidi" w:cstheme="minorBidi"/>
        </w:rPr>
        <w:t xml:space="preserve">observing the </w:t>
      </w:r>
      <w:r w:rsidRPr="0007451A">
        <w:rPr>
          <w:rFonts w:asciiTheme="minorBidi" w:eastAsia="Arial" w:hAnsiTheme="minorBidi" w:cstheme="minorBidi"/>
        </w:rPr>
        <w:t>visual pollution</w:t>
      </w:r>
      <w:r>
        <w:rPr>
          <w:rFonts w:asciiTheme="minorBidi" w:eastAsia="Arial" w:hAnsiTheme="minorBidi" w:cstheme="minorBidi"/>
        </w:rPr>
        <w:t xml:space="preserve"> at water collection points</w:t>
      </w:r>
      <w:r w:rsidRPr="0007451A">
        <w:rPr>
          <w:rFonts w:asciiTheme="minorBidi" w:eastAsia="Arial" w:hAnsiTheme="minorBidi" w:cstheme="minorBidi"/>
        </w:rPr>
        <w:t xml:space="preserve"> and through contacts with neighbors sharing </w:t>
      </w:r>
      <w:r>
        <w:rPr>
          <w:rFonts w:asciiTheme="minorBidi" w:eastAsia="Arial" w:hAnsiTheme="minorBidi" w:cstheme="minorBidi"/>
        </w:rPr>
        <w:t>this</w:t>
      </w:r>
      <w:r w:rsidRPr="0007451A">
        <w:rPr>
          <w:rFonts w:asciiTheme="minorBidi" w:eastAsia="Arial" w:hAnsiTheme="minorBidi" w:cstheme="minorBidi"/>
        </w:rPr>
        <w:t xml:space="preserve"> water collection point. </w:t>
      </w:r>
      <w:r>
        <w:rPr>
          <w:rFonts w:asciiTheme="minorBidi" w:eastAsia="Arial" w:hAnsiTheme="minorBidi" w:cstheme="minorBidi"/>
        </w:rPr>
        <w:t>Also</w:t>
      </w:r>
      <w:r w:rsidRPr="0007451A">
        <w:rPr>
          <w:rFonts w:asciiTheme="minorBidi" w:eastAsia="Arial" w:hAnsiTheme="minorBidi" w:cstheme="minorBidi"/>
        </w:rPr>
        <w:t xml:space="preserve">, the Media’s </w:t>
      </w:r>
      <w:r>
        <w:rPr>
          <w:rFonts w:asciiTheme="minorBidi" w:eastAsia="Arial" w:hAnsiTheme="minorBidi" w:cstheme="minorBidi"/>
        </w:rPr>
        <w:t>reports are</w:t>
      </w:r>
      <w:r w:rsidRPr="0007451A">
        <w:rPr>
          <w:rFonts w:asciiTheme="minorBidi" w:eastAsia="Arial" w:hAnsiTheme="minorBidi" w:cstheme="minorBidi"/>
        </w:rPr>
        <w:t xml:space="preserve"> </w:t>
      </w:r>
      <w:proofErr w:type="gramStart"/>
      <w:r w:rsidRPr="0007451A">
        <w:rPr>
          <w:rFonts w:asciiTheme="minorBidi" w:eastAsia="Arial" w:hAnsiTheme="minorBidi" w:cstheme="minorBidi"/>
        </w:rPr>
        <w:t>taken into account</w:t>
      </w:r>
      <w:proofErr w:type="gramEnd"/>
      <w:r w:rsidRPr="0007451A">
        <w:rPr>
          <w:rFonts w:asciiTheme="minorBidi" w:eastAsia="Arial" w:hAnsiTheme="minorBidi" w:cstheme="minorBidi"/>
        </w:rPr>
        <w:t>. This assessment leads to the use of cleaner water to avoid cholera. The decisions can be any of the options: buying water, boiling water, using the water from the nearest water collection point, or walking to upstream water collection points that are closer to a spring.</w:t>
      </w:r>
    </w:p>
    <w:p w14:paraId="11DC34F9" w14:textId="77777777" w:rsidR="006F0E54" w:rsidRPr="0007451A" w:rsidRDefault="006F0E54" w:rsidP="006F0E54">
      <w:pPr>
        <w:pStyle w:val="Heading3"/>
        <w:rPr>
          <w:lang w:eastAsia="en-GB"/>
        </w:rPr>
      </w:pPr>
      <w:r w:rsidRPr="0007451A">
        <w:rPr>
          <w:lang w:eastAsia="en-GB"/>
        </w:rPr>
        <w:t>Learning</w:t>
      </w:r>
    </w:p>
    <w:p w14:paraId="47E8E130" w14:textId="4157A1DA" w:rsidR="006F0E54"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We implemented learning according to the implementation strategy described in </w:t>
      </w:r>
      <w:r w:rsidR="00D010C7">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{"citationItems":[{"id":"ITEM-1","itemData":{"author":[{"dropping-particle":"","family":"Rand","given":"W","non-dropping-particle":"","parse-names":false,"suffix":""}],"container-title":"the Proceedings of Agent","id":"ITEM-1","issued":{"date-parts":[["2006"]]},"title":"Machine learning meets agent-based modeling: When not to go to a bar","type":"article-journal"},"uris":["http://www.mendeley.com/documents/?uuid=a16f78b8-b386-43e6-aed4-0ee5ceeb5bc1"]}],"mendeley":{"formattedCitation":"[4]","plainTextFormattedCitation":"[4]","previouslyFormattedCitation":"[4]"},"properties":{"noteIndex":0},"schema":"https://github.com/citation-style-language/schema/raw/master/csl-citation.json"}</w:instrText>
      </w:r>
      <w:r w:rsidR="00D010C7">
        <w:rPr>
          <w:rFonts w:asciiTheme="minorBidi" w:eastAsia="Arial" w:hAnsiTheme="minorBidi" w:cstheme="minorBidi"/>
        </w:rPr>
        <w:fldChar w:fldCharType="separate"/>
      </w:r>
      <w:r w:rsidR="00D010C7" w:rsidRPr="00D010C7">
        <w:rPr>
          <w:rFonts w:asciiTheme="minorBidi" w:eastAsia="Arial" w:hAnsiTheme="minorBidi" w:cstheme="minorBidi"/>
          <w:noProof/>
        </w:rPr>
        <w:t>[4]</w:t>
      </w:r>
      <w:r w:rsidR="00D010C7">
        <w:rPr>
          <w:rFonts w:asciiTheme="minorBidi" w:eastAsia="Arial" w:hAnsiTheme="minorBidi" w:cstheme="minorBidi"/>
        </w:rPr>
        <w:fldChar w:fldCharType="end"/>
      </w:r>
      <w:r w:rsidR="00D010C7">
        <w:rPr>
          <w:rFonts w:asciiTheme="minorBidi" w:eastAsia="Arial" w:hAnsiTheme="minorBidi" w:cstheme="minorBidi"/>
        </w:rPr>
        <w:t xml:space="preserve"> </w:t>
      </w:r>
      <w:r w:rsidRPr="0007451A">
        <w:rPr>
          <w:rFonts w:asciiTheme="minorBidi" w:eastAsia="Arial" w:hAnsiTheme="minorBidi" w:cstheme="minorBidi"/>
        </w:rPr>
        <w:t xml:space="preserve">as shown in </w:t>
      </w:r>
      <w:r w:rsidR="00DA6C3F">
        <w:rPr>
          <w:rFonts w:asciiTheme="minorBidi" w:eastAsia="Arial" w:hAnsiTheme="minorBidi" w:cstheme="minorBidi"/>
        </w:rPr>
        <w:t>S1</w:t>
      </w:r>
      <w:r w:rsidR="00CE6060">
        <w:rPr>
          <w:rFonts w:asciiTheme="minorBidi" w:eastAsia="Arial" w:hAnsiTheme="minorBidi" w:cstheme="minorBidi"/>
        </w:rPr>
        <w:t xml:space="preserve"> </w:t>
      </w:r>
      <w:r w:rsidRPr="0007451A">
        <w:rPr>
          <w:rFonts w:asciiTheme="minorBidi" w:eastAsia="Arial" w:hAnsiTheme="minorBidi" w:cstheme="minorBidi"/>
        </w:rPr>
        <w:t>Fig 3:</w:t>
      </w:r>
    </w:p>
    <w:p w14:paraId="59E8F898" w14:textId="5F56ACB7" w:rsidR="00522624" w:rsidRPr="0007451A" w:rsidRDefault="00522624" w:rsidP="00522624">
      <w:pPr>
        <w:pBdr>
          <w:top w:val="nil"/>
          <w:left w:val="nil"/>
          <w:bottom w:val="nil"/>
          <w:right w:val="nil"/>
          <w:between w:val="nil"/>
        </w:pBdr>
        <w:spacing w:after="120" w:line="480" w:lineRule="auto"/>
        <w:jc w:val="center"/>
        <w:rPr>
          <w:rFonts w:asciiTheme="minorBidi" w:eastAsia="Arial" w:hAnsiTheme="minorBidi" w:cstheme="minorBidi"/>
        </w:rPr>
      </w:pPr>
      <w:r>
        <w:rPr>
          <w:rFonts w:asciiTheme="minorBidi" w:eastAsia="Arial" w:hAnsiTheme="minorBidi" w:cstheme="minorBidi"/>
          <w:noProof/>
        </w:rPr>
        <w:drawing>
          <wp:inline distT="0" distB="0" distL="0" distR="0" wp14:anchorId="1B2CD43B" wp14:editId="257702D6">
            <wp:extent cx="5727700" cy="29933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 Supporting Information Fig 3.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2993390"/>
                    </a:xfrm>
                    <a:prstGeom prst="rect">
                      <a:avLst/>
                    </a:prstGeom>
                  </pic:spPr>
                </pic:pic>
              </a:graphicData>
            </a:graphic>
          </wp:inline>
        </w:drawing>
      </w:r>
    </w:p>
    <w:p w14:paraId="4C13D923" w14:textId="6EF511CF" w:rsidR="006F0E54" w:rsidRPr="00522624" w:rsidRDefault="00DA6C3F" w:rsidP="006F0E54">
      <w:pPr>
        <w:pStyle w:val="Caption"/>
        <w:spacing w:after="240"/>
        <w:jc w:val="center"/>
        <w:rPr>
          <w:b/>
          <w:bCs/>
          <w:i w:val="0"/>
          <w:iCs w:val="0"/>
          <w:szCs w:val="20"/>
        </w:rPr>
      </w:pPr>
      <w:r w:rsidRPr="00522624">
        <w:rPr>
          <w:b/>
          <w:bCs/>
          <w:i w:val="0"/>
          <w:iCs w:val="0"/>
          <w:szCs w:val="20"/>
        </w:rPr>
        <w:t>S1</w:t>
      </w:r>
      <w:r w:rsidR="00CE6060" w:rsidRPr="00522624">
        <w:rPr>
          <w:b/>
          <w:bCs/>
          <w:i w:val="0"/>
          <w:iCs w:val="0"/>
          <w:szCs w:val="20"/>
        </w:rPr>
        <w:t xml:space="preserve"> </w:t>
      </w:r>
      <w:r w:rsidR="006F0E54" w:rsidRPr="00522624">
        <w:rPr>
          <w:b/>
          <w:bCs/>
          <w:i w:val="0"/>
          <w:iCs w:val="0"/>
          <w:szCs w:val="20"/>
        </w:rPr>
        <w:t>Fig 3: the implementation of the ML algorithm and the ABM</w:t>
      </w:r>
    </w:p>
    <w:p w14:paraId="307DE05E"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The AI technique, Bayesian Networks (BNs), was implemented to operationalize the threat appraisal and coping appraisal of the PMT framework. In our model, variables have a finite set of discrete states. In this model we used two BNs – BN1 to model the threat appraisal and BN2 to model the coping appraisal.</w:t>
      </w:r>
    </w:p>
    <w:p w14:paraId="68154904" w14:textId="3D343226"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In this section</w:t>
      </w:r>
      <w:r>
        <w:rPr>
          <w:rFonts w:asciiTheme="minorBidi" w:eastAsia="Arial" w:hAnsiTheme="minorBidi" w:cstheme="minorBidi"/>
        </w:rPr>
        <w:t>,</w:t>
      </w:r>
      <w:r w:rsidRPr="0007451A">
        <w:rPr>
          <w:rFonts w:asciiTheme="minorBidi" w:eastAsia="Arial" w:hAnsiTheme="minorBidi" w:cstheme="minorBidi"/>
        </w:rPr>
        <w:t xml:space="preserve"> we first discuss the implementation of the threa</w:t>
      </w:r>
      <w:r>
        <w:rPr>
          <w:rFonts w:asciiTheme="minorBidi" w:eastAsia="Arial" w:hAnsiTheme="minorBidi" w:cstheme="minorBidi"/>
        </w:rPr>
        <w:t>t</w:t>
      </w:r>
      <w:r w:rsidRPr="0007451A">
        <w:rPr>
          <w:rFonts w:asciiTheme="minorBidi" w:eastAsia="Arial" w:hAnsiTheme="minorBidi" w:cstheme="minorBidi"/>
        </w:rPr>
        <w:t xml:space="preserve"> appraisal and coping appraisal via Bayesian Networks (</w:t>
      </w:r>
      <w:r w:rsidR="00DA6C3F">
        <w:rPr>
          <w:rFonts w:asciiTheme="minorBidi" w:eastAsia="Arial" w:hAnsiTheme="minorBidi" w:cstheme="minorBidi"/>
        </w:rPr>
        <w:t>S1</w:t>
      </w:r>
      <w:r w:rsidR="00CE6060">
        <w:rPr>
          <w:rFonts w:asciiTheme="minorBidi" w:eastAsia="Arial" w:hAnsiTheme="minorBidi" w:cstheme="minorBidi"/>
        </w:rPr>
        <w:t xml:space="preserve"> </w:t>
      </w:r>
      <w:r w:rsidRPr="0007451A">
        <w:rPr>
          <w:rFonts w:asciiTheme="minorBidi" w:eastAsia="Arial" w:hAnsiTheme="minorBidi" w:cstheme="minorBidi"/>
        </w:rPr>
        <w:t>Fig 4).</w:t>
      </w:r>
    </w:p>
    <w:p w14:paraId="139F1A9D" w14:textId="61B489B5" w:rsidR="006F0E54"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lastRenderedPageBreak/>
        <w:t xml:space="preserve">Both BN1 and BN2 consist of </w:t>
      </w:r>
      <w:r>
        <w:rPr>
          <w:rFonts w:asciiTheme="minorBidi" w:eastAsia="Arial" w:hAnsiTheme="minorBidi" w:cstheme="minorBidi"/>
        </w:rPr>
        <w:t xml:space="preserve">several </w:t>
      </w:r>
      <w:r w:rsidRPr="0007451A">
        <w:rPr>
          <w:rFonts w:asciiTheme="minorBidi" w:eastAsia="Arial" w:hAnsiTheme="minorBidi" w:cstheme="minorBidi"/>
        </w:rPr>
        <w:t xml:space="preserve">nodes connected to evaluate both risk perception and coping decision respectively. Each node represents a variable that can impact the agents’ decision process. The design of the BNs is based on expert information and the BNs were initialized based on expert knowledge and data gathered from two online surveys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{"citationItems":[{"id":"ITEM-1","itemData":{"DOI":"10.1007/s10707-019-00347-0","ISSN":"1384-6175","author":[{"dropping-particle":"","family":"Abdulkareem","given":"Shaheen Abdullah","non-dropping-particle":"","parse-names":false,"suffix":""},{"dropping-particle":"","family":"Mustafa","given":"Yaseen T.","non-dropping-particle":"","parse-names":false,"suffix":""},{"dropping-particle":"","family":"Augustijn","given":"Ellen-Wien","non-dropping-particle":"","parse-names":false,"suffix":""},{"dropping-particle":"","family":"Filatova","given":"Tatiana","non-dropping-particle":"","parse-names":false,"suffix":""}],"container-title":"GeoInformatica","id":"ITEM-1","issue":"2","issued":{"date-parts":[["2019","4","26"]]},"page":"243-268","publisher":"Springer US","title":"Bayesian networks for spatial learning: a workflow on using limited survey data for intelligent learning in spatial agent-based models","type":"article-journal","volume":"23"},"uris":["http://www.mendeley.com/documents/?uuid=c458f0a8-9978-413e-805c-fd7a45c95d85"]}],"mendeley":{"formattedCitation":"[5]","plainTextFormattedCitation":"[5]","previouslyFormattedCitation":"[5]"},"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[5]</w:t>
      </w:r>
      <w:r w:rsidRPr="0007451A">
        <w:rPr>
          <w:rFonts w:asciiTheme="minorBidi" w:eastAsia="Arial" w:hAnsiTheme="minorBidi" w:cstheme="minorBidi"/>
        </w:rPr>
        <w:fldChar w:fldCharType="end"/>
      </w:r>
      <w:r w:rsidRPr="0007451A">
        <w:rPr>
          <w:rFonts w:asciiTheme="minorBidi" w:eastAsia="Arial" w:hAnsiTheme="minorBidi" w:cstheme="minorBidi"/>
        </w:rPr>
        <w:t xml:space="preserve">. </w:t>
      </w:r>
      <w:r w:rsidRPr="00845AA1">
        <w:rPr>
          <w:rFonts w:asciiTheme="minorBidi" w:eastAsia="Arial" w:hAnsiTheme="minorBidi" w:cstheme="minorBidi"/>
        </w:rPr>
        <w:t>The expert knowledge drove the structure of the BNs</w:t>
      </w:r>
      <w:r w:rsidRPr="0007451A">
        <w:rPr>
          <w:rFonts w:asciiTheme="minorBidi" w:eastAsia="Arial" w:hAnsiTheme="minorBidi" w:cstheme="minorBidi"/>
        </w:rPr>
        <w:t xml:space="preserve"> while the values of nodes and the conditional probability table (CPT) were driven from the literature, census data of Kumasi, Ghana and the survey data. The BNs are trained during the simulation of the CABM.</w:t>
      </w:r>
    </w:p>
    <w:p w14:paraId="6613C6E8" w14:textId="0AFB5416" w:rsidR="00522624" w:rsidRPr="0007451A" w:rsidRDefault="00522624" w:rsidP="00522624">
      <w:pPr>
        <w:pBdr>
          <w:top w:val="nil"/>
          <w:left w:val="nil"/>
          <w:bottom w:val="nil"/>
          <w:right w:val="nil"/>
          <w:between w:val="nil"/>
        </w:pBdr>
        <w:spacing w:after="120" w:line="480" w:lineRule="auto"/>
        <w:jc w:val="center"/>
        <w:rPr>
          <w:rFonts w:asciiTheme="minorBidi" w:eastAsia="Arial" w:hAnsiTheme="minorBidi" w:cstheme="minorBidi"/>
        </w:rPr>
      </w:pPr>
      <w:r>
        <w:rPr>
          <w:rFonts w:asciiTheme="minorBidi" w:eastAsia="Arial" w:hAnsiTheme="minorBidi" w:cstheme="minorBidi"/>
          <w:noProof/>
        </w:rPr>
        <w:drawing>
          <wp:inline distT="0" distB="0" distL="0" distR="0" wp14:anchorId="66D57B13" wp14:editId="20E56326">
            <wp:extent cx="5689601" cy="426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 Appendix A Fig 4.tif"/>
                    <pic:cNvPicPr/>
                  </pic:nvPicPr>
                  <pic:blipFill>
                    <a:blip r:embed="rId11">
                      <a:extLst>
                        <a:ext uri="{28A0092B-C50C-407E-A947-70E740481C1C}">
                          <a14:useLocalDpi xmlns:a14="http://schemas.microsoft.com/office/drawing/2010/main" val="0"/>
                        </a:ext>
                      </a:extLst>
                    </a:blip>
                    <a:stretch>
                      <a:fillRect/>
                    </a:stretch>
                  </pic:blipFill>
                  <pic:spPr>
                    <a:xfrm>
                      <a:off x="0" y="0"/>
                      <a:ext cx="5701730" cy="4276297"/>
                    </a:xfrm>
                    <a:prstGeom prst="rect">
                      <a:avLst/>
                    </a:prstGeom>
                  </pic:spPr>
                </pic:pic>
              </a:graphicData>
            </a:graphic>
          </wp:inline>
        </w:drawing>
      </w:r>
    </w:p>
    <w:p w14:paraId="59CCABAF" w14:textId="65D5C37A" w:rsidR="006F0E54" w:rsidRPr="00522624" w:rsidRDefault="00DA6C3F" w:rsidP="006F0E54">
      <w:pPr>
        <w:pStyle w:val="Caption"/>
        <w:spacing w:after="240"/>
        <w:jc w:val="center"/>
        <w:rPr>
          <w:b/>
          <w:bCs/>
          <w:i w:val="0"/>
          <w:iCs w:val="0"/>
          <w:szCs w:val="20"/>
        </w:rPr>
      </w:pPr>
      <w:r w:rsidRPr="00522624">
        <w:rPr>
          <w:b/>
          <w:bCs/>
          <w:i w:val="0"/>
          <w:iCs w:val="0"/>
          <w:szCs w:val="20"/>
        </w:rPr>
        <w:t>S1</w:t>
      </w:r>
      <w:r w:rsidR="00CE6060" w:rsidRPr="00522624">
        <w:rPr>
          <w:b/>
          <w:bCs/>
          <w:i w:val="0"/>
          <w:iCs w:val="0"/>
          <w:szCs w:val="20"/>
        </w:rPr>
        <w:t xml:space="preserve"> </w:t>
      </w:r>
      <w:r w:rsidR="006F0E54" w:rsidRPr="00522624">
        <w:rPr>
          <w:b/>
          <w:bCs/>
          <w:i w:val="0"/>
          <w:iCs w:val="0"/>
          <w:szCs w:val="20"/>
        </w:rPr>
        <w:t>Fig 4: Implementation of Agents' cognitive model (PMT) using two Bayesian Networks: BN1 and BN2 [2]</w:t>
      </w:r>
    </w:p>
    <w:p w14:paraId="1BE350B0" w14:textId="77777777" w:rsidR="006F0E54" w:rsidRPr="0007451A" w:rsidRDefault="006F0E54" w:rsidP="006F0E54">
      <w:pPr>
        <w:pStyle w:val="Heading3"/>
      </w:pPr>
      <w:r w:rsidRPr="0007451A">
        <w:rPr>
          <w:bCs/>
          <w:color w:val="1E4D78"/>
        </w:rPr>
        <w:t>BN1: Threat Appraisal</w:t>
      </w:r>
    </w:p>
    <w:p w14:paraId="7A9B29EE" w14:textId="35E3FCC8"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Household agents with a low- or medium-income level without access to tap water need to fetch water from the river. Before an agent in the ABM decides to use the river water, the agent consult</w:t>
      </w:r>
      <w:r>
        <w:rPr>
          <w:rFonts w:asciiTheme="minorBidi" w:eastAsia="Arial" w:hAnsiTheme="minorBidi" w:cstheme="minorBidi"/>
        </w:rPr>
        <w:t>s</w:t>
      </w:r>
      <w:r w:rsidRPr="0007451A">
        <w:rPr>
          <w:rFonts w:asciiTheme="minorBidi" w:eastAsia="Arial" w:hAnsiTheme="minorBidi" w:cstheme="minorBidi"/>
        </w:rPr>
        <w:t xml:space="preserve"> BN1 to determine if there is a risk. The following values are communicated to the learning algorithm (</w:t>
      </w:r>
      <w:r w:rsidR="00DA6C3F">
        <w:rPr>
          <w:rFonts w:asciiTheme="minorBidi" w:eastAsia="Arial" w:hAnsiTheme="minorBidi" w:cstheme="minorBidi"/>
        </w:rPr>
        <w:t>S1</w:t>
      </w:r>
      <w:r w:rsidR="0005111A">
        <w:rPr>
          <w:rFonts w:asciiTheme="minorBidi" w:eastAsia="Arial" w:hAnsiTheme="minorBidi" w:cstheme="minorBidi"/>
        </w:rPr>
        <w:t xml:space="preserve"> </w:t>
      </w:r>
      <w:r w:rsidRPr="0007451A">
        <w:rPr>
          <w:rFonts w:asciiTheme="minorBidi" w:eastAsia="Arial" w:hAnsiTheme="minorBidi" w:cstheme="minorBidi"/>
        </w:rPr>
        <w:t xml:space="preserve">Fig 4): memory value (Me), visual pollution of the water collection point (VP), household (HH) health status, Media (M) and communication with neighbor households (CNH). Media and communication with other households are combined into “epidemic evidence” (EE) which indicates the total number of disease </w:t>
      </w:r>
      <w:r w:rsidRPr="0007451A">
        <w:rPr>
          <w:rFonts w:asciiTheme="minorBidi" w:eastAsia="Arial" w:hAnsiTheme="minorBidi" w:cstheme="minorBidi"/>
        </w:rPr>
        <w:lastRenderedPageBreak/>
        <w:t>cases the agent is aware of outside their household. The epidemic evidence (EE) differ</w:t>
      </w:r>
      <w:r>
        <w:rPr>
          <w:rFonts w:asciiTheme="minorBidi" w:eastAsia="Arial" w:hAnsiTheme="minorBidi" w:cstheme="minorBidi"/>
        </w:rPr>
        <w:t>s</w:t>
      </w:r>
      <w:r w:rsidRPr="0007451A">
        <w:rPr>
          <w:rFonts w:asciiTheme="minorBidi" w:eastAsia="Arial" w:hAnsiTheme="minorBidi" w:cstheme="minorBidi"/>
        </w:rPr>
        <w:t xml:space="preserve"> per agent as the household situation of the agents varies.</w:t>
      </w:r>
    </w:p>
    <w:p w14:paraId="2DA47FEE" w14:textId="62FC89AD"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The uncertainty and reasoning of the risk perception </w:t>
      </w:r>
      <w:r>
        <w:rPr>
          <w:rFonts w:asciiTheme="minorBidi" w:eastAsia="Arial" w:hAnsiTheme="minorBidi" w:cstheme="minorBidi"/>
        </w:rPr>
        <w:t>are</w:t>
      </w:r>
      <w:r w:rsidRPr="0007451A">
        <w:rPr>
          <w:rFonts w:asciiTheme="minorBidi" w:eastAsia="Arial" w:hAnsiTheme="minorBidi" w:cstheme="minorBidi"/>
        </w:rPr>
        <w:t xml:space="preserve"> governed by rules that can easily be formalized using formula (1). For example, we have the states {yes, no} for household health status (HH), {yes, no} for Threat (risk perception), then the formula of connecting these two variables according was designed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793"/>
      </w:tblGrid>
      <w:tr w:rsidR="006F0E54" w:rsidRPr="0007451A" w14:paraId="6716A333" w14:textId="77777777" w:rsidTr="009D57AD">
        <w:tc>
          <w:tcPr>
            <w:tcW w:w="704" w:type="dxa"/>
            <w:vAlign w:val="center"/>
          </w:tcPr>
          <w:p w14:paraId="1ACC99AA" w14:textId="77777777" w:rsidR="006F0E54" w:rsidRPr="0007451A" w:rsidRDefault="006F0E54" w:rsidP="009D57AD">
            <w:pPr>
              <w:spacing w:line="480" w:lineRule="auto"/>
            </w:pPr>
          </w:p>
        </w:tc>
        <w:tc>
          <w:tcPr>
            <w:tcW w:w="7513" w:type="dxa"/>
            <w:vAlign w:val="center"/>
          </w:tcPr>
          <w:p w14:paraId="362FDE2F" w14:textId="77777777" w:rsidR="006F0E54" w:rsidRPr="0007451A" w:rsidRDefault="00933F7E" w:rsidP="009D57AD">
            <w:pPr>
              <w:spacing w:line="480" w:lineRule="auto"/>
              <w:rPr>
                <w:b/>
                <w:bCs/>
              </w:rPr>
            </w:pPr>
            <m:oMathPara>
              <m:oMath>
                <m:func>
                  <m:funcPr>
                    <m:ctrlPr>
                      <w:rPr>
                        <w:rFonts w:ascii="Cambria Math" w:hAnsi="Cambria Math"/>
                        <w:b/>
                        <w:bCs/>
                        <w:i/>
                      </w:rPr>
                    </m:ctrlPr>
                  </m:funcPr>
                  <m:fName>
                    <m:r>
                      <m:rPr>
                        <m:sty m:val="b"/>
                      </m:rPr>
                      <w:rPr>
                        <w:rFonts w:ascii="Cambria Math" w:hAnsi="Cambria Math"/>
                      </w:rPr>
                      <m:t>P</m:t>
                    </m:r>
                  </m:fName>
                  <m:e>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{yes, no}</m:t>
                            </m:r>
                          </m:sub>
                        </m:sSub>
                      </m:e>
                      <m:e>
                        <m:sSub>
                          <m:sSubPr>
                            <m:ctrlPr>
                              <w:rPr>
                                <w:rFonts w:ascii="Cambria Math" w:hAnsi="Cambria Math"/>
                                <w:b/>
                                <w:bCs/>
                                <w:i/>
                              </w:rPr>
                            </m:ctrlPr>
                          </m:sSubPr>
                          <m:e>
                            <m:r>
                              <m:rPr>
                                <m:sty m:val="bi"/>
                              </m:rPr>
                              <w:rPr>
                                <w:rFonts w:ascii="Cambria Math" w:hAnsi="Cambria Math"/>
                              </w:rPr>
                              <m:t>HH</m:t>
                            </m:r>
                          </m:e>
                          <m:sub>
                            <m:r>
                              <m:rPr>
                                <m:sty m:val="bi"/>
                              </m:rPr>
                              <w:rPr>
                                <w:rFonts w:ascii="Cambria Math" w:hAnsi="Cambria Math"/>
                              </w:rPr>
                              <m:t>{yes,no}</m:t>
                            </m:r>
                          </m:sub>
                        </m:sSub>
                        <m:r>
                          <m:rPr>
                            <m:sty m:val="bi"/>
                          </m:rPr>
                          <w:rPr>
                            <w:rFonts w:ascii="Cambria Math" w:hAnsi="Cambria Math"/>
                          </w:rPr>
                          <m:t xml:space="preserve"> </m:t>
                        </m:r>
                      </m:e>
                    </m:d>
                    <m:r>
                      <m:rPr>
                        <m:sty m:val="bi"/>
                      </m:rPr>
                      <w:rPr>
                        <w:rFonts w:ascii="Cambria Math" w:hAnsi="Cambria Math"/>
                      </w:rPr>
                      <m:t xml:space="preserve">= </m:t>
                    </m:r>
                    <m:f>
                      <m:fPr>
                        <m:ctrlPr>
                          <w:rPr>
                            <w:rFonts w:ascii="Cambria Math" w:hAnsi="Cambria Math"/>
                            <w:b/>
                            <w:bCs/>
                            <w:i/>
                          </w:rPr>
                        </m:ctrlPr>
                      </m:fPr>
                      <m:num>
                        <m:func>
                          <m:funcPr>
                            <m:ctrlPr>
                              <w:rPr>
                                <w:rFonts w:ascii="Cambria Math" w:hAnsi="Cambria Math"/>
                                <w:b/>
                                <w:bCs/>
                                <w:i/>
                              </w:rPr>
                            </m:ctrlPr>
                          </m:funcPr>
                          <m:fName>
                            <m:r>
                              <m:rPr>
                                <m:sty m:val="b"/>
                              </m:rPr>
                              <w:rPr>
                                <w:rFonts w:ascii="Cambria Math" w:hAnsi="Cambria Math"/>
                              </w:rPr>
                              <m:t>P</m:t>
                            </m:r>
                          </m:fName>
                          <m:e>
                            <m:d>
                              <m:dPr>
                                <m:ctrlPr>
                                  <w:rPr>
                                    <w:rFonts w:ascii="Cambria Math" w:hAnsi="Cambria Math"/>
                                    <w:b/>
                                    <w:bCs/>
                                    <w:i/>
                                  </w:rPr>
                                </m:ctrlPr>
                              </m:dPr>
                              <m:e>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HH</m:t>
                                    </m:r>
                                  </m:e>
                                  <m:sub>
                                    <m:r>
                                      <m:rPr>
                                        <m:sty m:val="bi"/>
                                      </m:rPr>
                                      <w:rPr>
                                        <w:rFonts w:ascii="Cambria Math" w:hAnsi="Cambria Math"/>
                                      </w:rPr>
                                      <m:t>{yes, no}</m:t>
                                    </m:r>
                                  </m:sub>
                                </m:sSub>
                              </m:e>
                              <m:e>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{yes, no}</m:t>
                                    </m:r>
                                  </m:sub>
                                </m:sSub>
                              </m:e>
                            </m:d>
                            <m:func>
                              <m:funcPr>
                                <m:ctrlPr>
                                  <w:rPr>
                                    <w:rFonts w:ascii="Cambria Math" w:hAnsi="Cambria Math"/>
                                    <w:b/>
                                    <w:bCs/>
                                  </w:rPr>
                                </m:ctrlPr>
                              </m:funcPr>
                              <m:fName>
                                <m:r>
                                  <m:rPr>
                                    <m:sty m:val="b"/>
                                  </m:rPr>
                                  <w:rPr>
                                    <w:rFonts w:ascii="Cambria Math" w:hAnsi="Cambria Math"/>
                                  </w:rPr>
                                  <m:t>P</m:t>
                                </m:r>
                              </m:fName>
                              <m:e>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{yes, no}</m:t>
                                        </m:r>
                                      </m:sub>
                                    </m:sSub>
                                  </m:e>
                                </m:d>
                              </m:e>
                            </m:func>
                          </m:e>
                        </m:func>
                      </m:num>
                      <m:den>
                        <m:func>
                          <m:funcPr>
                            <m:ctrlPr>
                              <w:rPr>
                                <w:rFonts w:ascii="Cambria Math" w:hAnsi="Cambria Math"/>
                                <w:b/>
                                <w:bCs/>
                                <w:i/>
                              </w:rPr>
                            </m:ctrlPr>
                          </m:funcPr>
                          <m:fName>
                            <m:r>
                              <m:rPr>
                                <m:sty m:val="b"/>
                              </m:rPr>
                              <w:rPr>
                                <w:rFonts w:ascii="Cambria Math" w:hAnsi="Cambria Math"/>
                              </w:rPr>
                              <m:t>P</m:t>
                            </m:r>
                          </m:fName>
                          <m:e>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HH</m:t>
                                </m:r>
                              </m:e>
                              <m:sub>
                                <m:d>
                                  <m:dPr>
                                    <m:begChr m:val="{"/>
                                    <m:endChr m:val="}"/>
                                    <m:ctrlPr>
                                      <w:rPr>
                                        <w:rFonts w:ascii="Cambria Math" w:hAnsi="Cambria Math"/>
                                        <w:b/>
                                        <w:i/>
                                      </w:rPr>
                                    </m:ctrlPr>
                                  </m:dPr>
                                  <m:e>
                                    <m:r>
                                      <m:rPr>
                                        <m:sty m:val="bi"/>
                                      </m:rPr>
                                      <w:rPr>
                                        <w:rFonts w:ascii="Cambria Math" w:hAnsi="Cambria Math"/>
                                      </w:rPr>
                                      <m:t>yes, no</m:t>
                                    </m:r>
                                  </m:e>
                                </m:d>
                              </m:sub>
                            </m:sSub>
                            <m:r>
                              <m:rPr>
                                <m:sty m:val="bi"/>
                              </m:rPr>
                              <w:rPr>
                                <w:rFonts w:ascii="Cambria Math" w:hAnsi="Cambria Math"/>
                              </w:rPr>
                              <m:t>)</m:t>
                            </m:r>
                          </m:e>
                        </m:func>
                      </m:den>
                    </m:f>
                  </m:e>
                </m:func>
              </m:oMath>
            </m:oMathPara>
          </w:p>
        </w:tc>
        <w:tc>
          <w:tcPr>
            <w:tcW w:w="793" w:type="dxa"/>
            <w:vAlign w:val="center"/>
          </w:tcPr>
          <w:p w14:paraId="656B793A" w14:textId="77777777" w:rsidR="006F0E54" w:rsidRPr="0007451A" w:rsidRDefault="006F0E54" w:rsidP="009D57AD">
            <w:pPr>
              <w:spacing w:line="480" w:lineRule="auto"/>
            </w:pPr>
            <w:r w:rsidRPr="0007451A">
              <w:t>(1)</w:t>
            </w:r>
          </w:p>
        </w:tc>
      </w:tr>
    </w:tbl>
    <w:p w14:paraId="6A7FC267" w14:textId="77777777" w:rsidR="006F0E54" w:rsidRPr="0007451A" w:rsidRDefault="006F0E54" w:rsidP="006F0E54">
      <w:pPr>
        <w:pStyle w:val="NormalWeb"/>
        <w:spacing w:before="0" w:beforeAutospacing="0" w:after="0" w:afterAutospacing="0"/>
        <w:jc w:val="both"/>
      </w:pPr>
    </w:p>
    <w:p w14:paraId="4251D251"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This was also applicable for computing the probability of Threat based on Visual Pollution, and Memory as both variables with states {no, low, high} and {yes, no} respectively. We evaluated the epidemic evidence (EE) from what household agents hear via their communication with other agents and the media agent. As claimed by Bayesian rules, the prior probabilities of the nodes should be specified in order to obtain the posterior probabilities. These prior probabilities represent </w:t>
      </w:r>
      <w:r>
        <w:rPr>
          <w:rFonts w:asciiTheme="minorBidi" w:eastAsia="Arial" w:hAnsiTheme="minorBidi" w:cstheme="minorBidi"/>
        </w:rPr>
        <w:t>an</w:t>
      </w:r>
      <w:r w:rsidRPr="0007451A">
        <w:rPr>
          <w:rFonts w:asciiTheme="minorBidi" w:eastAsia="Arial" w:hAnsiTheme="minorBidi" w:cstheme="minorBidi"/>
        </w:rPr>
        <w:t xml:space="preserve"> integral part of human</w:t>
      </w:r>
      <w:r>
        <w:rPr>
          <w:rFonts w:asciiTheme="minorBidi" w:eastAsia="Arial" w:hAnsiTheme="minorBidi" w:cstheme="minorBidi"/>
        </w:rPr>
        <w:t>s</w:t>
      </w:r>
      <w:r w:rsidRPr="0007451A">
        <w:rPr>
          <w:rFonts w:asciiTheme="minorBidi" w:eastAsia="Arial" w:hAnsiTheme="minorBidi" w:cstheme="minorBidi"/>
        </w:rPr>
        <w:t xml:space="preserve"> explaining the certainty. The final formula for the Threat (risk perception) node will be calculated as:</w:t>
      </w:r>
    </w:p>
    <w:tbl>
      <w:tblPr>
        <w:tblStyle w:val="TableGrid"/>
        <w:tblpPr w:leftFromText="180" w:rightFromText="180" w:vertAnchor="text" w:horzAnchor="page" w:tblpX="1630"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793"/>
      </w:tblGrid>
      <w:tr w:rsidR="006F0E54" w:rsidRPr="0007451A" w14:paraId="182D5EC0" w14:textId="77777777" w:rsidTr="009D57AD">
        <w:tc>
          <w:tcPr>
            <w:tcW w:w="704" w:type="dxa"/>
            <w:vAlign w:val="center"/>
          </w:tcPr>
          <w:p w14:paraId="57FE52A7" w14:textId="77777777" w:rsidR="006F0E54" w:rsidRPr="0007451A" w:rsidRDefault="006F0E54" w:rsidP="009D57AD">
            <w:pPr>
              <w:spacing w:line="480" w:lineRule="auto"/>
            </w:pPr>
          </w:p>
        </w:tc>
        <w:tc>
          <w:tcPr>
            <w:tcW w:w="7513" w:type="dxa"/>
            <w:vAlign w:val="center"/>
          </w:tcPr>
          <w:p w14:paraId="52B5B9B7" w14:textId="77777777" w:rsidR="006F0E54" w:rsidRPr="0007451A" w:rsidRDefault="00933F7E" w:rsidP="009D57AD">
            <w:pPr>
              <w:spacing w:line="480" w:lineRule="auto"/>
              <w:rPr>
                <w:b/>
                <w:bCs/>
                <w:i/>
              </w:rPr>
            </w:pPr>
            <m:oMathPara>
              <m:oMath>
                <m:func>
                  <m:funcPr>
                    <m:ctrlPr>
                      <w:rPr>
                        <w:rFonts w:ascii="Cambria Math" w:hAnsi="Cambria Math"/>
                        <w:b/>
                        <w:bCs/>
                        <w:i/>
                      </w:rPr>
                    </m:ctrlPr>
                  </m:funcPr>
                  <m:fName>
                    <m:r>
                      <m:rPr>
                        <m:sty m:val="bi"/>
                      </m:rPr>
                      <w:rPr>
                        <w:rFonts w:ascii="Cambria Math" w:hAnsi="Cambria Math"/>
                      </w:rPr>
                      <m:t>P</m:t>
                    </m:r>
                  </m:fName>
                  <m:e>
                    <m:d>
                      <m:dPr>
                        <m:ctrlPr>
                          <w:rPr>
                            <w:rFonts w:ascii="Cambria Math" w:hAnsi="Cambria Math"/>
                            <w:b/>
                            <w:bCs/>
                            <w:i/>
                          </w:rPr>
                        </m:ctrlPr>
                      </m:dPr>
                      <m:e>
                        <m:r>
                          <m:rPr>
                            <m:sty m:val="bi"/>
                          </m:rPr>
                          <w:rPr>
                            <w:rFonts w:ascii="Cambria Math" w:hAnsi="Cambria Math"/>
                          </w:rPr>
                          <m:t>T</m:t>
                        </m:r>
                      </m:e>
                      <m:e>
                        <m:r>
                          <m:rPr>
                            <m:sty m:val="bi"/>
                          </m:rPr>
                          <w:rPr>
                            <w:rFonts w:ascii="Cambria Math" w:hAnsi="Cambria Math"/>
                          </w:rPr>
                          <m:t>Me, VP, HH,EE</m:t>
                        </m:r>
                      </m:e>
                    </m:d>
                  </m:e>
                </m:func>
                <m:r>
                  <m:rPr>
                    <m:sty m:val="bi"/>
                  </m:rPr>
                  <w:rPr>
                    <w:rFonts w:ascii="Cambria Math" w:hAnsi="Cambria Math"/>
                  </w:rPr>
                  <m:t xml:space="preserve">= </m:t>
                </m:r>
                <m:f>
                  <m:fPr>
                    <m:ctrlPr>
                      <w:rPr>
                        <w:rFonts w:ascii="Cambria Math" w:hAnsi="Cambria Math"/>
                        <w:b/>
                        <w:bCs/>
                        <w:i/>
                      </w:rPr>
                    </m:ctrlPr>
                  </m:fPr>
                  <m:num>
                    <m:func>
                      <m:funcPr>
                        <m:ctrlPr>
                          <w:rPr>
                            <w:rFonts w:ascii="Cambria Math" w:hAnsi="Cambria Math"/>
                            <w:b/>
                            <w:bCs/>
                            <w:i/>
                          </w:rPr>
                        </m:ctrlPr>
                      </m:funcPr>
                      <m:fName>
                        <m:r>
                          <m:rPr>
                            <m:sty m:val="bi"/>
                          </m:rPr>
                          <w:rPr>
                            <w:rFonts w:ascii="Cambria Math" w:hAnsi="Cambria Math"/>
                          </w:rPr>
                          <m:t>P</m:t>
                        </m:r>
                      </m:fName>
                      <m:e>
                        <m:d>
                          <m:dPr>
                            <m:ctrlPr>
                              <w:rPr>
                                <w:rFonts w:ascii="Cambria Math" w:hAnsi="Cambria Math"/>
                                <w:b/>
                                <w:bCs/>
                                <w:i/>
                              </w:rPr>
                            </m:ctrlPr>
                          </m:dPr>
                          <m:e>
                            <m:r>
                              <m:rPr>
                                <m:sty m:val="bi"/>
                              </m:rPr>
                              <w:rPr>
                                <w:rFonts w:ascii="Cambria Math" w:hAnsi="Cambria Math"/>
                              </w:rPr>
                              <m:t>Me, VP, HH, EE</m:t>
                            </m:r>
                          </m:e>
                          <m:e>
                            <m:r>
                              <m:rPr>
                                <m:sty m:val="bi"/>
                              </m:rPr>
                              <w:rPr>
                                <w:rFonts w:ascii="Cambria Math" w:hAnsi="Cambria Math"/>
                              </w:rPr>
                              <m:t>T</m:t>
                            </m:r>
                          </m:e>
                        </m:d>
                        <m:func>
                          <m:funcPr>
                            <m:ctrlPr>
                              <w:rPr>
                                <w:rFonts w:ascii="Cambria Math" w:hAnsi="Cambria Math"/>
                                <w:b/>
                                <w:bCs/>
                                <w:i/>
                              </w:rPr>
                            </m:ctrlPr>
                          </m:funcPr>
                          <m:fName>
                            <m:r>
                              <m:rPr>
                                <m:sty m:val="bi"/>
                              </m:rPr>
                              <w:rPr>
                                <w:rFonts w:ascii="Cambria Math" w:hAnsi="Cambria Math"/>
                              </w:rPr>
                              <m:t>P</m:t>
                            </m:r>
                          </m:fName>
                          <m:e>
                            <m:r>
                              <m:rPr>
                                <m:sty m:val="bi"/>
                              </m:rPr>
                              <w:rPr>
                                <w:rFonts w:ascii="Cambria Math" w:hAnsi="Cambria Math"/>
                              </w:rPr>
                              <m:t>(T)</m:t>
                            </m:r>
                          </m:e>
                        </m:func>
                      </m:e>
                    </m:func>
                  </m:num>
                  <m:den>
                    <m:r>
                      <m:rPr>
                        <m:sty m:val="bi"/>
                      </m:rPr>
                      <w:rPr>
                        <w:rFonts w:ascii="Cambria Math" w:hAnsi="Cambria Math"/>
                      </w:rPr>
                      <m:t>P(Me, VP, HH,EE)</m:t>
                    </m:r>
                  </m:den>
                </m:f>
              </m:oMath>
            </m:oMathPara>
          </w:p>
        </w:tc>
        <w:tc>
          <w:tcPr>
            <w:tcW w:w="793" w:type="dxa"/>
            <w:vAlign w:val="center"/>
          </w:tcPr>
          <w:p w14:paraId="20A294A6" w14:textId="77777777" w:rsidR="006F0E54" w:rsidRPr="0007451A" w:rsidRDefault="006F0E54" w:rsidP="009D57AD">
            <w:pPr>
              <w:spacing w:line="480" w:lineRule="auto"/>
            </w:pPr>
            <w:r w:rsidRPr="0007451A">
              <w:t>(2)</w:t>
            </w:r>
          </w:p>
        </w:tc>
      </w:tr>
    </w:tbl>
    <w:p w14:paraId="1F98B94E"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The output of BN1 is a value between zero and one that represents the probability of low or high</w:t>
      </w:r>
      <w:r w:rsidRPr="0007451A" w:rsidDel="0049343A">
        <w:rPr>
          <w:rFonts w:asciiTheme="minorBidi" w:eastAsia="Arial" w:hAnsiTheme="minorBidi" w:cstheme="minorBidi"/>
        </w:rPr>
        <w:t>-risk</w:t>
      </w:r>
      <w:r w:rsidRPr="0007451A">
        <w:rPr>
          <w:rFonts w:asciiTheme="minorBidi" w:eastAsia="Arial" w:hAnsiTheme="minorBidi" w:cstheme="minorBidi"/>
        </w:rPr>
        <w:t xml:space="preserve"> perception. We assume the agent is at risk if the probability of risk perception is greater than 0.5 (high or “1”). When at risk the agent will proceed to coping appraisal. If not at risk the agent will keep on using the same water as in the previous time step.</w:t>
      </w:r>
    </w:p>
    <w:p w14:paraId="410998BD" w14:textId="77777777" w:rsidR="006F0E54" w:rsidRPr="0007451A" w:rsidRDefault="006F0E54" w:rsidP="006F0E54">
      <w:pPr>
        <w:pStyle w:val="Heading3"/>
      </w:pPr>
      <w:r w:rsidRPr="0007451A">
        <w:rPr>
          <w:bCs/>
          <w:color w:val="1E4D78"/>
        </w:rPr>
        <w:t>BN2: Coping Appraisal</w:t>
      </w:r>
    </w:p>
    <w:p w14:paraId="2835555E"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In case of perceiv</w:t>
      </w:r>
      <w:r>
        <w:rPr>
          <w:rFonts w:asciiTheme="minorBidi" w:eastAsia="Arial" w:hAnsiTheme="minorBidi" w:cstheme="minorBidi"/>
        </w:rPr>
        <w:t>ed</w:t>
      </w:r>
      <w:r w:rsidRPr="0007451A">
        <w:rPr>
          <w:rFonts w:asciiTheme="minorBidi" w:eastAsia="Arial" w:hAnsiTheme="minorBidi" w:cstheme="minorBidi"/>
        </w:rPr>
        <w:t xml:space="preserve"> risk an agent may: </w:t>
      </w:r>
      <w:r>
        <w:rPr>
          <w:rFonts w:asciiTheme="minorBidi" w:eastAsia="Arial" w:hAnsiTheme="minorBidi" w:cstheme="minorBidi"/>
        </w:rPr>
        <w:t xml:space="preserve">still </w:t>
      </w:r>
      <w:r w:rsidRPr="0007451A">
        <w:rPr>
          <w:rFonts w:asciiTheme="minorBidi" w:eastAsia="Arial" w:hAnsiTheme="minorBidi" w:cstheme="minorBidi"/>
        </w:rPr>
        <w:t xml:space="preserve">use the polluted water (D1), walk (find another location to fetch water) (D2), boil the fetched water (to increase the safety) (D3), or buy bottled water (D4). In order to make one of these four decisions, a number of values for the nodes (variables) are required: the income level of the agents (I) (either medium or low); their education level (E) (either educated or uneducated); and the feedback on theirs (OE) and their neighbors’ (NE) previous action (either positive or negative). The probability of </w:t>
      </w:r>
      <w:r>
        <w:rPr>
          <w:rFonts w:asciiTheme="minorBidi" w:eastAsia="Arial" w:hAnsiTheme="minorBidi" w:cstheme="minorBidi"/>
        </w:rPr>
        <w:t>taking a certain</w:t>
      </w:r>
      <w:r w:rsidRPr="0007451A">
        <w:rPr>
          <w:rFonts w:asciiTheme="minorBidi" w:eastAsia="Arial" w:hAnsiTheme="minorBidi" w:cstheme="minorBidi"/>
        </w:rPr>
        <w:t xml:space="preserve"> decision is calculated using BN2. Walking to another location to collected water has a lower efficacy compared to boiling the water and this has a lower </w:t>
      </w:r>
      <w:r w:rsidRPr="0007451A">
        <w:rPr>
          <w:rFonts w:asciiTheme="minorBidi" w:eastAsia="Arial" w:hAnsiTheme="minorBidi" w:cstheme="minorBidi"/>
        </w:rPr>
        <w:lastRenderedPageBreak/>
        <w:t>efficacy compared to buying bottled water. The household agents’ income level determines which decision option is more likely to be taken since the costs of the options differ</w:t>
      </w:r>
      <w:r>
        <w:rPr>
          <w:rFonts w:asciiTheme="minorBidi" w:eastAsia="Arial" w:hAnsiTheme="minorBidi" w:cstheme="minorBidi"/>
        </w:rPr>
        <w:t>.</w:t>
      </w:r>
      <w:r w:rsidRPr="0007451A">
        <w:rPr>
          <w:rFonts w:asciiTheme="minorBidi" w:eastAsia="Arial" w:hAnsiTheme="minorBidi" w:cstheme="minorBidi"/>
        </w:rPr>
        <w:t xml:space="preserve"> </w:t>
      </w:r>
      <w:r>
        <w:rPr>
          <w:rFonts w:asciiTheme="minorBidi" w:eastAsia="Arial" w:hAnsiTheme="minorBidi" w:cstheme="minorBidi"/>
        </w:rPr>
        <w:t>River</w:t>
      </w:r>
      <w:r w:rsidRPr="0007451A">
        <w:rPr>
          <w:rFonts w:asciiTheme="minorBidi" w:eastAsia="Arial" w:hAnsiTheme="minorBidi" w:cstheme="minorBidi"/>
        </w:rPr>
        <w:t xml:space="preserve"> water is free of cost, boiling water has a price tag and so has buying bottled water.</w:t>
      </w:r>
    </w:p>
    <w:p w14:paraId="2118AE4C"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The mathematical formula of BN2 for computing the decision can 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793"/>
      </w:tblGrid>
      <w:tr w:rsidR="006F0E54" w:rsidRPr="0007451A" w14:paraId="7AE73466" w14:textId="77777777" w:rsidTr="009D57AD">
        <w:tc>
          <w:tcPr>
            <w:tcW w:w="704" w:type="dxa"/>
            <w:vAlign w:val="center"/>
          </w:tcPr>
          <w:p w14:paraId="4AE36776" w14:textId="77777777" w:rsidR="006F0E54" w:rsidRPr="0007451A" w:rsidRDefault="006F0E54" w:rsidP="009D57AD">
            <w:pPr>
              <w:spacing w:line="480" w:lineRule="auto"/>
            </w:pPr>
          </w:p>
        </w:tc>
        <w:tc>
          <w:tcPr>
            <w:tcW w:w="7513" w:type="dxa"/>
            <w:vAlign w:val="center"/>
          </w:tcPr>
          <w:p w14:paraId="1104E925" w14:textId="77777777" w:rsidR="006F0E54" w:rsidRPr="0007451A" w:rsidRDefault="00933F7E" w:rsidP="009D57AD">
            <w:pPr>
              <w:spacing w:line="480" w:lineRule="auto"/>
              <w:rPr>
                <w:b/>
                <w:bCs/>
                <w:i/>
              </w:rPr>
            </w:pPr>
            <m:oMathPara>
              <m:oMath>
                <m:func>
                  <m:funcPr>
                    <m:ctrlPr>
                      <w:rPr>
                        <w:rFonts w:ascii="Cambria Math" w:hAnsi="Cambria Math"/>
                        <w:b/>
                        <w:bCs/>
                        <w:i/>
                      </w:rPr>
                    </m:ctrlPr>
                  </m:funcPr>
                  <m:fName>
                    <m:r>
                      <m:rPr>
                        <m:sty m:val="bi"/>
                      </m:rPr>
                      <w:rPr>
                        <w:rFonts w:ascii="Cambria Math" w:hAnsi="Cambria Math"/>
                      </w:rPr>
                      <m:t>P</m:t>
                    </m:r>
                  </m:fName>
                  <m:e>
                    <m:d>
                      <m:dPr>
                        <m:ctrlPr>
                          <w:rPr>
                            <w:rFonts w:ascii="Cambria Math" w:hAnsi="Cambria Math"/>
                            <w:b/>
                            <w:bCs/>
                            <w:i/>
                          </w:rPr>
                        </m:ctrlPr>
                      </m:dPr>
                      <m:e>
                        <m:r>
                          <m:rPr>
                            <m:sty m:val="bi"/>
                          </m:rPr>
                          <w:rPr>
                            <w:rFonts w:ascii="Cambria Math" w:hAnsi="Cambria Math"/>
                          </w:rPr>
                          <m:t>D</m:t>
                        </m:r>
                      </m:e>
                      <m:e>
                        <m:r>
                          <m:rPr>
                            <m:sty m:val="bi"/>
                          </m:rPr>
                          <w:rPr>
                            <w:rFonts w:ascii="Cambria Math" w:hAnsi="Cambria Math"/>
                          </w:rPr>
                          <m:t>I, E, OE, NE</m:t>
                        </m:r>
                      </m:e>
                    </m:d>
                  </m:e>
                </m:func>
                <m:r>
                  <m:rPr>
                    <m:sty m:val="bi"/>
                  </m:rPr>
                  <w:rPr>
                    <w:rFonts w:ascii="Cambria Math" w:hAnsi="Cambria Math"/>
                  </w:rPr>
                  <m:t xml:space="preserve">= </m:t>
                </m:r>
                <m:f>
                  <m:fPr>
                    <m:ctrlPr>
                      <w:rPr>
                        <w:rFonts w:ascii="Cambria Math" w:hAnsi="Cambria Math"/>
                        <w:b/>
                        <w:bCs/>
                        <w:i/>
                      </w:rPr>
                    </m:ctrlPr>
                  </m:fPr>
                  <m:num>
                    <m:func>
                      <m:funcPr>
                        <m:ctrlPr>
                          <w:rPr>
                            <w:rFonts w:ascii="Cambria Math" w:hAnsi="Cambria Math"/>
                            <w:b/>
                            <w:bCs/>
                            <w:i/>
                          </w:rPr>
                        </m:ctrlPr>
                      </m:funcPr>
                      <m:fName>
                        <m:r>
                          <m:rPr>
                            <m:sty m:val="bi"/>
                          </m:rPr>
                          <w:rPr>
                            <w:rFonts w:ascii="Cambria Math" w:hAnsi="Cambria Math"/>
                          </w:rPr>
                          <m:t>P</m:t>
                        </m:r>
                      </m:fName>
                      <m:e>
                        <m:d>
                          <m:dPr>
                            <m:ctrlPr>
                              <w:rPr>
                                <w:rFonts w:ascii="Cambria Math" w:hAnsi="Cambria Math"/>
                                <w:b/>
                                <w:bCs/>
                                <w:i/>
                              </w:rPr>
                            </m:ctrlPr>
                          </m:dPr>
                          <m:e>
                            <m:r>
                              <m:rPr>
                                <m:sty m:val="bi"/>
                              </m:rPr>
                              <w:rPr>
                                <w:rFonts w:ascii="Cambria Math" w:hAnsi="Cambria Math"/>
                              </w:rPr>
                              <m:t>I, E, OE, NE</m:t>
                            </m:r>
                          </m:e>
                          <m:e>
                            <m:r>
                              <m:rPr>
                                <m:sty m:val="bi"/>
                              </m:rPr>
                              <w:rPr>
                                <w:rFonts w:ascii="Cambria Math" w:hAnsi="Cambria Math"/>
                              </w:rPr>
                              <m:t>D</m:t>
                            </m:r>
                          </m:e>
                        </m:d>
                        <m:func>
                          <m:funcPr>
                            <m:ctrlPr>
                              <w:rPr>
                                <w:rFonts w:ascii="Cambria Math" w:hAnsi="Cambria Math"/>
                                <w:b/>
                                <w:bCs/>
                                <w:i/>
                              </w:rPr>
                            </m:ctrlPr>
                          </m:funcPr>
                          <m:fName>
                            <m:r>
                              <m:rPr>
                                <m:sty m:val="bi"/>
                              </m:rPr>
                              <w:rPr>
                                <w:rFonts w:ascii="Cambria Math" w:hAnsi="Cambria Math"/>
                              </w:rPr>
                              <m:t>P</m:t>
                            </m:r>
                          </m:fName>
                          <m:e>
                            <m:r>
                              <m:rPr>
                                <m:sty m:val="bi"/>
                              </m:rPr>
                              <w:rPr>
                                <w:rFonts w:ascii="Cambria Math" w:hAnsi="Cambria Math"/>
                              </w:rPr>
                              <m:t>(D)</m:t>
                            </m:r>
                          </m:e>
                        </m:func>
                      </m:e>
                    </m:func>
                  </m:num>
                  <m:den>
                    <m:r>
                      <m:rPr>
                        <m:sty m:val="bi"/>
                      </m:rPr>
                      <w:rPr>
                        <w:rFonts w:ascii="Cambria Math" w:hAnsi="Cambria Math"/>
                      </w:rPr>
                      <m:t>P⁡(I, E, OE, NE)</m:t>
                    </m:r>
                  </m:den>
                </m:f>
              </m:oMath>
            </m:oMathPara>
          </w:p>
        </w:tc>
        <w:tc>
          <w:tcPr>
            <w:tcW w:w="793" w:type="dxa"/>
            <w:vAlign w:val="center"/>
          </w:tcPr>
          <w:p w14:paraId="0470EAAA" w14:textId="77777777" w:rsidR="006F0E54" w:rsidRPr="0007451A" w:rsidRDefault="006F0E54" w:rsidP="009D57AD">
            <w:pPr>
              <w:spacing w:line="480" w:lineRule="auto"/>
            </w:pPr>
            <w:r w:rsidRPr="0007451A">
              <w:t>(3)</w:t>
            </w:r>
          </w:p>
        </w:tc>
      </w:tr>
    </w:tbl>
    <w:p w14:paraId="12D2398C" w14:textId="77777777" w:rsidR="006F0E54" w:rsidRPr="0007451A" w:rsidRDefault="006F0E54" w:rsidP="006F0E54">
      <w:pPr>
        <w:pStyle w:val="Heading3"/>
        <w:rPr>
          <w:lang w:eastAsia="en-GB"/>
        </w:rPr>
      </w:pPr>
      <w:r w:rsidRPr="0007451A">
        <w:rPr>
          <w:lang w:eastAsia="en-GB"/>
        </w:rPr>
        <w:t>Sensing</w:t>
      </w:r>
    </w:p>
    <w:p w14:paraId="25F67984" w14:textId="608D23A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Agents sense the visual pollution at the water collection point to judge whether or not the water looks visually polluted. It is not possible to see if water is infected with cholera. However, both data gathered from the online surveys and agents in the CABM confirmed that visual observations of the spatial environment affect the perception and decisions of people as well as agents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{"citationItems":[{"id":"ITEM-1","itemData":{"abstract":"An increasing number of spatial agent based models (ABMs) use artificial intelligence to enhance agents' decisions. There is a difference between ABMs with pure social intelligence based on information exchange among agents and ABMs with integrated spatial intelligence. Spatial intelligence refers to the fact that agents sense their environment, perform a judgement on the condition of this environment, and change their behaviour based on this judgement. When spatial intelligence is used in ABMs, it often facilitates navigation (human or animal) or adaptation to land cover change. Less implementations are available for assessing risky situation engaging agents' risk perception. In this paper, we present a model that uses a combination of spatial and social intelligence to simulate disease diffusion. Agents evaluate changes in floating plastic debris in a river combined with personal information and media attention on cholera to decide which water source to use. Cognition of agents with respect to perceiving risk and acting upon it is implemented via two Bayesian Networks. Data to validate the spatial intelligence was collected during the Massive Open Online Course on Geohealth in 2016. Results of the ABM show a strong decline of the number of disease cases after implementation of artificial intelligence compared to the version with zero-intelligence agents. Results from the survey confirm the fact that people judge quality of water visually, but also show the strong influence of media on risk perception.","author":[{"dropping-particle":"","family":"Abdulkareem","given":"Shaheen Abdullah","non-dropping-particle":"","parse-names":false,"suffix":""},{"dropping-particle":"","family":"Augustijn","given":"Ellen-Wien","non-dropping-particle":"","parse-names":false,"suffix":""},{"dropping-particle":"","family":"Mustafa","given":"Yaseen T","non-dropping-particle":"","parse-names":false,"suffix":""},{"dropping-particle":"","family":"Filatova","given":"Tatiana","non-dropping-particle":"","parse-names":false,"suffix":""}],"container-title":"GeoComputation","id":"ITEM-1","issue":"September 2017","issued":{"date-parts":[["2017"]]},"page":"1-7","title":"Integrating Spatial Intelligence for risk perception in an Agent Based Disease Model","type":"article-journal"},"uris":["http://www.mendeley.com/documents/?uuid=3cdac074-9ebe-4dbb-9cc4-8fca4248864c"]}],"mendeley":{"formattedCitation":"[6]","plainTextFormattedCitation":"[6]","previouslyFormattedCitation":"[6]"},"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[6]</w:t>
      </w:r>
      <w:r w:rsidRPr="0007451A">
        <w:rPr>
          <w:rFonts w:asciiTheme="minorBidi" w:eastAsia="Arial" w:hAnsiTheme="minorBidi" w:cstheme="minorBidi"/>
        </w:rPr>
        <w:fldChar w:fldCharType="end"/>
      </w:r>
      <w:r w:rsidRPr="0007451A">
        <w:rPr>
          <w:rFonts w:asciiTheme="minorBidi" w:eastAsia="Arial" w:hAnsiTheme="minorBidi" w:cstheme="minorBidi"/>
        </w:rPr>
        <w:t>.</w:t>
      </w:r>
    </w:p>
    <w:p w14:paraId="7BA085A1"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Via the media, they sense the general level of infection in the complete area. Agents use communication with their neighbors as a proxy for the number of infections in their own neighborhood.</w:t>
      </w:r>
    </w:p>
    <w:p w14:paraId="58337908" w14:textId="77777777" w:rsidR="006F0E54" w:rsidRPr="0007451A" w:rsidRDefault="006F0E54" w:rsidP="006F0E54">
      <w:pPr>
        <w:pStyle w:val="Heading3"/>
        <w:rPr>
          <w:lang w:eastAsia="en-GB"/>
        </w:rPr>
      </w:pPr>
      <w:r w:rsidRPr="0007451A">
        <w:rPr>
          <w:lang w:eastAsia="en-GB"/>
        </w:rPr>
        <w:t>Adaptation</w:t>
      </w:r>
    </w:p>
    <w:p w14:paraId="49B71860"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In this model, agents adapt their choice of water based on the risk they perceive and their income level. Four sources of water are implemented: river water (different locations), boiled water, tap water and bottled water. In this model</w:t>
      </w:r>
      <w:r>
        <w:rPr>
          <w:rFonts w:asciiTheme="minorBidi" w:eastAsia="Arial" w:hAnsiTheme="minorBidi" w:cstheme="minorBidi"/>
        </w:rPr>
        <w:t>,</w:t>
      </w:r>
      <w:r w:rsidRPr="0007451A">
        <w:rPr>
          <w:rFonts w:asciiTheme="minorBidi" w:eastAsia="Arial" w:hAnsiTheme="minorBidi" w:cstheme="minorBidi"/>
        </w:rPr>
        <w:t xml:space="preserve"> the information used in the threa</w:t>
      </w:r>
      <w:r>
        <w:rPr>
          <w:rFonts w:asciiTheme="minorBidi" w:eastAsia="Arial" w:hAnsiTheme="minorBidi" w:cstheme="minorBidi"/>
        </w:rPr>
        <w:t>t</w:t>
      </w:r>
      <w:r w:rsidRPr="0007451A">
        <w:rPr>
          <w:rFonts w:asciiTheme="minorBidi" w:eastAsia="Arial" w:hAnsiTheme="minorBidi" w:cstheme="minorBidi"/>
        </w:rPr>
        <w:t xml:space="preserve"> appraisal and coping appraisal stage of PMT can come from three different sources: Prior Knowledge (1), Communication with others (2) and from the Spatial environment (3).</w:t>
      </w:r>
    </w:p>
    <w:p w14:paraId="102EE701" w14:textId="64071893"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i/>
          <w:iCs/>
        </w:rPr>
        <w:t>Prior knowledge</w:t>
      </w:r>
      <w:r w:rsidRPr="0007451A">
        <w:rPr>
          <w:rFonts w:asciiTheme="minorBidi" w:eastAsia="Arial" w:hAnsiTheme="minorBidi" w:cstheme="minorBidi"/>
        </w:rPr>
        <w:t xml:space="preserve"> is based on memory and education level (educated/uneducated). It is used in both the threa</w:t>
      </w:r>
      <w:r>
        <w:rPr>
          <w:rFonts w:asciiTheme="minorBidi" w:eastAsia="Arial" w:hAnsiTheme="minorBidi" w:cstheme="minorBidi"/>
        </w:rPr>
        <w:t>t</w:t>
      </w:r>
      <w:r w:rsidRPr="0007451A">
        <w:rPr>
          <w:rFonts w:asciiTheme="minorBidi" w:eastAsia="Arial" w:hAnsiTheme="minorBidi" w:cstheme="minorBidi"/>
        </w:rPr>
        <w:t xml:space="preserve"> appraisal and coping appraisal stages. Persons can recall similar situations from their past and will recall the risk perception they experienced during this incident. They also use memory during the coping appraisal stage, when their last decision was effective, they are likely to repeat it. The education level of a person is a source of prior knowledge of a person. It has a direct influence on the process of making decisions. It affects the way people cope with the perceived risk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{"citationItems":[{"id":"ITEM-1","itemData":{"DOI":"10.1002/jid.798","ISBN":"1099-1328","ISSN":"09541748","PMID":"609276","abstract":"HIV is widely regarded as a disease of poverty and ignorance. However, within sub-Saharan Africa, more developed countries and sub-populations appear to have higher levels of HIV prevalence. This paper considers the evidence and possible reasons for this, by focusing on the relationships between education and the spread of HIV at the macro and micro levels. It is concluded that more educated populations are initially particularly vulnerable to HIV but are also better equipped to mount effective responses. Expanding provision of and access to secondary education could facilitate HIV control but is severely hampered by the morbidity and mortality effects of HIV epidemics. Efforts to sustain and increase education levels and to reduce HIV infections should therefore be mutually re-enforcing but will require extensive resources. Copyright © 2001 John Wiley &amp; Sons, Ltd.","author":[{"dropping-particle":"","family":"Gregson","given":"Simon","non-dropping-particle":"","parse-names":false,"suffix":""},{"dropping-particle":"","family":"Waddell","given":"Heather","non-dropping-particle":"","parse-names":false,"suffix":""},{"dropping-particle":"","family":"Chandiwana","given":"Stephen","non-dropping-particle":"","parse-names":false,"suffix":""}],"container-title":"Journal of International Development","id":"ITEM-1","issue":"4","issued":{"date-parts":[["2001"]]},"page":"467-485","title":"School education and HIV control in sub-Saharan Africa: From discord to harmony?","type":"article-journal","volume":"13"},"uris":["http://www.mendeley.com/documents/?uuid=5a05ef72-3ca9-3898-b1c4-08e3e39555e2"]}],"mendeley":{"formattedCitation":"[7]","plainTextFormattedCitation":"[7]","previouslyFormattedCitation":"[7]"},"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[7]</w:t>
      </w:r>
      <w:r w:rsidRPr="0007451A">
        <w:rPr>
          <w:rFonts w:asciiTheme="minorBidi" w:eastAsia="Arial" w:hAnsiTheme="minorBidi" w:cstheme="minorBidi"/>
        </w:rPr>
        <w:fldChar w:fldCharType="end"/>
      </w:r>
      <w:r w:rsidRPr="0007451A">
        <w:rPr>
          <w:rFonts w:asciiTheme="minorBidi" w:eastAsia="Arial" w:hAnsiTheme="minorBidi" w:cstheme="minorBidi"/>
        </w:rPr>
        <w:t>.</w:t>
      </w:r>
    </w:p>
    <w:p w14:paraId="7260D9D1"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i/>
          <w:iCs/>
        </w:rPr>
        <w:t>Communication</w:t>
      </w:r>
      <w:r w:rsidRPr="0007451A">
        <w:rPr>
          <w:rFonts w:asciiTheme="minorBidi" w:eastAsia="Arial" w:hAnsiTheme="minorBidi" w:cstheme="minorBidi"/>
        </w:rPr>
        <w:t xml:space="preserve"> with others includes: personal communication with neighbors and media. Communication is used in the threa</w:t>
      </w:r>
      <w:r>
        <w:rPr>
          <w:rFonts w:asciiTheme="minorBidi" w:eastAsia="Arial" w:hAnsiTheme="minorBidi" w:cstheme="minorBidi"/>
        </w:rPr>
        <w:t>t</w:t>
      </w:r>
      <w:r w:rsidRPr="0007451A">
        <w:rPr>
          <w:rFonts w:asciiTheme="minorBidi" w:eastAsia="Arial" w:hAnsiTheme="minorBidi" w:cstheme="minorBidi"/>
        </w:rPr>
        <w:t xml:space="preserve"> appraisal because it will inform the agent about a certain problem and the severity of this problem. Again, it can also be used during the coping appraisal as the person may receive information via the media on how to reduce risk (in this case the risk of infection). The </w:t>
      </w:r>
      <w:r w:rsidRPr="0007451A">
        <w:rPr>
          <w:rFonts w:asciiTheme="minorBidi" w:eastAsia="Arial" w:hAnsiTheme="minorBidi" w:cstheme="minorBidi"/>
        </w:rPr>
        <w:lastRenderedPageBreak/>
        <w:t>media agent is activated from day 22 onwards (based on empirical data) and household agents will receive this information. </w:t>
      </w:r>
    </w:p>
    <w:p w14:paraId="08911992"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The last category of information is the spatial environment. In this research, agents visually detect the pollution level of the water (Visual Pollution). This is part of the thre</w:t>
      </w:r>
      <w:r>
        <w:rPr>
          <w:rFonts w:asciiTheme="minorBidi" w:eastAsia="Arial" w:hAnsiTheme="minorBidi" w:cstheme="minorBidi"/>
        </w:rPr>
        <w:t>at</w:t>
      </w:r>
      <w:r w:rsidRPr="0007451A">
        <w:rPr>
          <w:rFonts w:asciiTheme="minorBidi" w:eastAsia="Arial" w:hAnsiTheme="minorBidi" w:cstheme="minorBidi"/>
        </w:rPr>
        <w:t xml:space="preserve"> appraisal part. Spatial knowledge can also be useful during the coping appraisal. When a person has a certain level of understanding of the landscape, this person might walk upstream to get to a spring with cleaner water.</w:t>
      </w:r>
    </w:p>
    <w:p w14:paraId="418EA638"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Adaptation is implemented via two Bayesian Networks which are further in the section “Learning”. </w:t>
      </w:r>
    </w:p>
    <w:p w14:paraId="188B8451"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Household agents perceive the risk of getting infected daily. When agents collect water, they update their internal model with information from neighbors and media and estimate the pollution around the water collection point. </w:t>
      </w:r>
    </w:p>
    <w:p w14:paraId="3B5FE653" w14:textId="77777777" w:rsidR="006F0E54" w:rsidRPr="0007451A" w:rsidRDefault="006F0E54" w:rsidP="006F0E54">
      <w:pPr>
        <w:pStyle w:val="Heading3"/>
        <w:rPr>
          <w:lang w:eastAsia="en-GB"/>
        </w:rPr>
      </w:pPr>
      <w:r w:rsidRPr="0007451A">
        <w:rPr>
          <w:lang w:eastAsia="en-GB"/>
        </w:rPr>
        <w:t>Interaction</w:t>
      </w:r>
    </w:p>
    <w:p w14:paraId="6913E241"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Social interactions have a significant effect on </w:t>
      </w:r>
      <w:r>
        <w:rPr>
          <w:rFonts w:asciiTheme="minorBidi" w:eastAsia="Arial" w:hAnsiTheme="minorBidi" w:cstheme="minorBidi"/>
        </w:rPr>
        <w:t>behavior</w:t>
      </w:r>
      <w:r w:rsidRPr="0007451A">
        <w:rPr>
          <w:rFonts w:asciiTheme="minorBidi" w:eastAsia="Arial" w:hAnsiTheme="minorBidi" w:cstheme="minorBidi"/>
        </w:rPr>
        <w:t>. Household agents might exchange news about the spread of cholera, what preventive decisions they made and their own experience with cholera. Personal communication of agents via their social interaction is divided into two groups: </w:t>
      </w:r>
    </w:p>
    <w:p w14:paraId="3ADBCB3A" w14:textId="77777777" w:rsidR="006F0E54" w:rsidRPr="0007451A" w:rsidRDefault="006F0E54" w:rsidP="006F0E54">
      <w:pPr>
        <w:pStyle w:val="ListParagraph"/>
        <w:numPr>
          <w:ilvl w:val="0"/>
          <w:numId w:val="6"/>
        </w:numPr>
        <w:pBdr>
          <w:top w:val="nil"/>
          <w:left w:val="nil"/>
          <w:bottom w:val="nil"/>
          <w:right w:val="nil"/>
          <w:between w:val="nil"/>
        </w:pBdr>
        <w:spacing w:after="120" w:line="480" w:lineRule="auto"/>
        <w:rPr>
          <w:rFonts w:asciiTheme="minorBidi" w:eastAsia="Arial" w:hAnsiTheme="minorBidi" w:cstheme="minorBidi"/>
          <w:sz w:val="20"/>
          <w:szCs w:val="20"/>
          <w:lang w:val="en-GB"/>
        </w:rPr>
      </w:pPr>
      <w:r w:rsidRPr="0007451A">
        <w:rPr>
          <w:rFonts w:asciiTheme="minorBidi" w:eastAsia="Arial" w:hAnsiTheme="minorBidi" w:cstheme="minorBidi"/>
          <w:sz w:val="20"/>
          <w:szCs w:val="20"/>
          <w:lang w:val="en-GB"/>
        </w:rPr>
        <w:t>Communication with their households’ members: agents are aware of whether there are sick individuals in their households or not. </w:t>
      </w:r>
    </w:p>
    <w:p w14:paraId="1D105454" w14:textId="77777777" w:rsidR="006F0E54" w:rsidRPr="0007451A" w:rsidRDefault="006F0E54" w:rsidP="006F0E54">
      <w:pPr>
        <w:pStyle w:val="ListParagraph"/>
        <w:numPr>
          <w:ilvl w:val="0"/>
          <w:numId w:val="6"/>
        </w:numPr>
        <w:pBdr>
          <w:top w:val="nil"/>
          <w:left w:val="nil"/>
          <w:bottom w:val="nil"/>
          <w:right w:val="nil"/>
          <w:between w:val="nil"/>
        </w:pBdr>
        <w:spacing w:after="120" w:line="480" w:lineRule="auto"/>
        <w:rPr>
          <w:rFonts w:asciiTheme="minorBidi" w:eastAsia="Arial" w:hAnsiTheme="minorBidi" w:cstheme="minorBidi"/>
          <w:sz w:val="20"/>
          <w:szCs w:val="20"/>
          <w:lang w:val="en-GB"/>
        </w:rPr>
      </w:pPr>
      <w:r w:rsidRPr="0007451A">
        <w:rPr>
          <w:rFonts w:asciiTheme="minorBidi" w:eastAsia="Arial" w:hAnsiTheme="minorBidi" w:cstheme="minorBidi"/>
          <w:sz w:val="20"/>
          <w:szCs w:val="20"/>
          <w:lang w:val="en-GB"/>
        </w:rPr>
        <w:t>Communication with their direct neighbours: agents are assigned neighbours who reside in the same community and share the same water collection point. </w:t>
      </w:r>
    </w:p>
    <w:p w14:paraId="167FCF58" w14:textId="72197E14"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No data is available on the number of daily contacts of Kumasi resident. However, in a recent study of </w:t>
      </w:r>
      <w:proofErr w:type="spellStart"/>
      <w:r w:rsidRPr="0007451A">
        <w:rPr>
          <w:rFonts w:asciiTheme="minorBidi" w:eastAsia="Arial" w:hAnsiTheme="minorBidi" w:cstheme="minorBidi"/>
        </w:rPr>
        <w:t>Melegaro</w:t>
      </w:r>
      <w:proofErr w:type="spellEnd"/>
      <w:r w:rsidRPr="0007451A">
        <w:rPr>
          <w:rFonts w:asciiTheme="minorBidi" w:eastAsia="Arial" w:hAnsiTheme="minorBidi" w:cstheme="minorBidi"/>
        </w:rPr>
        <w:t xml:space="preserve"> et al.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10.1371/journal.pone.0170459","ISBN":"1111111111","ISSN":"1932-6203","PMID":"28099479","author":[{"dropping-particle":"","family":"Melegaro","given":"Alessia","non-dropping-particle":"","parse-names":false,"suffix":""},{"dropping-particle":"","family":"Fava","given":"Emanuele","non-dropping-particle":"Del","parse-names":false,"suffix":""},{"dropping-particle":"","family":"Poletti","given":"Piero","non-dropping-particle":"","parse-names":false,"suffix":""},{"dropping-particle":"","family":"Merler","given":"Stefano","non-dropping-particle":"","parse-names":false,"suffix":""},{"dropping-particle":"","family":"Nyamukapa","given":"Constance","non-dropping-particle":"","parse-names":false,"suffix":""},{"dropping-particle":"","family":"Williams","given":"John","non-dropping-particle":"","parse-names":false,"suffix":""},{"dropping-particle":"","family":"Gregson","given":"Simon","non-dropping-particle":"","parse-names":false,"suffix":""},{"dropping-particle":"","family":"Manfredi","given":"Piero","non-dropping-particle":"","parse-names":false,"suffix":""}],"container-title":"PLOS ONE","editor":[{"dropping-particle":"","family":"Nishiura","given":"Hiroshi","non-dropping-particle":"","parse-names":false,"suffix":""}],"id":"ITEM-1","issue":"1","issued":{"date-parts":[["2017","1","18"]]},"page":"e0170459","publisher":"Child Trends","title":"Social Contact Structures and Time Use Patterns in the Manicaland Province of Zimbabwe","type":"article-journal","volume":"12"},"uris":["http://www.mendeley.com/documents/?uuid=492fc044-e8a7-383f-8894-80815f3fe312"]}],"mendeley":{"formattedCitation":"[8]","plainTextFormattedCitation":"[8]","previouslyFormattedCitation":"[8]"},"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[8]</w:t>
      </w:r>
      <w:r w:rsidRPr="0007451A">
        <w:rPr>
          <w:rFonts w:asciiTheme="minorBidi" w:eastAsia="Arial" w:hAnsiTheme="minorBidi" w:cstheme="minorBidi"/>
        </w:rPr>
        <w:fldChar w:fldCharType="end"/>
      </w:r>
      <w:r w:rsidRPr="0007451A">
        <w:rPr>
          <w:rFonts w:asciiTheme="minorBidi" w:eastAsia="Arial" w:hAnsiTheme="minorBidi" w:cstheme="minorBidi"/>
        </w:rPr>
        <w:t>, they conducted a survey of daily contacts in Manicaland, Zimbabwe and reported 10.8 contacts per person/day including the contacts with household members. If we consider this rate for our study, excluding the number of household members (average of 3.9), then approximately 7 contacts with neighbors per day will be applied for our cholera model. These seven neighbors are chosen randomly every day. Household agents are assumed to have total awareness of the cholera cases happening within the neighbors’ subset from contacts they make. This interaction will enable agents to perceive the infection level of the water their neighbors used and let them safe or infected. In addition, households’ contacts help agents to gain information on adaptation decisions their neighbors made and how effective is their decision in protecting them.</w:t>
      </w:r>
    </w:p>
    <w:p w14:paraId="4042189E" w14:textId="77777777" w:rsidR="006F0E54" w:rsidRPr="0007451A" w:rsidRDefault="006F0E54" w:rsidP="006F0E54">
      <w:pPr>
        <w:pStyle w:val="Heading3"/>
        <w:rPr>
          <w:lang w:eastAsia="en-GB"/>
        </w:rPr>
      </w:pPr>
      <w:r w:rsidRPr="0007451A">
        <w:rPr>
          <w:lang w:eastAsia="en-GB"/>
        </w:rPr>
        <w:lastRenderedPageBreak/>
        <w:t>Collectives</w:t>
      </w:r>
    </w:p>
    <w:p w14:paraId="42B74156"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Groups can be defined in different ways and at different hierarchical levels. In this model we have four levels of organization, the </w:t>
      </w:r>
      <w:r w:rsidRPr="0007451A">
        <w:rPr>
          <w:rFonts w:asciiTheme="minorBidi" w:eastAsia="Arial" w:hAnsiTheme="minorBidi" w:cstheme="minorBidi"/>
          <w:b/>
          <w:bCs/>
        </w:rPr>
        <w:t>individual agent</w:t>
      </w:r>
      <w:r w:rsidRPr="0007451A">
        <w:rPr>
          <w:rFonts w:asciiTheme="minorBidi" w:eastAsia="Arial" w:hAnsiTheme="minorBidi" w:cstheme="minorBidi"/>
        </w:rPr>
        <w:t xml:space="preserve">, the </w:t>
      </w:r>
      <w:r w:rsidRPr="0007451A">
        <w:rPr>
          <w:rFonts w:asciiTheme="minorBidi" w:eastAsia="Arial" w:hAnsiTheme="minorBidi" w:cstheme="minorBidi"/>
          <w:b/>
          <w:bCs/>
        </w:rPr>
        <w:t>household (</w:t>
      </w:r>
      <w:r>
        <w:rPr>
          <w:rFonts w:asciiTheme="minorBidi" w:eastAsia="Arial" w:hAnsiTheme="minorBidi" w:cstheme="minorBidi"/>
          <w:b/>
          <w:bCs/>
        </w:rPr>
        <w:t xml:space="preserve">a </w:t>
      </w:r>
      <w:r w:rsidRPr="0007451A">
        <w:rPr>
          <w:rFonts w:asciiTheme="minorBidi" w:eastAsia="Arial" w:hAnsiTheme="minorBidi" w:cstheme="minorBidi"/>
          <w:b/>
          <w:bCs/>
        </w:rPr>
        <w:t>group of individuals)</w:t>
      </w:r>
      <w:r w:rsidRPr="0007451A">
        <w:rPr>
          <w:rFonts w:asciiTheme="minorBidi" w:eastAsia="Arial" w:hAnsiTheme="minorBidi" w:cstheme="minorBidi"/>
        </w:rPr>
        <w:t xml:space="preserve">, </w:t>
      </w:r>
      <w:r w:rsidRPr="0007451A">
        <w:rPr>
          <w:rFonts w:asciiTheme="minorBidi" w:eastAsia="Arial" w:hAnsiTheme="minorBidi" w:cstheme="minorBidi"/>
          <w:b/>
          <w:bCs/>
        </w:rPr>
        <w:t xml:space="preserve">groups </w:t>
      </w:r>
      <w:r w:rsidRPr="0007451A">
        <w:rPr>
          <w:rFonts w:asciiTheme="minorBidi" w:eastAsia="Arial" w:hAnsiTheme="minorBidi" w:cstheme="minorBidi"/>
        </w:rPr>
        <w:t xml:space="preserve">(consisting of </w:t>
      </w:r>
      <w:r>
        <w:rPr>
          <w:rFonts w:asciiTheme="minorBidi" w:eastAsia="Arial" w:hAnsiTheme="minorBidi" w:cstheme="minorBidi"/>
        </w:rPr>
        <w:t>several</w:t>
      </w:r>
      <w:r w:rsidRPr="0007451A">
        <w:rPr>
          <w:rFonts w:asciiTheme="minorBidi" w:eastAsia="Arial" w:hAnsiTheme="minorBidi" w:cstheme="minorBidi"/>
        </w:rPr>
        <w:t xml:space="preserve"> households) and </w:t>
      </w:r>
      <w:r w:rsidRPr="0007451A">
        <w:rPr>
          <w:rFonts w:asciiTheme="minorBidi" w:eastAsia="Arial" w:hAnsiTheme="minorBidi" w:cstheme="minorBidi"/>
          <w:b/>
          <w:bCs/>
        </w:rPr>
        <w:t>communities</w:t>
      </w:r>
      <w:r w:rsidRPr="0007451A">
        <w:rPr>
          <w:rFonts w:asciiTheme="minorBidi" w:eastAsia="Arial" w:hAnsiTheme="minorBidi" w:cstheme="minorBidi"/>
        </w:rPr>
        <w:t xml:space="preserve"> that consist of a number of groups.</w:t>
      </w:r>
    </w:p>
    <w:p w14:paraId="0B525537" w14:textId="705698B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Households consist of </w:t>
      </w:r>
      <w:r>
        <w:rPr>
          <w:rFonts w:asciiTheme="minorBidi" w:eastAsia="Arial" w:hAnsiTheme="minorBidi" w:cstheme="minorBidi"/>
        </w:rPr>
        <w:t>some</w:t>
      </w:r>
      <w:r w:rsidRPr="0007451A">
        <w:rPr>
          <w:rFonts w:asciiTheme="minorBidi" w:eastAsia="Arial" w:hAnsiTheme="minorBidi" w:cstheme="minorBidi"/>
        </w:rPr>
        <w:t xml:space="preserve"> individuals that share the same water source and home location. Households are created at initialization. Individuals are assigned to the households, starting with an adult female as the head of the household followed by randomly adding additional members. Individuals inherit the household features besides those of themselves (</w:t>
      </w:r>
      <w:r w:rsidR="00DA6C3F">
        <w:rPr>
          <w:rFonts w:asciiTheme="minorBidi" w:eastAsia="Arial" w:hAnsiTheme="minorBidi" w:cstheme="minorBidi"/>
        </w:rPr>
        <w:t>S1</w:t>
      </w:r>
      <w:r w:rsidR="006A2748">
        <w:rPr>
          <w:rFonts w:asciiTheme="minorBidi" w:eastAsia="Arial" w:hAnsiTheme="minorBidi" w:cstheme="minorBidi"/>
        </w:rPr>
        <w:t xml:space="preserve"> </w:t>
      </w:r>
      <w:r w:rsidRPr="0007451A">
        <w:rPr>
          <w:rFonts w:asciiTheme="minorBidi" w:eastAsia="Arial" w:hAnsiTheme="minorBidi" w:cstheme="minorBidi"/>
        </w:rPr>
        <w:t>Table 1). The distribution of household size is based on information from the Ghana Statistical Service (2012)</w:t>
      </w:r>
      <w:r w:rsidR="00D010C7">
        <w:rPr>
          <w:rFonts w:asciiTheme="minorBidi" w:eastAsia="Arial" w:hAnsiTheme="minorBidi" w:cstheme="minorBidi"/>
        </w:rPr>
        <w:t xml:space="preserve"> </w:t>
      </w:r>
      <w:r w:rsidR="00C34CAD">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{"citationItems":[{"id":"ITEM-1","itemData":{"DOI":"10.1371/journal.pone.0104053","ISBN":"9789843385758","ISSN":"1932-6203","PMID":"25144222","abstract":"Summary Report of Final Results","author":[{"dropping-particle":"","family":"Ghana Statistical Service","given":"","non-dropping-particle":"","parse-names":false,"suffix":""}],"container-title":"Ghana Statistical service","id":"ITEM-1","issued":{"date-parts":[["2012"]]},"page":"1-117","title":"2010 Population and Housing Census","type":"article-journal"},"uris":["http://www.mendeley.com/documents/?uuid=a8a9aebd-716f-4e9c-9df6-5e3701ba7a54"]}],"mendeley":{"formattedCitation":"[9]","plainTextFormattedCitation":"[9]","previouslyFormattedCitation":"[9]"},"properties":{"noteIndex":0},"schema":"https://github.com/citation-style-language/schema/raw/master/csl-citation.json"}</w:instrText>
      </w:r>
      <w:r w:rsidR="00C34CAD">
        <w:rPr>
          <w:rFonts w:asciiTheme="minorBidi" w:eastAsia="Arial" w:hAnsiTheme="minorBidi" w:cstheme="minorBidi"/>
        </w:rPr>
        <w:fldChar w:fldCharType="separate"/>
      </w:r>
      <w:r w:rsidR="00C34CAD" w:rsidRPr="00C34CAD">
        <w:rPr>
          <w:rFonts w:asciiTheme="minorBidi" w:eastAsia="Arial" w:hAnsiTheme="minorBidi" w:cstheme="minorBidi"/>
          <w:noProof/>
        </w:rPr>
        <w:t>[9]</w:t>
      </w:r>
      <w:r w:rsidR="00C34CAD">
        <w:rPr>
          <w:rFonts w:asciiTheme="minorBidi" w:eastAsia="Arial" w:hAnsiTheme="minorBidi" w:cstheme="minorBidi"/>
        </w:rPr>
        <w:fldChar w:fldCharType="end"/>
      </w:r>
      <w:r w:rsidRPr="0007451A">
        <w:rPr>
          <w:rFonts w:asciiTheme="minorBidi" w:eastAsia="Arial" w:hAnsiTheme="minorBidi" w:cstheme="minorBidi"/>
        </w:rPr>
        <w:t>. These households are distributed over the communities using empirical data on income levels and assigned a building.</w:t>
      </w:r>
    </w:p>
    <w:p w14:paraId="709BD1B4"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In CABM </w:t>
      </w:r>
      <w:r w:rsidRPr="0007451A">
        <w:rPr>
          <w:rFonts w:asciiTheme="minorBidi" w:eastAsia="Arial" w:hAnsiTheme="minorBidi" w:cstheme="minorBidi"/>
          <w:b/>
          <w:bCs/>
        </w:rPr>
        <w:t>household</w:t>
      </w:r>
      <w:r w:rsidRPr="0007451A">
        <w:rPr>
          <w:rFonts w:asciiTheme="minorBidi" w:eastAsia="Arial" w:hAnsiTheme="minorBidi" w:cstheme="minorBidi"/>
        </w:rPr>
        <w:t xml:space="preserve"> agents living in the same community are grouped based on their income and education level since coping </w:t>
      </w:r>
      <w:r>
        <w:rPr>
          <w:rFonts w:asciiTheme="minorBidi" w:eastAsia="Arial" w:hAnsiTheme="minorBidi" w:cstheme="minorBidi"/>
        </w:rPr>
        <w:t>behavior</w:t>
      </w:r>
      <w:r w:rsidRPr="0007451A">
        <w:rPr>
          <w:rFonts w:asciiTheme="minorBidi" w:eastAsia="Arial" w:hAnsiTheme="minorBidi" w:cstheme="minorBidi"/>
        </w:rPr>
        <w:t xml:space="preserve"> depends on these factors. All neighbors that share the same water fetching point and are living in the same community are assigned to the same group in CABM. Communities are based on empirical data and correspond to the administrative areas of Kumasi city. The study area has 21 communities. A single community can have several groups, created based on agent characteristics and distance to water fetching points.</w:t>
      </w:r>
    </w:p>
    <w:p w14:paraId="24C8E579"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Household agents may learn individually or collectively with or without interacting with other household agents.</w:t>
      </w:r>
      <w:r>
        <w:rPr>
          <w:rFonts w:asciiTheme="minorBidi" w:eastAsia="Arial" w:hAnsiTheme="minorBidi" w:cstheme="minorBidi"/>
        </w:rPr>
        <w:t xml:space="preserve"> To learning collectively, household agents formulate groups. The groups can be in two forms: decentralized (decision making is based on a ‘majority vote’), or centralized in which one agent (leader) uses ML to learn for the whole group to accomplish the group task. </w:t>
      </w:r>
      <w:r w:rsidRPr="00890366">
        <w:rPr>
          <w:rFonts w:asciiTheme="minorBidi" w:eastAsia="Arial" w:hAnsiTheme="minorBidi" w:cstheme="minorBidi"/>
        </w:rPr>
        <w:t>Both individuals and groups may learn by either taking information from their social networks</w:t>
      </w:r>
      <w:r>
        <w:rPr>
          <w:rFonts w:asciiTheme="minorBidi" w:eastAsia="Arial" w:hAnsiTheme="minorBidi" w:cstheme="minorBidi"/>
        </w:rPr>
        <w:t xml:space="preserve"> (interactive)</w:t>
      </w:r>
      <w:r w:rsidRPr="00890366">
        <w:rPr>
          <w:rFonts w:asciiTheme="minorBidi" w:eastAsia="Arial" w:hAnsiTheme="minorBidi" w:cstheme="minorBidi"/>
        </w:rPr>
        <w:t xml:space="preserve"> - i.e. have it as an additional source of information in their ML algorithms - or not</w:t>
      </w:r>
      <w:r>
        <w:rPr>
          <w:rFonts w:asciiTheme="minorBidi" w:eastAsia="Arial" w:hAnsiTheme="minorBidi" w:cstheme="minorBidi"/>
        </w:rPr>
        <w:t xml:space="preserve"> (isolated)</w:t>
      </w:r>
      <w:r w:rsidRPr="00890366">
        <w:rPr>
          <w:rFonts w:asciiTheme="minorBidi" w:eastAsia="Arial" w:hAnsiTheme="minorBidi" w:cstheme="minorBidi"/>
        </w:rPr>
        <w:t>.</w:t>
      </w:r>
    </w:p>
    <w:p w14:paraId="4A1808D5" w14:textId="77777777" w:rsidR="006F0E54" w:rsidRPr="0007451A" w:rsidRDefault="006F0E54" w:rsidP="006F0E54">
      <w:pPr>
        <w:pStyle w:val="Heading3"/>
        <w:rPr>
          <w:lang w:eastAsia="en-GB"/>
        </w:rPr>
      </w:pPr>
      <w:r w:rsidRPr="0007451A">
        <w:rPr>
          <w:lang w:eastAsia="en-GB"/>
        </w:rPr>
        <w:t>Emergence</w:t>
      </w:r>
    </w:p>
    <w:p w14:paraId="17179DDC"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Patterns that should emerge are</w:t>
      </w:r>
      <w:r>
        <w:rPr>
          <w:rFonts w:asciiTheme="minorBidi" w:eastAsia="Arial" w:hAnsiTheme="minorBidi" w:cstheme="minorBidi"/>
        </w:rPr>
        <w:t xml:space="preserve"> an</w:t>
      </w:r>
      <w:r w:rsidRPr="0007451A">
        <w:rPr>
          <w:rFonts w:asciiTheme="minorBidi" w:eastAsia="Arial" w:hAnsiTheme="minorBidi" w:cstheme="minorBidi"/>
        </w:rPr>
        <w:t xml:space="preserve"> epidemic curve </w:t>
      </w:r>
      <w:r>
        <w:rPr>
          <w:rFonts w:asciiTheme="minorBidi" w:eastAsia="Arial" w:hAnsiTheme="minorBidi" w:cstheme="minorBidi"/>
        </w:rPr>
        <w:t>with</w:t>
      </w:r>
      <w:r w:rsidRPr="0007451A">
        <w:rPr>
          <w:rFonts w:asciiTheme="minorBidi" w:eastAsia="Arial" w:hAnsiTheme="minorBidi" w:cstheme="minorBidi"/>
        </w:rPr>
        <w:t xml:space="preserve"> a certain shape; risk perception curve of a certain shape; the spatial pattern of percentage of cases in certain locations and the duration of infection; and model performance.</w:t>
      </w:r>
    </w:p>
    <w:p w14:paraId="000FC988" w14:textId="77777777" w:rsidR="006F0E54" w:rsidRPr="0007451A" w:rsidRDefault="006F0E54" w:rsidP="006F0E54">
      <w:pPr>
        <w:spacing w:after="120" w:line="336" w:lineRule="auto"/>
        <w:jc w:val="both"/>
        <w:rPr>
          <w:rFonts w:asciiTheme="minorBidi" w:hAnsiTheme="minorBidi" w:cstheme="minorBidi"/>
          <w:b/>
          <w:sz w:val="21"/>
          <w:szCs w:val="21"/>
          <w:u w:val="single"/>
          <w:lang w:eastAsia="en-GB"/>
        </w:rPr>
      </w:pPr>
      <w:r w:rsidRPr="0007451A">
        <w:rPr>
          <w:rFonts w:asciiTheme="minorBidi" w:hAnsiTheme="minorBidi" w:cstheme="minorBidi"/>
          <w:b/>
          <w:sz w:val="21"/>
          <w:szCs w:val="21"/>
          <w:u w:val="single"/>
          <w:lang w:eastAsia="en-GB"/>
        </w:rPr>
        <w:t>Disease Diffusion</w:t>
      </w:r>
    </w:p>
    <w:p w14:paraId="78B31A41" w14:textId="42D8D04C"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The epidemic curves, duration of infection, total cases, and peak days are the most common measures of disease diffusion. </w:t>
      </w:r>
      <w:r>
        <w:rPr>
          <w:rFonts w:asciiTheme="minorBidi" w:eastAsia="Arial" w:hAnsiTheme="minorBidi" w:cstheme="minorBidi"/>
        </w:rPr>
        <w:t xml:space="preserve">An </w:t>
      </w:r>
      <w:r w:rsidRPr="0007451A">
        <w:rPr>
          <w:rFonts w:asciiTheme="minorBidi" w:eastAsia="Arial" w:hAnsiTheme="minorBidi" w:cstheme="minorBidi"/>
          <w:i/>
          <w:iCs/>
        </w:rPr>
        <w:t>Epidemic curve</w:t>
      </w:r>
      <w:r w:rsidRPr="0007451A">
        <w:rPr>
          <w:rFonts w:asciiTheme="minorBidi" w:eastAsia="Arial" w:hAnsiTheme="minorBidi" w:cstheme="minorBidi"/>
        </w:rPr>
        <w:t xml:space="preserve"> is a graph representation of the distribution of infected cases </w:t>
      </w:r>
      <w:r w:rsidRPr="0007451A">
        <w:rPr>
          <w:rFonts w:asciiTheme="minorBidi" w:eastAsia="Arial" w:hAnsiTheme="minorBidi" w:cstheme="minorBidi"/>
        </w:rPr>
        <w:lastRenderedPageBreak/>
        <w:t xml:space="preserve">over an epidemic period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{"citationItems":[{"id":"ITEM-1","itemData":{"DOI":"10.1073/pnas.29.1.43","ISSN":"0027-8424","PMID":"16588598","abstract":"Accessed: 31-08-2016 07:32 UTC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This content downloaded from 95.170.202.40 on Wed, 31 Aug 2016 07:32:12 UTC All use subject to http://about.jstor.org/terms","author":[{"dropping-particle":"","family":"Wilson","given":"Edwin B","non-dropping-particle":"","parse-names":false,"suffix":""},{"dropping-particle":"","family":"Burke","given":"Mary H","non-dropping-particle":"","parse-names":false,"suffix":""}],"container-title":"Proceedings of the National Academy of Sciences of the United States of America","id":"ITEM-1","issue":"1","issued":{"date-parts":[["1943"]]},"page":"43-48","title":"The Epidemic Curve","type":"article-journal","volume":"29"},"uris":["http://www.mendeley.com/documents/?uuid=b71e2540-17d5-3ef2-b3ec-9cae53bf237e"]}],"mendeley":{"formattedCitation":"[10]","plainTextFormattedCitation":"[10]","previouslyFormattedCitation":"[10]"},"properties":{"noteIndex":0},"schema":"https://github.com/citation-style-language/schema/raw/master/csl-citation.json"}</w:instrText>
      </w:r>
      <w:r w:rsidRPr="0007451A">
        <w:rPr>
          <w:rFonts w:asciiTheme="minorBidi" w:eastAsia="Arial" w:hAnsiTheme="minorBidi" w:cstheme="minorBidi"/>
        </w:rPr>
        <w:fldChar w:fldCharType="separate"/>
      </w:r>
      <w:r w:rsidR="00C34CAD" w:rsidRPr="00C34CAD">
        <w:rPr>
          <w:rFonts w:asciiTheme="minorBidi" w:eastAsia="Arial" w:hAnsiTheme="minorBidi" w:cstheme="minorBidi"/>
          <w:noProof/>
        </w:rPr>
        <w:t>[10]</w:t>
      </w:r>
      <w:r w:rsidRPr="0007451A">
        <w:rPr>
          <w:rFonts w:asciiTheme="minorBidi" w:eastAsia="Arial" w:hAnsiTheme="minorBidi" w:cstheme="minorBidi"/>
        </w:rPr>
        <w:fldChar w:fldCharType="end"/>
      </w:r>
      <w:r w:rsidRPr="0007451A">
        <w:rPr>
          <w:rFonts w:asciiTheme="minorBidi" w:eastAsia="Arial" w:hAnsiTheme="minorBidi" w:cstheme="minorBidi"/>
        </w:rPr>
        <w:t xml:space="preserve">. It is a useful way to assign the type of epidemic, calculate the difference between the minimum and maximum incubation period and determine the possible time of exposure. We validated the simulated epidemic curves from all eight models against the empirical epidemic curve. </w:t>
      </w:r>
    </w:p>
    <w:p w14:paraId="0A032422" w14:textId="77777777" w:rsidR="006F0E54" w:rsidRPr="0007451A" w:rsidRDefault="006F0E54" w:rsidP="006F0E54">
      <w:pPr>
        <w:spacing w:after="120" w:line="336" w:lineRule="auto"/>
        <w:jc w:val="both"/>
        <w:rPr>
          <w:rFonts w:asciiTheme="minorBidi" w:hAnsiTheme="minorBidi" w:cstheme="minorBidi"/>
          <w:b/>
          <w:sz w:val="21"/>
          <w:szCs w:val="21"/>
          <w:u w:val="single"/>
          <w:lang w:eastAsia="en-GB"/>
        </w:rPr>
      </w:pPr>
      <w:r w:rsidRPr="0007451A">
        <w:rPr>
          <w:rFonts w:asciiTheme="minorBidi" w:hAnsiTheme="minorBidi" w:cstheme="minorBidi"/>
          <w:b/>
          <w:sz w:val="21"/>
          <w:szCs w:val="21"/>
          <w:u w:val="single"/>
          <w:lang w:eastAsia="en-GB"/>
        </w:rPr>
        <w:t>Risk Perception</w:t>
      </w:r>
    </w:p>
    <w:p w14:paraId="358DD87C" w14:textId="1949A5CD"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There is less empirical data about risk perception of infectious diseases compared to other risks, such as environmental risks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{"citationItems":[{"id":"ITEM-1","itemData":{"DOI":"10.1007/s12529-008-9008-2","ISBN":"1070-5503","ISSN":"10705503","PMID":"19125335","abstract":"PURPOSE To study the levels of perceived threat, perceived severity, perceived vulnerability, response efficacy, and self-efficacy for severe acute respiratory syndrome (SARS) and eight other diseases in five European and three Asian countries. METHOD A computer-assisted phone survey was conducted among 3,436 respondents. The questionnaire focused on perceived threat, vulnerability, severity, response efficacy, and self-efficacy related to SARS and eight other diseases. RESULTS Perceived threat of SARS in case of an outbreak in the country was higher than that of other diseases. Perceived vulnerability of SARS was at an intermediate level and perceived severity was high compared to other diseases. Perceived threat for SARS varied between countries in Europe and Asia with a higher perceived severity of SARS in Europe and a higher perceived vulnerability in Asia. Response efficacy and self-efficacy for SARS were higher in Asia compared to Europe. In multiple linear regression analyses, country was strongly associated with perceived threat. CONCLUSIONS The relatively high perceived threat for SARS indicates that it is seen as a public health risk and offers a basis for communication in case of an outbreak. The strong association between perceived threat and country and different regional patterns require further research.","author":[{"dropping-particle":"","family":"Zwart","given":"Onno","non-dropping-particle":"De","parse-names":false,"suffix":""},{"dropping-particle":"","family":"Veldhuijzen","given":"Irene K.","non-dropping-particle":"","parse-names":false,"suffix":""},{"dropping-particle":"","family":"Elam","given":"Gillian","non-dropping-particle":"","parse-names":false,"suffix":""},{"dropping-particle":"","family":"Aro","given":"Arja R.","non-dropping-particle":"","parse-names":false,"suffix":""},{"dropping-particle":"","family":"Abraham","given":"Thomas","non-dropping-particle":"","parse-names":false,"suffix":""},{"dropping-particle":"","family":"Bishop","given":"George D.","non-dropping-particle":"","parse-names":false,"suffix":""},{"dropping-particle":"","family":"Voeten","given":"Hélène A.C.M.","non-dropping-particle":"","parse-names":false,"suffix":""},{"dropping-particle":"","family":"Richardus","given":"Jan Hendrik","non-dropping-particle":"","parse-names":false,"suffix":""},{"dropping-particle":"","family":"Brug","given":"Johannes","non-dropping-particle":"","parse-names":false,"suffix":""}],"container-title":"International Journal of Behavioral Medicine","id":"ITEM-1","issue":"1","issued":{"date-parts":[["2009"]]},"page":"30-40","title":"Perceived threat, risk perception, and efficacy beliefs related to SARS and other (emerging) infectious diseases: Results of an international survey","type":"article-journal","volume":"16"},"uris":["http://www.mendeley.com/documents/?uuid=71c4668e-1d28-4d4a-bf96-daa5aaae14da"]}],"mendeley":{"formattedCitation":"[11]","plainTextFormattedCitation":"[11]","previouslyFormattedCitation":"[11]"},"properties":{"noteIndex":0},"schema":"https://github.com/citation-style-language/schema/raw/master/csl-citation.json"}</w:instrText>
      </w:r>
      <w:r w:rsidRPr="0007451A">
        <w:rPr>
          <w:rFonts w:asciiTheme="minorBidi" w:eastAsia="Arial" w:hAnsiTheme="minorBidi" w:cstheme="minorBidi"/>
        </w:rPr>
        <w:fldChar w:fldCharType="separate"/>
      </w:r>
      <w:r w:rsidR="00C34CAD" w:rsidRPr="00C34CAD">
        <w:rPr>
          <w:rFonts w:asciiTheme="minorBidi" w:eastAsia="Arial" w:hAnsiTheme="minorBidi" w:cstheme="minorBidi"/>
          <w:noProof/>
        </w:rPr>
        <w:t>[11]</w:t>
      </w:r>
      <w:r w:rsidRPr="0007451A">
        <w:rPr>
          <w:rFonts w:asciiTheme="minorBidi" w:eastAsia="Arial" w:hAnsiTheme="minorBidi" w:cstheme="minorBidi"/>
        </w:rPr>
        <w:fldChar w:fldCharType="end"/>
      </w:r>
      <w:r w:rsidRPr="0007451A">
        <w:rPr>
          <w:rFonts w:asciiTheme="minorBidi" w:eastAsia="Arial" w:hAnsiTheme="minorBidi" w:cstheme="minorBidi"/>
        </w:rPr>
        <w:t xml:space="preserve">. Data on disease risk perception is rarely collected in the early stages of epidemics, especially in developing countries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{"citationItems":[{"id":"ITEM-1","itemData":{"DOI":"10.1038/srep40084","ISBN":"2045-2322","ISSN":"20452322","PMID":"28067258","abstract":"A new method for assessing the risk of infectious disease outbreak","author":[{"dropping-particle":"","family":"Liao","given":"Yilan","non-dropping-particle":"","parse-names":false,"suffix":""},{"dropping-particle":"","family":"Xu","given":"Bing","non-dropping-particle":"","parse-names":false,"suffix":""},{"dropping-particle":"","family":"Wang","given":"Jinfeng","non-dropping-particle":"","parse-names":false,"suffix":""},{"dropping-particle":"","family":"Liu","given":"Xiaochi","non-dropping-particle":"","parse-names":false,"suffix":""}],"container-title":"Scientific Reports","id":"ITEM-1","issue":"1","issued":{"date-parts":[["2017","12","9"]]},"page":"40084","publisher":"Nature Publishing Group","title":"A new method for assessing the risk of infectious disease outbreak","type":"article-journal","volume":"7"},"uris":["http://www.mendeley.com/documents/?uuid=5a5542ea-c451-30d3-820d-65ac41f4e689"]}],"mendeley":{"formattedCitation":"[12]","plainTextFormattedCitation":"[12]","previouslyFormattedCitation":"[12]"},"properties":{"noteIndex":0},"schema":"https://github.com/citation-style-language/schema/raw/master/csl-citation.json"}</w:instrText>
      </w:r>
      <w:r w:rsidRPr="0007451A">
        <w:rPr>
          <w:rFonts w:asciiTheme="minorBidi" w:eastAsia="Arial" w:hAnsiTheme="minorBidi" w:cstheme="minorBidi"/>
        </w:rPr>
        <w:fldChar w:fldCharType="separate"/>
      </w:r>
      <w:r w:rsidR="00C34CAD" w:rsidRPr="00C34CAD">
        <w:rPr>
          <w:rFonts w:asciiTheme="minorBidi" w:eastAsia="Arial" w:hAnsiTheme="minorBidi" w:cstheme="minorBidi"/>
          <w:noProof/>
        </w:rPr>
        <w:t>[12]</w:t>
      </w:r>
      <w:r w:rsidRPr="0007451A">
        <w:rPr>
          <w:rFonts w:asciiTheme="minorBidi" w:eastAsia="Arial" w:hAnsiTheme="minorBidi" w:cstheme="minorBidi"/>
        </w:rPr>
        <w:fldChar w:fldCharType="end"/>
      </w:r>
      <w:r w:rsidRPr="0007451A">
        <w:rPr>
          <w:rFonts w:asciiTheme="minorBidi" w:eastAsia="Arial" w:hAnsiTheme="minorBidi" w:cstheme="minorBidi"/>
        </w:rPr>
        <w:t xml:space="preserve">. </w:t>
      </w:r>
    </w:p>
    <w:p w14:paraId="1DB6E65D" w14:textId="5D914D84"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Due to lack of empirical data, two proxy datasets were used, collected via surveys. To construct and train our ML algorithms – Bayesian networks here – we used data from two MOOC surveys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{"citationItems":[{"id":"ITEM-1","itemData":{"DOI":"10.1007/s10707-019-00347-0","ISSN":"1384-6175","author":[{"dropping-particle":"","family":"Abdulkareem","given":"Shaheen Abdullah","non-dropping-particle":"","parse-names":false,"suffix":""},{"dropping-particle":"","family":"Mustafa","given":"Yaseen T.","non-dropping-particle":"","parse-names":false,"suffix":""},{"dropping-particle":"","family":"Augustijn","given":"Ellen-Wien","non-dropping-particle":"","parse-names":false,"suffix":""},{"dropping-particle":"","family":"Filatova","given":"Tatiana","non-dropping-particle":"","parse-names":false,"suffix":""}],"container-title":"GeoInformatica","id":"ITEM-1","issue":"2","issued":{"date-parts":[["2019","4","26"]]},"page":"243-268","publisher":"Springer US","title":"Bayesian networks for spatial learning: a workflow on using limited survey data for intelligent learning in spatial agent-based models","type":"article-journal","volume":"23"},"uris":["http://www.mendeley.com/documents/?uuid=c458f0a8-9978-413e-805c-fd7a45c95d85"]}],"mendeley":{"formattedCitation":"[5]","plainTextFormattedCitation":"[5]","previouslyFormattedCitation":"[5]"},"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[5]</w:t>
      </w:r>
      <w:r w:rsidRPr="0007451A">
        <w:rPr>
          <w:rFonts w:asciiTheme="minorBidi" w:eastAsia="Arial" w:hAnsiTheme="minorBidi" w:cstheme="minorBidi"/>
        </w:rPr>
        <w:fldChar w:fldCharType="end"/>
      </w:r>
      <w:r w:rsidRPr="0007451A">
        <w:rPr>
          <w:rFonts w:asciiTheme="minorBidi" w:eastAsia="Arial" w:hAnsiTheme="minorBidi" w:cstheme="minorBidi"/>
        </w:rPr>
        <w:t>. Reported responses of survey participants about the factors (or combination of factors) influencing their risk perception are used to drive the assessment of disease risks (BN1) of household agents. Using the simulated data from eight models, we measure risk perception as the percentage of agents who perceived risk on a given day as high and plot this as a risk perception curve. BN1 evaluates perceived disease risk and returns a value between 0-1; we consider risk perceptions above 0.5 as high.</w:t>
      </w:r>
    </w:p>
    <w:p w14:paraId="0CB0450C" w14:textId="338954A3" w:rsidR="006F0E54"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We assume that the peaks of the risk perception curve and the epidemic curves should be correlated. We based the phases of the risk perception curve on the model of </w:t>
      </w:r>
      <w:r w:rsidRPr="0007451A">
        <w:rPr>
          <w:rFonts w:asciiTheme="minorBidi" w:eastAsia="Arial" w:hAnsiTheme="minorBidi" w:cstheme="minorBidi"/>
        </w:rPr>
        <w:fldChar w:fldCharType="begin" w:fldLock="1"/>
      </w:r>
      <w:r w:rsidR="00E20743">
        <w:rPr>
          <w:rFonts w:asciiTheme="minorBidi" w:eastAsia="Arial" w:hAnsiTheme="minorBidi" w:cstheme="minorBidi"/>
        </w:rPr>
        <w:instrText>ADDIN CSL_CITATION {"citationItems":[{"id":"ITEM-1","itemData":{"author":[{"dropping-particle":"","family":"Wei","given":"Jiuchang","non-dropping-particle":"","parse-names":false,"suffix":""},{"dropping-particle":"","family":"Wang","given":"Feng","non-dropping-particle":"","parse-names":false,"suffix":""},{"dropping-particle":"","family":"Zhao","given":"Dingtao","non-dropping-particle":"","parse-names":false,"suffix":""}],"container-title":"undefined","id":"ITEM-1","issued":{"date-parts":[["2012"]]},"title":"A risk perception model: simulating public response to news reports in China","type":"article-journal"},"uris":["http://www.mendeley.com/documents/?uuid=3d234046-3017-465f-9119-6844212ab8f9"]},{"id":"ITEM-2","itemData":{"DOI":"10.1103/PhysRevE.97.012313","ISSN":"24700053","abstract":"Many progresses in the understanding of epidemic spreading models have been obtained thanks to numerous modeling efforts and analytical and numerical studies, considering host populations with very different structures and properties, including complex and temporal interaction networks. Moreover, a number of recent studies have started to go beyond the assumption of an absence of coupling between the spread of a disease and the structure of the contacts on which it unfolds. Models including awareness of the spread have been proposed, to mimic possible precautionary measures taken by individuals that decrease their risk of infection, but have mostly considered static networks. Here, we adapt such a framework to the more realistic case of temporal networks of interactions between individuals. We study the resulting model by analytical and numerical means on both simple models of temporal networks and empirical time-resolved contact data. Analytical results show that the epidemic threshold is not affected by the awareness but that the prevalence can be significantly decreased. Numerical studies on synthetic temporal networks highlight, however, the presence of very strong finite-size effects, resulting in a significant shift of the effective epidemic threshold in the presence of risk awareness. For empirical contact networks, the awareness mechanism leads as well to a shift in the effective threshold and to a strong reduction of the epidemic prevalence.","author":[{"dropping-particle":"","family":"Moinet","given":"Antoine","non-dropping-particle":"","parse-names":false,"suffix":""},{"dropping-particle":"","family":"Barrat","given":"Alain","non-dropping-particle":"","parse-names":false,"suffix":""},{"dropping-particle":"","family":"Satorras","given":"Romualdo Pastor","non-dropping-particle":"","parse-names":false,"suffix":""},{"dropping-particle":"","family":"Pastor-Satorras","given":"Romualdo","non-dropping-particle":"","parse-names":false,"suffix":""},{"dropping-particle":"","family":"Barrat","given":"Alain","non-dropping-particle":"","parse-names":false,"suffix":""},{"dropping-particle":"","family":"Effect","given":"Alain Barrat","non-dropping-particle":"","parse-names":false,"suffix":""}],"container-title":"Physical Review E","id":"ITEM-2","issue":"1","issued":{"date-parts":[["2018","10","31"]]},"page":"012313","publisher":"American Physical Society","title":"Effect of risk perception on epidemic spreading in temporal networks","type":"article-journal","volume":"97"},"uris":["http://www.mendeley.com/documents/?uuid=e393c9d0-0b48-4d1f-8f71-9bbd7ec462f1"]}],"mendeley":{"formattedCitation":"[13,14]","plainTextFormattedCitation":"[13,14]","previouslyFormattedCitation":"[13,14]"},"properties":{"noteIndex":0},"schema":"https://github.com/citation-style-language/schema/raw/master/csl-citation.json"}</w:instrText>
      </w:r>
      <w:r w:rsidRPr="0007451A">
        <w:rPr>
          <w:rFonts w:asciiTheme="minorBidi" w:eastAsia="Arial" w:hAnsiTheme="minorBidi" w:cstheme="minorBidi"/>
        </w:rPr>
        <w:fldChar w:fldCharType="separate"/>
      </w:r>
      <w:r w:rsidR="00C34CAD" w:rsidRPr="00C34CAD">
        <w:rPr>
          <w:rFonts w:asciiTheme="minorBidi" w:eastAsia="Arial" w:hAnsiTheme="minorBidi" w:cstheme="minorBidi"/>
          <w:noProof/>
        </w:rPr>
        <w:t>[13,14]</w:t>
      </w:r>
      <w:r w:rsidRPr="0007451A">
        <w:rPr>
          <w:rFonts w:asciiTheme="minorBidi" w:eastAsia="Arial" w:hAnsiTheme="minorBidi" w:cstheme="minorBidi"/>
        </w:rPr>
        <w:fldChar w:fldCharType="end"/>
      </w:r>
      <w:r w:rsidRPr="0007451A">
        <w:rPr>
          <w:rFonts w:asciiTheme="minorBidi" w:eastAsia="Arial" w:hAnsiTheme="minorBidi" w:cstheme="minorBidi"/>
        </w:rPr>
        <w:t xml:space="preserve"> as seen in </w:t>
      </w:r>
      <w:r w:rsidR="00DA6C3F">
        <w:rPr>
          <w:rFonts w:asciiTheme="minorBidi" w:eastAsia="Arial" w:hAnsiTheme="minorBidi" w:cstheme="minorBidi"/>
        </w:rPr>
        <w:t>S1</w:t>
      </w:r>
      <w:r w:rsidR="006A2748">
        <w:rPr>
          <w:rFonts w:asciiTheme="minorBidi" w:eastAsia="Arial" w:hAnsiTheme="minorBidi" w:cstheme="minorBidi"/>
        </w:rPr>
        <w:t xml:space="preserve"> </w:t>
      </w:r>
      <w:r w:rsidRPr="0007451A">
        <w:rPr>
          <w:rFonts w:asciiTheme="minorBidi" w:eastAsia="Arial" w:hAnsiTheme="minorBidi" w:cstheme="minorBidi"/>
        </w:rPr>
        <w:t xml:space="preserve">Fig 5. </w:t>
      </w:r>
    </w:p>
    <w:p w14:paraId="3680CBA7" w14:textId="6E829FFD" w:rsidR="00CA089A" w:rsidRPr="0007451A" w:rsidRDefault="00CA089A" w:rsidP="00CA089A">
      <w:pPr>
        <w:pBdr>
          <w:top w:val="nil"/>
          <w:left w:val="nil"/>
          <w:bottom w:val="nil"/>
          <w:right w:val="nil"/>
          <w:between w:val="nil"/>
        </w:pBdr>
        <w:spacing w:after="120" w:line="480" w:lineRule="auto"/>
        <w:jc w:val="center"/>
        <w:rPr>
          <w:rFonts w:asciiTheme="minorBidi" w:eastAsia="Arial" w:hAnsiTheme="minorBidi" w:cstheme="minorBidi"/>
        </w:rPr>
      </w:pPr>
      <w:r>
        <w:rPr>
          <w:rFonts w:asciiTheme="minorBidi" w:eastAsia="Arial" w:hAnsiTheme="minorBidi" w:cstheme="minorBidi"/>
          <w:noProof/>
        </w:rPr>
        <w:drawing>
          <wp:inline distT="0" distB="0" distL="0" distR="0" wp14:anchorId="2440A47F" wp14:editId="5DB04DF5">
            <wp:extent cx="5372100" cy="256157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1 Appendix A Fig 5.jpg"/>
                    <pic:cNvPicPr/>
                  </pic:nvPicPr>
                  <pic:blipFill>
                    <a:blip r:embed="rId12">
                      <a:extLst>
                        <a:ext uri="{28A0092B-C50C-407E-A947-70E740481C1C}">
                          <a14:useLocalDpi xmlns:a14="http://schemas.microsoft.com/office/drawing/2010/main" val="0"/>
                        </a:ext>
                      </a:extLst>
                    </a:blip>
                    <a:stretch>
                      <a:fillRect/>
                    </a:stretch>
                  </pic:blipFill>
                  <pic:spPr>
                    <a:xfrm>
                      <a:off x="0" y="0"/>
                      <a:ext cx="5376065" cy="2563465"/>
                    </a:xfrm>
                    <a:prstGeom prst="rect">
                      <a:avLst/>
                    </a:prstGeom>
                  </pic:spPr>
                </pic:pic>
              </a:graphicData>
            </a:graphic>
          </wp:inline>
        </w:drawing>
      </w:r>
    </w:p>
    <w:p w14:paraId="615586DE" w14:textId="7A77D6E4" w:rsidR="006F0E54" w:rsidRPr="00CA089A" w:rsidRDefault="00DA6C3F" w:rsidP="006F0E54">
      <w:pPr>
        <w:pStyle w:val="Caption"/>
        <w:rPr>
          <w:b/>
          <w:bCs/>
          <w:i w:val="0"/>
          <w:iCs w:val="0"/>
        </w:rPr>
      </w:pPr>
      <w:r w:rsidRPr="00CA089A">
        <w:rPr>
          <w:b/>
          <w:bCs/>
          <w:i w:val="0"/>
          <w:iCs w:val="0"/>
        </w:rPr>
        <w:t>S1</w:t>
      </w:r>
      <w:r w:rsidR="006A2748" w:rsidRPr="00CA089A">
        <w:rPr>
          <w:b/>
          <w:bCs/>
          <w:i w:val="0"/>
          <w:iCs w:val="0"/>
        </w:rPr>
        <w:t xml:space="preserve"> </w:t>
      </w:r>
      <w:r w:rsidR="006F0E54" w:rsidRPr="00CA089A">
        <w:rPr>
          <w:b/>
          <w:bCs/>
          <w:i w:val="0"/>
          <w:iCs w:val="0"/>
        </w:rPr>
        <w:t>Fig 5: The proposed model of describing the relation between Epidemic curve and Rik perception curve; the blue line is the epidemic curve and the green line is the associated risk perception curve</w:t>
      </w:r>
    </w:p>
    <w:p w14:paraId="2923E49E"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The following assumptions were made about the correlation between the risk perception curve and the epidemic curve:</w:t>
      </w:r>
    </w:p>
    <w:p w14:paraId="61063F70" w14:textId="77777777" w:rsidR="006F0E54" w:rsidRPr="0007451A" w:rsidRDefault="006F0E54" w:rsidP="006F0E54">
      <w:pPr>
        <w:pStyle w:val="ListParagraph"/>
        <w:numPr>
          <w:ilvl w:val="0"/>
          <w:numId w:val="8"/>
        </w:numPr>
        <w:pBdr>
          <w:top w:val="nil"/>
          <w:left w:val="nil"/>
          <w:bottom w:val="nil"/>
          <w:right w:val="nil"/>
          <w:between w:val="nil"/>
        </w:pBdr>
        <w:spacing w:after="120" w:line="480" w:lineRule="auto"/>
        <w:rPr>
          <w:rFonts w:asciiTheme="minorBidi" w:eastAsia="Arial" w:hAnsiTheme="minorBidi" w:cstheme="minorBidi"/>
          <w:sz w:val="20"/>
          <w:szCs w:val="20"/>
          <w:lang w:val="en-GB"/>
        </w:rPr>
      </w:pPr>
      <w:r w:rsidRPr="0007451A">
        <w:rPr>
          <w:rFonts w:asciiTheme="minorBidi" w:eastAsia="Arial" w:hAnsiTheme="minorBidi" w:cstheme="minorBidi"/>
          <w:sz w:val="20"/>
          <w:szCs w:val="20"/>
          <w:lang w:val="en-GB"/>
        </w:rPr>
        <w:lastRenderedPageBreak/>
        <w:t>Risk perception must not start before the increase in disease incidence.</w:t>
      </w:r>
    </w:p>
    <w:p w14:paraId="47BC94D0" w14:textId="77777777" w:rsidR="006F0E54" w:rsidRPr="0007451A" w:rsidRDefault="006F0E54" w:rsidP="006F0E54">
      <w:pPr>
        <w:pStyle w:val="ListParagraph"/>
        <w:numPr>
          <w:ilvl w:val="0"/>
          <w:numId w:val="8"/>
        </w:numPr>
        <w:pBdr>
          <w:top w:val="nil"/>
          <w:left w:val="nil"/>
          <w:bottom w:val="nil"/>
          <w:right w:val="nil"/>
          <w:between w:val="nil"/>
        </w:pBdr>
        <w:spacing w:after="120" w:line="480" w:lineRule="auto"/>
        <w:rPr>
          <w:rFonts w:asciiTheme="minorBidi" w:eastAsia="Arial" w:hAnsiTheme="minorBidi" w:cstheme="minorBidi"/>
          <w:sz w:val="20"/>
          <w:szCs w:val="20"/>
          <w:lang w:val="en-GB"/>
        </w:rPr>
      </w:pPr>
      <w:r w:rsidRPr="0007451A">
        <w:rPr>
          <w:rFonts w:asciiTheme="minorBidi" w:eastAsia="Arial" w:hAnsiTheme="minorBidi" w:cstheme="minorBidi"/>
          <w:sz w:val="20"/>
          <w:szCs w:val="20"/>
          <w:lang w:val="en-GB"/>
        </w:rPr>
        <w:t>Risk perception curve will follow the epidemic curve with a certain amount of time (time delay).</w:t>
      </w:r>
    </w:p>
    <w:p w14:paraId="28A5C356" w14:textId="77777777" w:rsidR="006F0E54" w:rsidRPr="0007451A" w:rsidRDefault="006F0E54" w:rsidP="006F0E54">
      <w:pPr>
        <w:pStyle w:val="ListParagraph"/>
        <w:numPr>
          <w:ilvl w:val="0"/>
          <w:numId w:val="8"/>
        </w:numPr>
        <w:pBdr>
          <w:top w:val="nil"/>
          <w:left w:val="nil"/>
          <w:bottom w:val="nil"/>
          <w:right w:val="nil"/>
          <w:between w:val="nil"/>
        </w:pBdr>
        <w:spacing w:after="120" w:line="480" w:lineRule="auto"/>
        <w:rPr>
          <w:rFonts w:asciiTheme="minorBidi" w:eastAsia="Arial" w:hAnsiTheme="minorBidi" w:cstheme="minorBidi"/>
          <w:sz w:val="20"/>
          <w:szCs w:val="20"/>
          <w:lang w:val="en-GB"/>
        </w:rPr>
      </w:pPr>
      <w:r w:rsidRPr="0007451A">
        <w:rPr>
          <w:rFonts w:asciiTheme="minorBidi" w:eastAsia="Arial" w:hAnsiTheme="minorBidi" w:cstheme="minorBidi"/>
          <w:sz w:val="20"/>
          <w:szCs w:val="20"/>
          <w:lang w:val="en-GB"/>
        </w:rPr>
        <w:t>Risk perception curve will flatten out after the epidemic curve has reached its peak.</w:t>
      </w:r>
    </w:p>
    <w:p w14:paraId="7A437090" w14:textId="77777777" w:rsidR="006F0E54" w:rsidRPr="0007451A" w:rsidRDefault="006F0E54" w:rsidP="006F0E54">
      <w:pPr>
        <w:pStyle w:val="ListParagraph"/>
        <w:numPr>
          <w:ilvl w:val="0"/>
          <w:numId w:val="8"/>
        </w:numPr>
        <w:pBdr>
          <w:top w:val="nil"/>
          <w:left w:val="nil"/>
          <w:bottom w:val="nil"/>
          <w:right w:val="nil"/>
          <w:between w:val="nil"/>
        </w:pBdr>
        <w:spacing w:after="120" w:line="480" w:lineRule="auto"/>
        <w:rPr>
          <w:rFonts w:asciiTheme="minorBidi" w:eastAsia="Arial" w:hAnsiTheme="minorBidi" w:cstheme="minorBidi"/>
          <w:sz w:val="20"/>
          <w:szCs w:val="20"/>
          <w:lang w:val="en-GB"/>
        </w:rPr>
      </w:pPr>
      <w:r w:rsidRPr="0007451A">
        <w:rPr>
          <w:rFonts w:asciiTheme="minorBidi" w:eastAsia="Arial" w:hAnsiTheme="minorBidi" w:cstheme="minorBidi"/>
          <w:sz w:val="20"/>
          <w:szCs w:val="20"/>
          <w:lang w:val="en-GB"/>
        </w:rPr>
        <w:t>Forgotten period will occur after the end of simulation.</w:t>
      </w:r>
    </w:p>
    <w:p w14:paraId="0842389B" w14:textId="77777777" w:rsidR="006F0E54" w:rsidRPr="0007451A" w:rsidRDefault="006F0E54" w:rsidP="006F0E54">
      <w:pPr>
        <w:spacing w:after="120" w:line="336" w:lineRule="auto"/>
        <w:jc w:val="both"/>
        <w:rPr>
          <w:rFonts w:asciiTheme="minorBidi" w:hAnsiTheme="minorBidi" w:cstheme="minorBidi"/>
          <w:b/>
          <w:sz w:val="21"/>
          <w:szCs w:val="21"/>
          <w:u w:val="single"/>
          <w:lang w:eastAsia="en-GB"/>
        </w:rPr>
      </w:pPr>
      <w:r w:rsidRPr="0007451A">
        <w:rPr>
          <w:rFonts w:asciiTheme="minorBidi" w:hAnsiTheme="minorBidi" w:cstheme="minorBidi"/>
          <w:b/>
          <w:sz w:val="21"/>
          <w:szCs w:val="21"/>
          <w:u w:val="single"/>
          <w:lang w:eastAsia="en-GB"/>
        </w:rPr>
        <w:t>Spatial Patterns</w:t>
      </w:r>
    </w:p>
    <w:p w14:paraId="6F82422F" w14:textId="24996E79" w:rsidR="006F0E54" w:rsidRPr="0007451A" w:rsidRDefault="006F0E54" w:rsidP="00975445">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We assess the accuracy of our eight models using </w:t>
      </w:r>
      <m:oMath>
        <m:r>
          <m:rPr>
            <m:sty m:val="p"/>
          </m:rPr>
          <w:rPr>
            <w:rFonts w:ascii="Cambria Math" w:eastAsia="Arial" w:hAnsi="Cambria Math" w:cstheme="minorBidi"/>
          </w:rPr>
          <m:t>SpI</m:t>
        </m:r>
      </m:oMath>
      <w:r w:rsidRPr="0007451A">
        <w:rPr>
          <w:rFonts w:asciiTheme="minorBidi" w:eastAsia="Arial" w:hAnsiTheme="minorBidi" w:cstheme="minorBidi"/>
        </w:rPr>
        <w:t xml:space="preserve">. It calculates the spatial distribution of infected cases in both real dataset and the outcomes of the simulations </w:t>
      </w:r>
      <w:r w:rsidRPr="0007451A">
        <w:rPr>
          <w:rFonts w:asciiTheme="minorBidi" w:eastAsia="Arial" w:hAnsiTheme="minorBidi" w:cstheme="minorBidi"/>
        </w:rPr>
        <w:fldChar w:fldCharType="begin" w:fldLock="1"/>
      </w:r>
      <w:r w:rsidR="00D010C7">
        <w:rPr>
          <w:rFonts w:asciiTheme="minorBidi" w:eastAsia="Arial" w:hAnsiTheme="minorBidi" w:cstheme="minorBidi"/>
        </w:rPr>
        <w:instrText>ADDIN CSL_CITATION {"citationItems":[{"id":"ITEM-1","itemData":{"DOI":"10.1007/s00477-015-1199-x","ISBN":"1436-3240","ISSN":"14363259","abstract":"This paper introduces a spatially explicit agent-based simulation model for micro-scale cholera diffusion. The model simulates both an environmental reservoir of naturally occurring V.cholerae bacteria and hyperinfectious V. cholerae. Objective of the research is to test if runoff from open refuse dumpsites plays a role in cholera diffusion. A number of experiments were conducted with the model for a case study in Kumasi, Ghana, based on an epidemic in 2005. Experiments confirm the importance of the hyperinfectious transmission route, however, they also reveal the importance of a representative spatial distribution of the income classes. Although the contribution of runoff from dumpsites can never be conclusively proven, the experiments show that modelling the epidemic via this mechanism is possible and improves the model results. Relevance of this research is that it shows the possibilities of agent-based modelling combined with pattern reproduction for cholera diffusion studies. The proposed model is simple in its setup but can be extended by adding additional elements such as human movement and change of behaviour of individuals based on disease awareness. Eventually, agent-based models will open opportunities to explore policy related research questions related to interventions to influence the diffusion process.","author":[{"dropping-particle":"","family":"Augustijn","given":"Ellen-wien Wien","non-dropping-particle":"","parse-names":false,"suffix":""},{"dropping-particle":"","family":"Doldersum","given":"Tom","non-dropping-particle":"","parse-names":false,"suffix":""},{"dropping-particle":"","family":"Useya","given":"Juliana","non-dropping-particle":"","parse-names":false,"suffix":""},{"dropping-particle":"","family":"Augustijn","given":"Denie","non-dropping-particle":"","parse-names":false,"suffix":""}],"container-title":"Stochastic Environmental Research and Risk Assessment","id":"ITEM-1","issue":"8","issued":{"date-parts":[["2016"]]},"page":"2079-2095","title":"Agent-based modelling of cholera","type":"article-journal","volume":"30"},"uris":["http://www.mendeley.com/documents/?uuid=f2604c96-0549-4e10-875f-647b901b7e37"]}],"mendeley":{"formattedCitation":"[1]","plainTextFormattedCitation":"[1]","previouslyFormattedCitation":"[1]"},"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[1]</w:t>
      </w:r>
      <w:r w:rsidRPr="0007451A">
        <w:rPr>
          <w:rFonts w:asciiTheme="minorBidi" w:eastAsia="Arial" w:hAnsiTheme="minorBidi" w:cstheme="minorBidi"/>
        </w:rPr>
        <w:fldChar w:fldCharType="end"/>
      </w:r>
      <w:r w:rsidRPr="0007451A">
        <w:rPr>
          <w:rFonts w:asciiTheme="minorBidi" w:eastAsia="Arial" w:hAnsiTheme="minorBidi" w:cstheme="minorBidi"/>
        </w:rPr>
        <w:t xml:space="preserve"> to understand how well each type of learning (M1 – M8) complies with the real number of cholera cases per community. The cases were confirmed by bacteriological tests and were registered by the Disease Control Unit (DCU) in Kumasi Ghana during the 2005 epidemic. A simulation with </w:t>
      </w:r>
      <m:oMath>
        <m:r>
          <m:rPr>
            <m:sty m:val="p"/>
          </m:rPr>
          <w:rPr>
            <w:rFonts w:ascii="Cambria Math" w:eastAsia="Arial" w:hAnsi="Cambria Math" w:cstheme="minorBidi"/>
          </w:rPr>
          <m:t>SpI</m:t>
        </m:r>
      </m:oMath>
      <w:r w:rsidRPr="0007451A">
        <w:rPr>
          <w:rFonts w:asciiTheme="minorBidi" w:eastAsia="Arial" w:hAnsiTheme="minorBidi" w:cstheme="minorBidi"/>
        </w:rPr>
        <w:t>= 1 indicates a perfect reproduction of the actual epidemic</w:t>
      </w:r>
      <w:r w:rsidR="00975445">
        <w:t xml:space="preserve"> (</w:t>
      </w:r>
      <w:r w:rsidR="00975445" w:rsidRPr="00975445">
        <w:t>While we do have real data on recorded cholera cases in Kumasi’s 2005 epidemic, the data quality is far from perfect. It is likely to under-represent the extent of the epidemic. Still, this is the best of what exists in the context of a developing country</w:t>
      </w:r>
      <w:r w:rsidR="00975445">
        <w:t>)</w:t>
      </w:r>
      <w:r w:rsidRPr="0007451A">
        <w:rPr>
          <w:rFonts w:asciiTheme="minorBidi" w:eastAsia="Arial" w:hAnsiTheme="minorBidi" w:cstheme="minorBidi"/>
        </w:rPr>
        <w:t xml:space="preserve">. </w:t>
      </w:r>
      <m:oMath>
        <m:r>
          <m:rPr>
            <m:sty m:val="p"/>
          </m:rPr>
          <w:rPr>
            <w:rFonts w:ascii="Cambria Math" w:eastAsia="Arial" w:hAnsi="Cambria Math" w:cstheme="minorBidi"/>
          </w:rPr>
          <m:t>SpI</m:t>
        </m:r>
      </m:oMath>
      <w:r w:rsidRPr="0007451A">
        <w:rPr>
          <w:rFonts w:asciiTheme="minorBidi" w:eastAsia="Arial" w:hAnsiTheme="minorBidi" w:cstheme="minorBidi"/>
        </w:rPr>
        <w:t xml:space="preserve"> is calculated using equation 4:</w:t>
      </w:r>
    </w:p>
    <w:tbl>
      <w:tblPr>
        <w:tblW w:w="9010" w:type="dxa"/>
        <w:tblBorders>
          <w:top w:val="nil"/>
          <w:left w:val="nil"/>
          <w:bottom w:val="nil"/>
          <w:right w:val="nil"/>
          <w:insideH w:val="nil"/>
          <w:insideV w:val="nil"/>
        </w:tblBorders>
        <w:tblLayout w:type="fixed"/>
        <w:tblLook w:val="0400" w:firstRow="0" w:lastRow="0" w:firstColumn="0" w:lastColumn="0" w:noHBand="0" w:noVBand="1"/>
      </w:tblPr>
      <w:tblGrid>
        <w:gridCol w:w="1696"/>
        <w:gridCol w:w="4863"/>
        <w:gridCol w:w="2451"/>
      </w:tblGrid>
      <w:tr w:rsidR="006F0E54" w:rsidRPr="0007451A" w14:paraId="27CA78BD" w14:textId="77777777" w:rsidTr="009D57AD">
        <w:tc>
          <w:tcPr>
            <w:tcW w:w="1696" w:type="dxa"/>
          </w:tcPr>
          <w:p w14:paraId="733207E5" w14:textId="77777777" w:rsidR="006F0E54" w:rsidRPr="0007451A" w:rsidRDefault="006F0E54" w:rsidP="009D57AD">
            <w:pPr>
              <w:spacing w:after="120" w:line="336" w:lineRule="auto"/>
              <w:jc w:val="both"/>
              <w:rPr>
                <w:rFonts w:asciiTheme="minorBidi" w:hAnsiTheme="minorBidi" w:cstheme="minorBidi"/>
                <w:b/>
                <w:sz w:val="21"/>
                <w:szCs w:val="21"/>
                <w:lang w:eastAsia="en-GB"/>
              </w:rPr>
            </w:pPr>
          </w:p>
        </w:tc>
        <w:tc>
          <w:tcPr>
            <w:tcW w:w="4863" w:type="dxa"/>
          </w:tcPr>
          <w:p w14:paraId="6165E216" w14:textId="77777777" w:rsidR="006F0E54" w:rsidRPr="0007451A" w:rsidRDefault="006F0E54" w:rsidP="009D57AD">
            <w:pPr>
              <w:spacing w:after="120" w:line="336" w:lineRule="auto"/>
              <w:jc w:val="both"/>
              <w:rPr>
                <w:rFonts w:asciiTheme="minorBidi" w:hAnsiTheme="minorBidi" w:cstheme="minorBidi"/>
                <w:sz w:val="21"/>
                <w:szCs w:val="21"/>
                <w:lang w:eastAsia="en-GB"/>
              </w:rPr>
            </w:pPr>
            <m:oMathPara>
              <m:oMath>
                <m:r>
                  <m:rPr>
                    <m:sty m:val="p"/>
                  </m:rPr>
                  <w:rPr>
                    <w:rFonts w:ascii="Cambria Math" w:hAnsi="Cambria Math" w:cstheme="minorBidi"/>
                    <w:sz w:val="21"/>
                    <w:szCs w:val="21"/>
                    <w:lang w:eastAsia="en-GB"/>
                  </w:rPr>
                  <m:t>SpI</m:t>
                </m:r>
                <m:r>
                  <w:rPr>
                    <w:rFonts w:ascii="Cambria Math" w:hAnsi="Cambria Math" w:cstheme="minorBidi"/>
                    <w:sz w:val="21"/>
                    <w:szCs w:val="21"/>
                    <w:lang w:eastAsia="en-GB"/>
                  </w:rPr>
                  <m:t xml:space="preserve">= </m:t>
                </m:r>
                <m:f>
                  <m:fPr>
                    <m:ctrlPr>
                      <w:rPr>
                        <w:rFonts w:ascii="Cambria Math" w:hAnsi="Cambria Math" w:cstheme="minorBidi"/>
                        <w:sz w:val="21"/>
                        <w:szCs w:val="21"/>
                        <w:lang w:eastAsia="en-GB"/>
                      </w:rPr>
                    </m:ctrlPr>
                  </m:fPr>
                  <m:num>
                    <m:nary>
                      <m:naryPr>
                        <m:chr m:val="∑"/>
                        <m:ctrlPr>
                          <w:rPr>
                            <w:rFonts w:ascii="Cambria Math" w:hAnsi="Cambria Math" w:cstheme="minorBidi"/>
                            <w:sz w:val="21"/>
                            <w:szCs w:val="21"/>
                            <w:lang w:eastAsia="en-GB"/>
                          </w:rPr>
                        </m:ctrlPr>
                      </m:naryPr>
                      <m:sub>
                        <m:r>
                          <w:rPr>
                            <w:rFonts w:ascii="Cambria Math" w:hAnsi="Cambria Math" w:cstheme="minorBidi"/>
                            <w:sz w:val="21"/>
                            <w:szCs w:val="21"/>
                            <w:lang w:eastAsia="en-GB"/>
                          </w:rPr>
                          <m:t>i=0</m:t>
                        </m:r>
                      </m:sub>
                      <m:sup>
                        <m:r>
                          <w:rPr>
                            <w:rFonts w:ascii="Cambria Math" w:hAnsi="Cambria Math" w:cstheme="minorBidi"/>
                            <w:sz w:val="21"/>
                            <w:szCs w:val="21"/>
                            <w:lang w:eastAsia="en-GB"/>
                          </w:rPr>
                          <m:t>n</m:t>
                        </m:r>
                      </m:sup>
                      <m:e>
                        <m:r>
                          <w:rPr>
                            <w:rFonts w:ascii="Cambria Math" w:hAnsi="Cambria Math" w:cstheme="minorBidi"/>
                            <w:sz w:val="21"/>
                            <w:szCs w:val="21"/>
                            <w:lang w:eastAsia="en-GB"/>
                          </w:rPr>
                          <m:t>(</m:t>
                        </m:r>
                        <m:d>
                          <m:dPr>
                            <m:ctrlPr>
                              <w:rPr>
                                <w:rFonts w:ascii="Cambria Math" w:hAnsi="Cambria Math" w:cstheme="minorBidi"/>
                                <w:sz w:val="21"/>
                                <w:szCs w:val="21"/>
                                <w:lang w:eastAsia="en-GB"/>
                              </w:rPr>
                            </m:ctrlPr>
                          </m:dPr>
                          <m:e>
                            <m:sSub>
                              <m:sSubPr>
                                <m:ctrlPr>
                                  <w:rPr>
                                    <w:rFonts w:ascii="Cambria Math" w:hAnsi="Cambria Math" w:cstheme="minorBidi"/>
                                    <w:sz w:val="21"/>
                                    <w:szCs w:val="21"/>
                                    <w:lang w:eastAsia="en-GB"/>
                                  </w:rPr>
                                </m:ctrlPr>
                              </m:sSubPr>
                              <m:e>
                                <m:r>
                                  <w:rPr>
                                    <w:rFonts w:ascii="Cambria Math" w:hAnsi="Cambria Math" w:cstheme="minorBidi"/>
                                    <w:sz w:val="21"/>
                                    <w:szCs w:val="21"/>
                                    <w:lang w:eastAsia="en-GB"/>
                                  </w:rPr>
                                  <m:t>CC</m:t>
                                </m:r>
                              </m:e>
                              <m:sub>
                                <m:r>
                                  <w:rPr>
                                    <w:rFonts w:ascii="Cambria Math" w:hAnsi="Cambria Math" w:cstheme="minorBidi"/>
                                    <w:sz w:val="21"/>
                                    <w:szCs w:val="21"/>
                                    <w:lang w:eastAsia="en-GB"/>
                                  </w:rPr>
                                  <m:t>s,i</m:t>
                                </m:r>
                              </m:sub>
                            </m:sSub>
                            <m:r>
                              <w:rPr>
                                <w:rFonts w:ascii="Cambria Math" w:hAnsi="Cambria Math" w:cstheme="minorBidi"/>
                                <w:sz w:val="21"/>
                                <w:szCs w:val="21"/>
                                <w:lang w:eastAsia="en-GB"/>
                              </w:rPr>
                              <m:t xml:space="preserve">- </m:t>
                            </m:r>
                            <m:bar>
                              <m:barPr>
                                <m:pos m:val="top"/>
                                <m:ctrlPr>
                                  <w:rPr>
                                    <w:rFonts w:ascii="Cambria Math" w:hAnsi="Cambria Math" w:cstheme="minorBidi"/>
                                    <w:sz w:val="21"/>
                                    <w:szCs w:val="21"/>
                                    <w:lang w:eastAsia="en-GB"/>
                                  </w:rPr>
                                </m:ctrlPr>
                              </m:barPr>
                              <m:e>
                                <m:sSub>
                                  <m:sSubPr>
                                    <m:ctrlPr>
                                      <w:rPr>
                                        <w:rFonts w:ascii="Cambria Math" w:hAnsi="Cambria Math" w:cstheme="minorBidi"/>
                                        <w:i/>
                                        <w:sz w:val="21"/>
                                        <w:szCs w:val="21"/>
                                        <w:lang w:eastAsia="en-GB"/>
                                      </w:rPr>
                                    </m:ctrlPr>
                                  </m:sSubPr>
                                  <m:e>
                                    <m:r>
                                      <w:rPr>
                                        <w:rFonts w:ascii="Cambria Math" w:hAnsi="Cambria Math" w:cstheme="minorBidi"/>
                                        <w:sz w:val="21"/>
                                        <w:szCs w:val="21"/>
                                        <w:lang w:eastAsia="en-GB"/>
                                      </w:rPr>
                                      <m:t>CC</m:t>
                                    </m:r>
                                  </m:e>
                                  <m:sub>
                                    <m:r>
                                      <w:rPr>
                                        <w:rFonts w:ascii="Cambria Math" w:hAnsi="Cambria Math" w:cstheme="minorBidi"/>
                                        <w:sz w:val="21"/>
                                        <w:szCs w:val="21"/>
                                        <w:lang w:eastAsia="en-GB"/>
                                      </w:rPr>
                                      <m:t>s</m:t>
                                    </m:r>
                                  </m:sub>
                                </m:sSub>
                              </m:e>
                            </m:bar>
                          </m:e>
                        </m:d>
                        <m:d>
                          <m:dPr>
                            <m:ctrlPr>
                              <w:rPr>
                                <w:rFonts w:ascii="Cambria Math" w:hAnsi="Cambria Math" w:cstheme="minorBidi"/>
                                <w:sz w:val="21"/>
                                <w:szCs w:val="21"/>
                                <w:lang w:eastAsia="en-GB"/>
                              </w:rPr>
                            </m:ctrlPr>
                          </m:dPr>
                          <m:e>
                            <m:sSub>
                              <m:sSubPr>
                                <m:ctrlPr>
                                  <w:rPr>
                                    <w:rFonts w:ascii="Cambria Math" w:hAnsi="Cambria Math" w:cstheme="minorBidi"/>
                                    <w:sz w:val="21"/>
                                    <w:szCs w:val="21"/>
                                    <w:lang w:eastAsia="en-GB"/>
                                  </w:rPr>
                                </m:ctrlPr>
                              </m:sSubPr>
                              <m:e>
                                <m:r>
                                  <w:rPr>
                                    <w:rFonts w:ascii="Cambria Math" w:hAnsi="Cambria Math" w:cstheme="minorBidi"/>
                                    <w:sz w:val="21"/>
                                    <w:szCs w:val="21"/>
                                    <w:lang w:eastAsia="en-GB"/>
                                  </w:rPr>
                                  <m:t>CC</m:t>
                                </m:r>
                              </m:e>
                              <m:sub>
                                <m:r>
                                  <w:rPr>
                                    <w:rFonts w:ascii="Cambria Math" w:hAnsi="Cambria Math" w:cstheme="minorBidi"/>
                                    <w:sz w:val="21"/>
                                    <w:szCs w:val="21"/>
                                    <w:lang w:eastAsia="en-GB"/>
                                  </w:rPr>
                                  <m:t>d,i</m:t>
                                </m:r>
                              </m:sub>
                            </m:sSub>
                            <m:r>
                              <w:rPr>
                                <w:rFonts w:ascii="Cambria Math" w:hAnsi="Cambria Math" w:cstheme="minorBidi"/>
                                <w:sz w:val="21"/>
                                <w:szCs w:val="21"/>
                                <w:lang w:eastAsia="en-GB"/>
                              </w:rPr>
                              <m:t xml:space="preserve">- </m:t>
                            </m:r>
                            <m:bar>
                              <m:barPr>
                                <m:pos m:val="top"/>
                                <m:ctrlPr>
                                  <w:rPr>
                                    <w:rFonts w:ascii="Cambria Math" w:hAnsi="Cambria Math" w:cstheme="minorBidi"/>
                                    <w:sz w:val="21"/>
                                    <w:szCs w:val="21"/>
                                    <w:lang w:eastAsia="en-GB"/>
                                  </w:rPr>
                                </m:ctrlPr>
                              </m:barPr>
                              <m:e>
                                <m:sSub>
                                  <m:sSubPr>
                                    <m:ctrlPr>
                                      <w:rPr>
                                        <w:rFonts w:ascii="Cambria Math" w:hAnsi="Cambria Math" w:cstheme="minorBidi"/>
                                        <w:i/>
                                        <w:sz w:val="21"/>
                                        <w:szCs w:val="21"/>
                                        <w:lang w:eastAsia="en-GB"/>
                                      </w:rPr>
                                    </m:ctrlPr>
                                  </m:sSubPr>
                                  <m:e>
                                    <m:r>
                                      <w:rPr>
                                        <w:rFonts w:ascii="Cambria Math" w:hAnsi="Cambria Math" w:cstheme="minorBidi"/>
                                        <w:sz w:val="21"/>
                                        <w:szCs w:val="21"/>
                                        <w:lang w:eastAsia="en-GB"/>
                                      </w:rPr>
                                      <m:t>CC</m:t>
                                    </m:r>
                                  </m:e>
                                  <m:sub>
                                    <m:r>
                                      <w:rPr>
                                        <w:rFonts w:ascii="Cambria Math" w:hAnsi="Cambria Math" w:cstheme="minorBidi"/>
                                        <w:sz w:val="21"/>
                                        <w:szCs w:val="21"/>
                                        <w:lang w:eastAsia="en-GB"/>
                                      </w:rPr>
                                      <m:t>d</m:t>
                                    </m:r>
                                  </m:sub>
                                </m:sSub>
                              </m:e>
                            </m:bar>
                          </m:e>
                        </m:d>
                        <m:r>
                          <w:rPr>
                            <w:rFonts w:ascii="Cambria Math" w:hAnsi="Cambria Math" w:cstheme="minorBidi"/>
                            <w:sz w:val="21"/>
                            <w:szCs w:val="21"/>
                            <w:lang w:eastAsia="en-GB"/>
                          </w:rPr>
                          <m:t>)</m:t>
                        </m:r>
                      </m:e>
                    </m:nary>
                  </m:num>
                  <m:den>
                    <m:rad>
                      <m:radPr>
                        <m:degHide m:val="1"/>
                        <m:ctrlPr>
                          <w:rPr>
                            <w:rFonts w:ascii="Cambria Math" w:hAnsi="Cambria Math" w:cstheme="minorBidi"/>
                            <w:sz w:val="21"/>
                            <w:szCs w:val="21"/>
                            <w:lang w:eastAsia="en-GB"/>
                          </w:rPr>
                        </m:ctrlPr>
                      </m:radPr>
                      <m:deg/>
                      <m:e>
                        <m:nary>
                          <m:naryPr>
                            <m:chr m:val="∑"/>
                            <m:ctrlPr>
                              <w:rPr>
                                <w:rFonts w:ascii="Cambria Math" w:hAnsi="Cambria Math" w:cstheme="minorBidi"/>
                                <w:sz w:val="21"/>
                                <w:szCs w:val="21"/>
                                <w:lang w:eastAsia="en-GB"/>
                              </w:rPr>
                            </m:ctrlPr>
                          </m:naryPr>
                          <m:sub>
                            <m:r>
                              <w:rPr>
                                <w:rFonts w:ascii="Cambria Math" w:hAnsi="Cambria Math" w:cstheme="minorBidi"/>
                                <w:sz w:val="21"/>
                                <w:szCs w:val="21"/>
                                <w:lang w:eastAsia="en-GB"/>
                              </w:rPr>
                              <m:t>i=1</m:t>
                            </m:r>
                          </m:sub>
                          <m:sup>
                            <m:r>
                              <w:rPr>
                                <w:rFonts w:ascii="Cambria Math" w:hAnsi="Cambria Math" w:cstheme="minorBidi"/>
                                <w:sz w:val="21"/>
                                <w:szCs w:val="21"/>
                                <w:lang w:eastAsia="en-GB"/>
                              </w:rPr>
                              <m:t>n</m:t>
                            </m:r>
                          </m:sup>
                          <m:e>
                            <m:sSup>
                              <m:sSupPr>
                                <m:ctrlPr>
                                  <w:rPr>
                                    <w:rFonts w:ascii="Cambria Math" w:hAnsi="Cambria Math" w:cstheme="minorBidi"/>
                                    <w:sz w:val="21"/>
                                    <w:szCs w:val="21"/>
                                    <w:lang w:eastAsia="en-GB"/>
                                  </w:rPr>
                                </m:ctrlPr>
                              </m:sSupPr>
                              <m:e>
                                <m:r>
                                  <w:rPr>
                                    <w:rFonts w:ascii="Cambria Math" w:hAnsi="Cambria Math" w:cstheme="minorBidi"/>
                                    <w:sz w:val="21"/>
                                    <w:szCs w:val="21"/>
                                    <w:lang w:eastAsia="en-GB"/>
                                  </w:rPr>
                                  <m:t>(</m:t>
                                </m:r>
                                <m:sSub>
                                  <m:sSubPr>
                                    <m:ctrlPr>
                                      <w:rPr>
                                        <w:rFonts w:ascii="Cambria Math" w:hAnsi="Cambria Math" w:cstheme="minorBidi"/>
                                        <w:sz w:val="21"/>
                                        <w:szCs w:val="21"/>
                                        <w:lang w:eastAsia="en-GB"/>
                                      </w:rPr>
                                    </m:ctrlPr>
                                  </m:sSubPr>
                                  <m:e>
                                    <m:r>
                                      <w:rPr>
                                        <w:rFonts w:ascii="Cambria Math" w:hAnsi="Cambria Math" w:cstheme="minorBidi"/>
                                        <w:sz w:val="21"/>
                                        <w:szCs w:val="21"/>
                                        <w:lang w:eastAsia="en-GB"/>
                                      </w:rPr>
                                      <m:t>CC</m:t>
                                    </m:r>
                                  </m:e>
                                  <m:sub>
                                    <m:r>
                                      <w:rPr>
                                        <w:rFonts w:ascii="Cambria Math" w:hAnsi="Cambria Math" w:cstheme="minorBidi"/>
                                        <w:sz w:val="21"/>
                                        <w:szCs w:val="21"/>
                                        <w:lang w:eastAsia="en-GB"/>
                                      </w:rPr>
                                      <m:t>s,i</m:t>
                                    </m:r>
                                  </m:sub>
                                </m:sSub>
                                <m:r>
                                  <w:rPr>
                                    <w:rFonts w:ascii="Cambria Math" w:hAnsi="Cambria Math" w:cstheme="minorBidi"/>
                                    <w:sz w:val="21"/>
                                    <w:szCs w:val="21"/>
                                    <w:lang w:eastAsia="en-GB"/>
                                  </w:rPr>
                                  <m:t>-</m:t>
                                </m:r>
                                <m:bar>
                                  <m:barPr>
                                    <m:pos m:val="top"/>
                                    <m:ctrlPr>
                                      <w:rPr>
                                        <w:rFonts w:ascii="Cambria Math" w:hAnsi="Cambria Math" w:cstheme="minorBidi"/>
                                        <w:sz w:val="21"/>
                                        <w:szCs w:val="21"/>
                                        <w:lang w:eastAsia="en-GB"/>
                                      </w:rPr>
                                    </m:ctrlPr>
                                  </m:barPr>
                                  <m:e>
                                    <m:sSub>
                                      <m:sSubPr>
                                        <m:ctrlPr>
                                          <w:rPr>
                                            <w:rFonts w:ascii="Cambria Math" w:hAnsi="Cambria Math" w:cstheme="minorBidi"/>
                                            <w:i/>
                                            <w:sz w:val="21"/>
                                            <w:szCs w:val="21"/>
                                            <w:lang w:eastAsia="en-GB"/>
                                          </w:rPr>
                                        </m:ctrlPr>
                                      </m:sSubPr>
                                      <m:e>
                                        <m:r>
                                          <w:rPr>
                                            <w:rFonts w:ascii="Cambria Math" w:hAnsi="Cambria Math" w:cstheme="minorBidi"/>
                                            <w:sz w:val="21"/>
                                            <w:szCs w:val="21"/>
                                            <w:lang w:eastAsia="en-GB"/>
                                          </w:rPr>
                                          <m:t>CC</m:t>
                                        </m:r>
                                      </m:e>
                                      <m:sub>
                                        <m:r>
                                          <w:rPr>
                                            <w:rFonts w:ascii="Cambria Math" w:hAnsi="Cambria Math" w:cstheme="minorBidi"/>
                                            <w:sz w:val="21"/>
                                            <w:szCs w:val="21"/>
                                            <w:lang w:eastAsia="en-GB"/>
                                          </w:rPr>
                                          <m:t>s</m:t>
                                        </m:r>
                                      </m:sub>
                                    </m:sSub>
                                  </m:e>
                                </m:bar>
                                <m:r>
                                  <w:rPr>
                                    <w:rFonts w:ascii="Cambria Math" w:hAnsi="Cambria Math" w:cstheme="minorBidi"/>
                                    <w:sz w:val="21"/>
                                    <w:szCs w:val="21"/>
                                    <w:lang w:eastAsia="en-GB"/>
                                  </w:rPr>
                                  <m:t>)</m:t>
                                </m:r>
                              </m:e>
                              <m:sup>
                                <m:r>
                                  <w:rPr>
                                    <w:rFonts w:ascii="Cambria Math" w:hAnsi="Cambria Math" w:cstheme="minorBidi"/>
                                    <w:sz w:val="21"/>
                                    <w:szCs w:val="21"/>
                                    <w:lang w:eastAsia="en-GB"/>
                                  </w:rPr>
                                  <m:t>2</m:t>
                                </m:r>
                              </m:sup>
                            </m:sSup>
                          </m:e>
                        </m:nary>
                        <m:nary>
                          <m:naryPr>
                            <m:chr m:val="∑"/>
                            <m:ctrlPr>
                              <w:rPr>
                                <w:rFonts w:ascii="Cambria Math" w:hAnsi="Cambria Math" w:cstheme="minorBidi"/>
                                <w:sz w:val="21"/>
                                <w:szCs w:val="21"/>
                                <w:lang w:eastAsia="en-GB"/>
                              </w:rPr>
                            </m:ctrlPr>
                          </m:naryPr>
                          <m:sub>
                            <m:r>
                              <w:rPr>
                                <w:rFonts w:ascii="Cambria Math" w:hAnsi="Cambria Math" w:cstheme="minorBidi"/>
                                <w:sz w:val="21"/>
                                <w:szCs w:val="21"/>
                                <w:lang w:eastAsia="en-GB"/>
                              </w:rPr>
                              <m:t>i=1</m:t>
                            </m:r>
                          </m:sub>
                          <m:sup>
                            <m:r>
                              <w:rPr>
                                <w:rFonts w:ascii="Cambria Math" w:hAnsi="Cambria Math" w:cstheme="minorBidi"/>
                                <w:sz w:val="21"/>
                                <w:szCs w:val="21"/>
                                <w:lang w:eastAsia="en-GB"/>
                              </w:rPr>
                              <m:t>n</m:t>
                            </m:r>
                          </m:sup>
                          <m:e>
                            <m:sSup>
                              <m:sSupPr>
                                <m:ctrlPr>
                                  <w:rPr>
                                    <w:rFonts w:ascii="Cambria Math" w:hAnsi="Cambria Math" w:cstheme="minorBidi"/>
                                    <w:sz w:val="21"/>
                                    <w:szCs w:val="21"/>
                                    <w:lang w:eastAsia="en-GB"/>
                                  </w:rPr>
                                </m:ctrlPr>
                              </m:sSupPr>
                              <m:e>
                                <m:r>
                                  <w:rPr>
                                    <w:rFonts w:ascii="Cambria Math" w:hAnsi="Cambria Math" w:cstheme="minorBidi"/>
                                    <w:sz w:val="21"/>
                                    <w:szCs w:val="21"/>
                                    <w:lang w:eastAsia="en-GB"/>
                                  </w:rPr>
                                  <m:t>(</m:t>
                                </m:r>
                                <m:sSub>
                                  <m:sSubPr>
                                    <m:ctrlPr>
                                      <w:rPr>
                                        <w:rFonts w:ascii="Cambria Math" w:hAnsi="Cambria Math" w:cstheme="minorBidi"/>
                                        <w:sz w:val="21"/>
                                        <w:szCs w:val="21"/>
                                        <w:lang w:eastAsia="en-GB"/>
                                      </w:rPr>
                                    </m:ctrlPr>
                                  </m:sSubPr>
                                  <m:e>
                                    <m:r>
                                      <w:rPr>
                                        <w:rFonts w:ascii="Cambria Math" w:hAnsi="Cambria Math" w:cstheme="minorBidi"/>
                                        <w:sz w:val="21"/>
                                        <w:szCs w:val="21"/>
                                        <w:lang w:eastAsia="en-GB"/>
                                      </w:rPr>
                                      <m:t>CC</m:t>
                                    </m:r>
                                  </m:e>
                                  <m:sub>
                                    <m:r>
                                      <w:rPr>
                                        <w:rFonts w:ascii="Cambria Math" w:hAnsi="Cambria Math" w:cstheme="minorBidi"/>
                                        <w:sz w:val="21"/>
                                        <w:szCs w:val="21"/>
                                        <w:lang w:eastAsia="en-GB"/>
                                      </w:rPr>
                                      <m:t>d,i</m:t>
                                    </m:r>
                                  </m:sub>
                                </m:sSub>
                                <m:r>
                                  <w:rPr>
                                    <w:rFonts w:ascii="Cambria Math" w:hAnsi="Cambria Math" w:cstheme="minorBidi"/>
                                    <w:sz w:val="21"/>
                                    <w:szCs w:val="21"/>
                                    <w:lang w:eastAsia="en-GB"/>
                                  </w:rPr>
                                  <m:t xml:space="preserve">- </m:t>
                                </m:r>
                                <m:bar>
                                  <m:barPr>
                                    <m:pos m:val="top"/>
                                    <m:ctrlPr>
                                      <w:rPr>
                                        <w:rFonts w:ascii="Cambria Math" w:hAnsi="Cambria Math" w:cstheme="minorBidi"/>
                                        <w:sz w:val="21"/>
                                        <w:szCs w:val="21"/>
                                        <w:lang w:eastAsia="en-GB"/>
                                      </w:rPr>
                                    </m:ctrlPr>
                                  </m:barPr>
                                  <m:e>
                                    <m:sSub>
                                      <m:sSubPr>
                                        <m:ctrlPr>
                                          <w:rPr>
                                            <w:rFonts w:ascii="Cambria Math" w:hAnsi="Cambria Math" w:cstheme="minorBidi"/>
                                            <w:i/>
                                            <w:sz w:val="21"/>
                                            <w:szCs w:val="21"/>
                                            <w:lang w:eastAsia="en-GB"/>
                                          </w:rPr>
                                        </m:ctrlPr>
                                      </m:sSubPr>
                                      <m:e>
                                        <m:r>
                                          <w:rPr>
                                            <w:rFonts w:ascii="Cambria Math" w:hAnsi="Cambria Math" w:cstheme="minorBidi"/>
                                            <w:sz w:val="21"/>
                                            <w:szCs w:val="21"/>
                                            <w:lang w:eastAsia="en-GB"/>
                                          </w:rPr>
                                          <m:t>CC</m:t>
                                        </m:r>
                                      </m:e>
                                      <m:sub>
                                        <m:r>
                                          <w:rPr>
                                            <w:rFonts w:ascii="Cambria Math" w:hAnsi="Cambria Math" w:cstheme="minorBidi"/>
                                            <w:sz w:val="21"/>
                                            <w:szCs w:val="21"/>
                                            <w:lang w:eastAsia="en-GB"/>
                                          </w:rPr>
                                          <m:t>d</m:t>
                                        </m:r>
                                      </m:sub>
                                    </m:sSub>
                                  </m:e>
                                </m:bar>
                                <m:r>
                                  <w:rPr>
                                    <w:rFonts w:ascii="Cambria Math" w:hAnsi="Cambria Math" w:cstheme="minorBidi"/>
                                    <w:sz w:val="21"/>
                                    <w:szCs w:val="21"/>
                                    <w:lang w:eastAsia="en-GB"/>
                                  </w:rPr>
                                  <m:t>)</m:t>
                                </m:r>
                              </m:e>
                              <m:sup>
                                <m:r>
                                  <w:rPr>
                                    <w:rFonts w:ascii="Cambria Math" w:hAnsi="Cambria Math" w:cstheme="minorBidi"/>
                                    <w:sz w:val="21"/>
                                    <w:szCs w:val="21"/>
                                    <w:lang w:eastAsia="en-GB"/>
                                  </w:rPr>
                                  <m:t>2</m:t>
                                </m:r>
                              </m:sup>
                            </m:sSup>
                          </m:e>
                        </m:nary>
                      </m:e>
                    </m:rad>
                  </m:den>
                </m:f>
              </m:oMath>
            </m:oMathPara>
          </w:p>
        </w:tc>
        <w:tc>
          <w:tcPr>
            <w:tcW w:w="2451" w:type="dxa"/>
            <w:vAlign w:val="center"/>
          </w:tcPr>
          <w:p w14:paraId="1C9F569D" w14:textId="77777777" w:rsidR="006F0E54" w:rsidRPr="0007451A" w:rsidRDefault="006F0E54" w:rsidP="009D57AD">
            <w:pPr>
              <w:spacing w:after="120" w:line="336" w:lineRule="auto"/>
              <w:jc w:val="center"/>
              <w:rPr>
                <w:rFonts w:asciiTheme="minorBidi" w:hAnsiTheme="minorBidi" w:cstheme="minorBidi"/>
                <w:bCs/>
                <w:sz w:val="21"/>
                <w:szCs w:val="21"/>
                <w:lang w:eastAsia="en-GB"/>
              </w:rPr>
            </w:pPr>
            <w:r w:rsidRPr="0007451A">
              <w:rPr>
                <w:rFonts w:asciiTheme="minorBidi" w:hAnsiTheme="minorBidi" w:cstheme="minorBidi"/>
                <w:bCs/>
                <w:i/>
                <w:sz w:val="21"/>
                <w:szCs w:val="21"/>
                <w:lang w:eastAsia="en-GB"/>
              </w:rPr>
              <w:t>(4)</w:t>
            </w:r>
          </w:p>
        </w:tc>
      </w:tr>
    </w:tbl>
    <w:p w14:paraId="1D86AAE0"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Where </w:t>
      </w:r>
      <m:oMath>
        <m:r>
          <w:rPr>
            <w:rFonts w:ascii="Cambria Math" w:eastAsia="Arial" w:hAnsi="Cambria Math" w:cstheme="minorBidi"/>
          </w:rPr>
          <m:t>CC</m:t>
        </m:r>
      </m:oMath>
      <w:r w:rsidRPr="0007451A">
        <w:rPr>
          <w:rFonts w:asciiTheme="minorBidi" w:eastAsia="Arial" w:hAnsiTheme="minorBidi" w:cstheme="minorBidi"/>
        </w:rPr>
        <w:t xml:space="preserve"> is the relative percentage of diagnosed disease cases per community, </w:t>
      </w:r>
      <m:oMath>
        <m:r>
          <w:rPr>
            <w:rFonts w:ascii="Cambria Math" w:eastAsia="Arial" w:hAnsi="Cambria Math" w:cstheme="minorBidi"/>
          </w:rPr>
          <m:t>s</m:t>
        </m:r>
      </m:oMath>
      <w:r w:rsidRPr="0007451A">
        <w:rPr>
          <w:rFonts w:asciiTheme="minorBidi" w:eastAsia="Arial" w:hAnsiTheme="minorBidi" w:cstheme="minorBidi"/>
        </w:rPr>
        <w:t xml:space="preserve"> refers to the simulation scenario and </w:t>
      </w:r>
      <m:oMath>
        <m:r>
          <w:rPr>
            <w:rFonts w:ascii="Cambria Math" w:eastAsia="Arial" w:hAnsi="Cambria Math" w:cstheme="minorBidi"/>
          </w:rPr>
          <m:t>d</m:t>
        </m:r>
      </m:oMath>
      <w:r w:rsidRPr="0007451A">
        <w:rPr>
          <w:rFonts w:asciiTheme="minorBidi" w:eastAsia="Arial" w:hAnsiTheme="minorBidi" w:cstheme="minorBidi"/>
        </w:rPr>
        <w:t xml:space="preserve"> to the real diagnosed cases in 2005. The underscore refers to the average values. The index </w:t>
      </w:r>
      <m:oMath>
        <m:r>
          <w:rPr>
            <w:rFonts w:ascii="Cambria Math" w:eastAsia="Arial" w:hAnsi="Cambria Math" w:cstheme="minorBidi"/>
          </w:rPr>
          <m:t>i</m:t>
        </m:r>
      </m:oMath>
      <w:r w:rsidRPr="0007451A">
        <w:rPr>
          <w:rFonts w:asciiTheme="minorBidi" w:eastAsia="Arial" w:hAnsiTheme="minorBidi" w:cstheme="minorBidi"/>
        </w:rPr>
        <w:t xml:space="preserve"> refers to a community </w:t>
      </w:r>
      <m:oMath>
        <m:r>
          <w:rPr>
            <w:rFonts w:ascii="Cambria Math" w:eastAsia="Arial" w:hAnsi="Cambria Math" w:cstheme="minorBidi"/>
          </w:rPr>
          <m:t>i</m:t>
        </m:r>
      </m:oMath>
      <w:r w:rsidRPr="0007451A">
        <w:rPr>
          <w:rFonts w:asciiTheme="minorBidi" w:eastAsia="Arial" w:hAnsiTheme="minorBidi" w:cstheme="minorBidi"/>
        </w:rPr>
        <w:t xml:space="preserve"> and </w:t>
      </w:r>
      <m:oMath>
        <m:r>
          <w:rPr>
            <w:rFonts w:ascii="Cambria Math" w:eastAsia="Arial" w:hAnsi="Cambria Math" w:cstheme="minorBidi"/>
          </w:rPr>
          <m:t>n</m:t>
        </m:r>
      </m:oMath>
      <w:r w:rsidRPr="0007451A">
        <w:rPr>
          <w:rFonts w:asciiTheme="minorBidi" w:eastAsia="Arial" w:hAnsiTheme="minorBidi" w:cstheme="minorBidi"/>
        </w:rPr>
        <w:t xml:space="preserve"> is the total number of infected across all communities. In addition, we will show maps, in which we present the spatial distribution of the coping appraisal decisions type per community per model.</w:t>
      </w:r>
    </w:p>
    <w:p w14:paraId="52562067" w14:textId="77777777" w:rsidR="006F0E54" w:rsidRPr="0007451A" w:rsidRDefault="006F0E54" w:rsidP="006F0E54">
      <w:pPr>
        <w:pStyle w:val="Heading3"/>
        <w:rPr>
          <w:lang w:eastAsia="en-GB"/>
        </w:rPr>
      </w:pPr>
      <w:r w:rsidRPr="0007451A">
        <w:rPr>
          <w:lang w:eastAsia="en-GB"/>
        </w:rPr>
        <w:t>Stochasticity</w:t>
      </w:r>
    </w:p>
    <w:p w14:paraId="4D25DEC4"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This model contains different sources of stochasticity both in the generation of the synthetic population and in the model itself. Within the model there are two sources of stochasticity that require mentioning: the contacts of agents with neighbors are randomly generated and the time of fetching water (in relation to rain) is selected randomly every day. Every day, the time to fetch water is changed to a random value between (6 am to 10 pm)</w:t>
      </w:r>
      <w:r>
        <w:rPr>
          <w:rFonts w:asciiTheme="minorBidi" w:eastAsia="Arial" w:hAnsiTheme="minorBidi" w:cstheme="minorBidi"/>
        </w:rPr>
        <w:t>,</w:t>
      </w:r>
      <w:r w:rsidRPr="0007451A">
        <w:rPr>
          <w:rFonts w:asciiTheme="minorBidi" w:eastAsia="Arial" w:hAnsiTheme="minorBidi" w:cstheme="minorBidi"/>
        </w:rPr>
        <w:t xml:space="preserve"> and it should be after the rain stopped. Also, the time of rain differs from day to day. It can be any random time between 0 – 23 hours</w:t>
      </w:r>
      <w:r>
        <w:rPr>
          <w:rFonts w:asciiTheme="minorBidi" w:eastAsia="Arial" w:hAnsiTheme="minorBidi" w:cstheme="minorBidi"/>
        </w:rPr>
        <w:t>.</w:t>
      </w:r>
      <w:r w:rsidRPr="0007451A">
        <w:rPr>
          <w:rFonts w:asciiTheme="minorBidi" w:eastAsia="Arial" w:hAnsiTheme="minorBidi" w:cstheme="minorBidi"/>
        </w:rPr>
        <w:t xml:space="preserve"> All individual agents are assumed to use the water collected by the household and at the start of the simulation all individuals are susceptible to cholera.</w:t>
      </w:r>
    </w:p>
    <w:p w14:paraId="40DFECC1" w14:textId="4FABAB69" w:rsidR="006F0E54" w:rsidRDefault="00DA6C3F" w:rsidP="006F0E54">
      <w:pPr>
        <w:pBdr>
          <w:top w:val="nil"/>
          <w:left w:val="nil"/>
          <w:bottom w:val="nil"/>
          <w:right w:val="nil"/>
          <w:between w:val="nil"/>
        </w:pBdr>
        <w:spacing w:after="120" w:line="480" w:lineRule="auto"/>
        <w:jc w:val="both"/>
        <w:rPr>
          <w:rFonts w:asciiTheme="minorBidi" w:eastAsia="Arial" w:hAnsiTheme="minorBidi" w:cstheme="minorBidi"/>
        </w:rPr>
      </w:pPr>
      <w:r>
        <w:rPr>
          <w:rFonts w:asciiTheme="minorBidi" w:eastAsia="Arial" w:hAnsiTheme="minorBidi" w:cstheme="minorBidi"/>
        </w:rPr>
        <w:lastRenderedPageBreak/>
        <w:t>S1</w:t>
      </w:r>
      <w:r w:rsidR="001E4A85">
        <w:rPr>
          <w:rFonts w:asciiTheme="minorBidi" w:eastAsia="Arial" w:hAnsiTheme="minorBidi" w:cstheme="minorBidi"/>
        </w:rPr>
        <w:t xml:space="preserve"> </w:t>
      </w:r>
      <w:r w:rsidR="006F0E54" w:rsidRPr="0007451A">
        <w:rPr>
          <w:rFonts w:asciiTheme="minorBidi" w:eastAsia="Arial" w:hAnsiTheme="minorBidi" w:cstheme="minorBidi"/>
        </w:rPr>
        <w:t>Fig</w:t>
      </w:r>
      <w:r w:rsidR="001E4A85">
        <w:rPr>
          <w:rFonts w:asciiTheme="minorBidi" w:eastAsia="Arial" w:hAnsiTheme="minorBidi" w:cstheme="minorBidi"/>
        </w:rPr>
        <w:t xml:space="preserve"> </w:t>
      </w:r>
      <w:r w:rsidR="006F0E54" w:rsidRPr="0007451A">
        <w:rPr>
          <w:rFonts w:asciiTheme="minorBidi" w:eastAsia="Arial" w:hAnsiTheme="minorBidi" w:cstheme="minorBidi"/>
        </w:rPr>
        <w:t>6 shows the stability of running CABM 100 times. We evaluated how the average number of infected cases on the epidemic peak day changes by increasing the number of random seeds run.</w:t>
      </w:r>
    </w:p>
    <w:p w14:paraId="07DBBB35" w14:textId="6ACC07A8" w:rsidR="00CA089A" w:rsidRPr="0007451A" w:rsidRDefault="00CA089A" w:rsidP="00CA089A">
      <w:pPr>
        <w:pBdr>
          <w:top w:val="nil"/>
          <w:left w:val="nil"/>
          <w:bottom w:val="nil"/>
          <w:right w:val="nil"/>
          <w:between w:val="nil"/>
        </w:pBdr>
        <w:spacing w:after="120" w:line="480" w:lineRule="auto"/>
        <w:jc w:val="center"/>
        <w:rPr>
          <w:rFonts w:asciiTheme="minorBidi" w:eastAsia="Arial" w:hAnsiTheme="minorBidi" w:cstheme="minorBidi"/>
        </w:rPr>
      </w:pPr>
      <w:r>
        <w:rPr>
          <w:rFonts w:asciiTheme="minorBidi" w:eastAsia="Arial" w:hAnsiTheme="minorBidi" w:cstheme="minorBidi"/>
          <w:noProof/>
        </w:rPr>
        <w:drawing>
          <wp:inline distT="0" distB="0" distL="0" distR="0" wp14:anchorId="304EA55A" wp14:editId="7F312AF8">
            <wp:extent cx="5727700" cy="2711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1 Appendix A Fig 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2711450"/>
                    </a:xfrm>
                    <a:prstGeom prst="rect">
                      <a:avLst/>
                    </a:prstGeom>
                  </pic:spPr>
                </pic:pic>
              </a:graphicData>
            </a:graphic>
          </wp:inline>
        </w:drawing>
      </w:r>
    </w:p>
    <w:p w14:paraId="698A8300" w14:textId="74880433" w:rsidR="006F0E54" w:rsidRPr="00CA089A" w:rsidRDefault="00DA6C3F" w:rsidP="006F0E54">
      <w:pPr>
        <w:pStyle w:val="Caption"/>
        <w:spacing w:after="240"/>
        <w:jc w:val="center"/>
        <w:rPr>
          <w:b/>
          <w:bCs/>
          <w:i w:val="0"/>
          <w:iCs w:val="0"/>
          <w:szCs w:val="20"/>
        </w:rPr>
      </w:pPr>
      <w:r w:rsidRPr="00CA089A">
        <w:rPr>
          <w:b/>
          <w:bCs/>
          <w:i w:val="0"/>
          <w:iCs w:val="0"/>
          <w:szCs w:val="20"/>
        </w:rPr>
        <w:t>S1</w:t>
      </w:r>
      <w:r w:rsidR="001E4A85" w:rsidRPr="00CA089A">
        <w:rPr>
          <w:b/>
          <w:bCs/>
          <w:i w:val="0"/>
          <w:iCs w:val="0"/>
          <w:szCs w:val="20"/>
        </w:rPr>
        <w:t xml:space="preserve"> </w:t>
      </w:r>
      <w:r w:rsidR="006F0E54" w:rsidRPr="00CA089A">
        <w:rPr>
          <w:b/>
          <w:bCs/>
          <w:i w:val="0"/>
          <w:iCs w:val="0"/>
          <w:szCs w:val="20"/>
        </w:rPr>
        <w:t>Fig 6: Stability check of running CABM 100 times</w:t>
      </w:r>
    </w:p>
    <w:p w14:paraId="01D07D82" w14:textId="63F11B72"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The dots represent the average across the runs (</w:t>
      </w:r>
      <w:r w:rsidR="00DA6C3F">
        <w:rPr>
          <w:rFonts w:asciiTheme="minorBidi" w:eastAsia="Arial" w:hAnsiTheme="minorBidi" w:cstheme="minorBidi"/>
        </w:rPr>
        <w:t>S1</w:t>
      </w:r>
      <w:r w:rsidR="001E4A85">
        <w:rPr>
          <w:rFonts w:asciiTheme="minorBidi" w:eastAsia="Arial" w:hAnsiTheme="minorBidi" w:cstheme="minorBidi"/>
        </w:rPr>
        <w:t xml:space="preserve"> </w:t>
      </w:r>
      <w:r w:rsidRPr="0007451A">
        <w:rPr>
          <w:rFonts w:asciiTheme="minorBidi" w:eastAsia="Arial" w:hAnsiTheme="minorBidi" w:cstheme="minorBidi"/>
        </w:rPr>
        <w:t>Fig 6). The value of the epidemic peak stabilizes after about 53 runs. This confirms that the results averaged across 100 runs are very stable.</w:t>
      </w:r>
    </w:p>
    <w:p w14:paraId="366B83EC" w14:textId="77777777" w:rsidR="006F0E54" w:rsidRPr="0007451A" w:rsidRDefault="006F0E54" w:rsidP="006F0E54">
      <w:pPr>
        <w:pStyle w:val="Heading3"/>
        <w:rPr>
          <w:lang w:eastAsia="en-GB"/>
        </w:rPr>
      </w:pPr>
      <w:r w:rsidRPr="0007451A">
        <w:rPr>
          <w:lang w:eastAsia="en-GB"/>
        </w:rPr>
        <w:t>Observation</w:t>
      </w:r>
    </w:p>
    <w:p w14:paraId="55B0C835"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Pr>
          <w:rFonts w:asciiTheme="minorBidi" w:eastAsia="Arial" w:hAnsiTheme="minorBidi" w:cstheme="minorBidi"/>
        </w:rPr>
        <w:t>T</w:t>
      </w:r>
      <w:r w:rsidRPr="0007451A">
        <w:rPr>
          <w:rFonts w:asciiTheme="minorBidi" w:eastAsia="Arial" w:hAnsiTheme="minorBidi" w:cstheme="minorBidi"/>
        </w:rPr>
        <w:t xml:space="preserve">o evaluate the difference between group-learning </w:t>
      </w:r>
      <w:r>
        <w:rPr>
          <w:rFonts w:asciiTheme="minorBidi" w:eastAsia="Arial" w:hAnsiTheme="minorBidi" w:cstheme="minorBidi"/>
        </w:rPr>
        <w:t>vs</w:t>
      </w:r>
      <w:r w:rsidRPr="0007451A">
        <w:rPr>
          <w:rFonts w:asciiTheme="minorBidi" w:eastAsia="Arial" w:hAnsiTheme="minorBidi" w:cstheme="minorBidi"/>
        </w:rPr>
        <w:t xml:space="preserve"> individual-learning and interactive-learning </w:t>
      </w:r>
      <w:r>
        <w:rPr>
          <w:rFonts w:asciiTheme="minorBidi" w:eastAsia="Arial" w:hAnsiTheme="minorBidi" w:cstheme="minorBidi"/>
        </w:rPr>
        <w:t>vs</w:t>
      </w:r>
      <w:r w:rsidRPr="0007451A">
        <w:rPr>
          <w:rFonts w:asciiTheme="minorBidi" w:eastAsia="Arial" w:hAnsiTheme="minorBidi" w:cstheme="minorBidi"/>
        </w:rPr>
        <w:t xml:space="preserve"> isolated-learning, we record for each run which household belongs to which group and if it concerned isolated or interactive learning. The following observations can be retrieved from the sub-models (described further under sub-models):</w:t>
      </w:r>
    </w:p>
    <w:p w14:paraId="79FD7111" w14:textId="77777777" w:rsidR="006F0E54" w:rsidRPr="0007451A" w:rsidRDefault="006F0E54" w:rsidP="006F0E54">
      <w:pPr>
        <w:spacing w:after="120" w:line="336" w:lineRule="auto"/>
        <w:jc w:val="both"/>
        <w:rPr>
          <w:rFonts w:asciiTheme="minorBidi" w:hAnsiTheme="minorBidi" w:cstheme="minorBidi"/>
          <w:sz w:val="21"/>
          <w:szCs w:val="21"/>
          <w:lang w:eastAsia="en-GB"/>
        </w:rPr>
      </w:pPr>
      <w:r w:rsidRPr="0007451A">
        <w:rPr>
          <w:rFonts w:asciiTheme="minorBidi" w:hAnsiTheme="minorBidi" w:cstheme="minorBidi"/>
          <w:sz w:val="21"/>
          <w:szCs w:val="21"/>
          <w:u w:val="single"/>
          <w:lang w:eastAsia="en-GB"/>
        </w:rPr>
        <w:t>Disease spread</w:t>
      </w:r>
      <w:r w:rsidRPr="0007451A">
        <w:rPr>
          <w:rFonts w:asciiTheme="minorBidi" w:hAnsiTheme="minorBidi" w:cstheme="minorBidi"/>
          <w:sz w:val="21"/>
          <w:szCs w:val="21"/>
          <w:lang w:eastAsia="en-GB"/>
        </w:rPr>
        <w:t>:</w:t>
      </w:r>
    </w:p>
    <w:p w14:paraId="0AE794E3" w14:textId="77777777" w:rsidR="006F0E54" w:rsidRPr="0007451A" w:rsidRDefault="006F0E54" w:rsidP="006F0E54">
      <w:pPr>
        <w:pStyle w:val="ListParagraph"/>
        <w:numPr>
          <w:ilvl w:val="0"/>
          <w:numId w:val="2"/>
        </w:numPr>
        <w:spacing w:after="120" w:line="480" w:lineRule="auto"/>
        <w:rPr>
          <w:rFonts w:asciiTheme="minorBidi" w:hAnsiTheme="minorBidi" w:cstheme="minorBidi"/>
          <w:sz w:val="20"/>
          <w:szCs w:val="20"/>
          <w:lang w:val="en-GB" w:eastAsia="en-GB"/>
        </w:rPr>
      </w:pPr>
      <w:r w:rsidRPr="0007451A">
        <w:rPr>
          <w:rFonts w:asciiTheme="minorBidi" w:hAnsiTheme="minorBidi" w:cstheme="minorBidi"/>
          <w:sz w:val="20"/>
          <w:szCs w:val="20"/>
          <w:lang w:val="en-GB" w:eastAsia="en-GB"/>
        </w:rPr>
        <w:t>The number of infections per time step (including the spatial distribution of the infection).</w:t>
      </w:r>
    </w:p>
    <w:p w14:paraId="714777BE" w14:textId="77777777" w:rsidR="006F0E54" w:rsidRPr="0007451A" w:rsidRDefault="006F0E54" w:rsidP="006F0E54">
      <w:pPr>
        <w:pStyle w:val="ListParagraph"/>
        <w:numPr>
          <w:ilvl w:val="0"/>
          <w:numId w:val="2"/>
        </w:numPr>
        <w:spacing w:after="120" w:line="480" w:lineRule="auto"/>
        <w:rPr>
          <w:rFonts w:asciiTheme="minorBidi" w:hAnsiTheme="minorBidi" w:cstheme="minorBidi"/>
          <w:sz w:val="20"/>
          <w:szCs w:val="20"/>
          <w:lang w:val="en-GB" w:eastAsia="en-GB"/>
        </w:rPr>
      </w:pPr>
      <w:r w:rsidRPr="0007451A">
        <w:rPr>
          <w:rFonts w:asciiTheme="minorBidi" w:hAnsiTheme="minorBidi" w:cstheme="minorBidi"/>
          <w:sz w:val="20"/>
          <w:szCs w:val="20"/>
          <w:lang w:val="en-GB" w:eastAsia="en-GB"/>
        </w:rPr>
        <w:t>From the above information we can derive the epidemic curve for each run, the percentage of infection per community, the duration of infection per community and the day of infection per community.</w:t>
      </w:r>
    </w:p>
    <w:p w14:paraId="5DC9A577" w14:textId="77777777" w:rsidR="006F0E54" w:rsidRPr="0007451A" w:rsidRDefault="006F0E54" w:rsidP="006F0E54">
      <w:pPr>
        <w:spacing w:after="120" w:line="336" w:lineRule="auto"/>
        <w:jc w:val="both"/>
        <w:rPr>
          <w:rFonts w:asciiTheme="minorBidi" w:hAnsiTheme="minorBidi" w:cstheme="minorBidi"/>
          <w:sz w:val="21"/>
          <w:szCs w:val="21"/>
          <w:u w:val="single"/>
          <w:lang w:eastAsia="en-GB"/>
        </w:rPr>
      </w:pPr>
      <w:r w:rsidRPr="0007451A">
        <w:rPr>
          <w:rFonts w:asciiTheme="minorBidi" w:hAnsiTheme="minorBidi" w:cstheme="minorBidi"/>
          <w:sz w:val="21"/>
          <w:szCs w:val="21"/>
          <w:u w:val="single"/>
          <w:lang w:eastAsia="en-GB"/>
        </w:rPr>
        <w:t>Visual pollution model:</w:t>
      </w:r>
    </w:p>
    <w:p w14:paraId="1BDDA05F" w14:textId="77777777" w:rsidR="006F0E54" w:rsidRPr="0007451A" w:rsidRDefault="006F0E54" w:rsidP="006F0E54">
      <w:pPr>
        <w:pStyle w:val="ListParagraph"/>
        <w:numPr>
          <w:ilvl w:val="0"/>
          <w:numId w:val="3"/>
        </w:numPr>
        <w:spacing w:after="120" w:line="336" w:lineRule="auto"/>
        <w:rPr>
          <w:rFonts w:asciiTheme="minorBidi" w:hAnsiTheme="minorBidi" w:cstheme="minorBidi"/>
          <w:sz w:val="20"/>
          <w:szCs w:val="20"/>
          <w:lang w:val="en-GB" w:eastAsia="en-GB"/>
        </w:rPr>
      </w:pPr>
      <w:r w:rsidRPr="0007451A">
        <w:rPr>
          <w:rFonts w:asciiTheme="minorBidi" w:hAnsiTheme="minorBidi" w:cstheme="minorBidi"/>
          <w:sz w:val="20"/>
          <w:szCs w:val="20"/>
          <w:lang w:val="en-GB" w:eastAsia="en-GB"/>
        </w:rPr>
        <w:t>The visual pollution of the water collection points during each time step.</w:t>
      </w:r>
    </w:p>
    <w:p w14:paraId="205E23B2" w14:textId="77777777" w:rsidR="006F0E54" w:rsidRPr="0007451A" w:rsidRDefault="006F0E54" w:rsidP="006F0E54">
      <w:pPr>
        <w:spacing w:after="120" w:line="336" w:lineRule="auto"/>
        <w:jc w:val="both"/>
        <w:rPr>
          <w:rFonts w:asciiTheme="minorBidi" w:hAnsiTheme="minorBidi" w:cstheme="minorBidi"/>
          <w:sz w:val="21"/>
          <w:szCs w:val="21"/>
          <w:u w:val="single"/>
          <w:lang w:eastAsia="en-GB"/>
        </w:rPr>
      </w:pPr>
      <w:r w:rsidRPr="0007451A">
        <w:rPr>
          <w:rFonts w:asciiTheme="minorBidi" w:hAnsiTheme="minorBidi" w:cstheme="minorBidi"/>
          <w:sz w:val="21"/>
          <w:szCs w:val="21"/>
          <w:u w:val="single"/>
          <w:lang w:eastAsia="en-GB"/>
        </w:rPr>
        <w:t>Hydrological model:</w:t>
      </w:r>
    </w:p>
    <w:p w14:paraId="568C2C91" w14:textId="77777777" w:rsidR="006F0E54" w:rsidRPr="0007451A" w:rsidRDefault="006F0E54" w:rsidP="006F0E54">
      <w:pPr>
        <w:pStyle w:val="ListParagraph"/>
        <w:numPr>
          <w:ilvl w:val="0"/>
          <w:numId w:val="4"/>
        </w:numPr>
        <w:spacing w:after="120" w:line="480" w:lineRule="auto"/>
        <w:rPr>
          <w:rFonts w:asciiTheme="minorBidi" w:hAnsiTheme="minorBidi" w:cstheme="minorBidi"/>
          <w:sz w:val="20"/>
          <w:szCs w:val="20"/>
          <w:lang w:val="en-GB" w:eastAsia="en-GB"/>
        </w:rPr>
      </w:pPr>
      <w:r w:rsidRPr="0007451A">
        <w:rPr>
          <w:rFonts w:asciiTheme="minorBidi" w:hAnsiTheme="minorBidi" w:cstheme="minorBidi"/>
          <w:sz w:val="20"/>
          <w:szCs w:val="20"/>
          <w:lang w:val="en-GB" w:eastAsia="en-GB"/>
        </w:rPr>
        <w:t>The infection level of each water collection point during each time step.</w:t>
      </w:r>
    </w:p>
    <w:p w14:paraId="5A96ACC3" w14:textId="77777777" w:rsidR="006F0E54" w:rsidRPr="0007451A" w:rsidRDefault="006F0E54" w:rsidP="006F0E54">
      <w:pPr>
        <w:pStyle w:val="ListParagraph"/>
        <w:numPr>
          <w:ilvl w:val="0"/>
          <w:numId w:val="4"/>
        </w:numPr>
        <w:spacing w:after="120" w:line="480" w:lineRule="auto"/>
        <w:rPr>
          <w:rFonts w:asciiTheme="minorBidi" w:hAnsiTheme="minorBidi" w:cstheme="minorBidi"/>
          <w:sz w:val="20"/>
          <w:szCs w:val="20"/>
          <w:lang w:val="en-GB" w:eastAsia="en-GB"/>
        </w:rPr>
      </w:pPr>
      <w:r w:rsidRPr="0007451A">
        <w:rPr>
          <w:rFonts w:asciiTheme="minorBidi" w:hAnsiTheme="minorBidi" w:cstheme="minorBidi"/>
          <w:sz w:val="20"/>
          <w:szCs w:val="20"/>
          <w:lang w:val="en-GB" w:eastAsia="en-GB"/>
        </w:rPr>
        <w:lastRenderedPageBreak/>
        <w:t>The infection level of each open dumpsite during every time step.</w:t>
      </w:r>
    </w:p>
    <w:p w14:paraId="616E98DE" w14:textId="77777777" w:rsidR="006F0E54" w:rsidRPr="0007451A" w:rsidRDefault="006F0E54" w:rsidP="006F0E54">
      <w:pPr>
        <w:pStyle w:val="ListParagraph"/>
        <w:numPr>
          <w:ilvl w:val="0"/>
          <w:numId w:val="4"/>
        </w:numPr>
        <w:spacing w:after="120" w:line="480" w:lineRule="auto"/>
        <w:rPr>
          <w:rFonts w:asciiTheme="minorBidi" w:hAnsiTheme="minorBidi" w:cstheme="minorBidi"/>
          <w:sz w:val="20"/>
          <w:szCs w:val="20"/>
          <w:lang w:val="en-GB" w:eastAsia="en-GB"/>
        </w:rPr>
      </w:pPr>
      <w:r w:rsidRPr="0007451A">
        <w:rPr>
          <w:rFonts w:asciiTheme="minorBidi" w:hAnsiTheme="minorBidi" w:cstheme="minorBidi"/>
          <w:sz w:val="20"/>
          <w:szCs w:val="20"/>
          <w:lang w:val="en-GB" w:eastAsia="en-GB"/>
        </w:rPr>
        <w:t>Total discharge over time.</w:t>
      </w:r>
    </w:p>
    <w:p w14:paraId="6AEB694B"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By comparing the output of the visual pollution model with the actual infection level, we can determine the effectiveness of the visual observations for disease prevention.</w:t>
      </w:r>
    </w:p>
    <w:p w14:paraId="64334A9F" w14:textId="77777777" w:rsidR="006F0E54" w:rsidRPr="0007451A" w:rsidRDefault="006F0E54" w:rsidP="006F0E54">
      <w:pPr>
        <w:spacing w:after="120" w:line="336" w:lineRule="auto"/>
        <w:jc w:val="both"/>
        <w:rPr>
          <w:rFonts w:asciiTheme="minorBidi" w:hAnsiTheme="minorBidi" w:cstheme="minorBidi"/>
          <w:sz w:val="21"/>
          <w:szCs w:val="21"/>
          <w:u w:val="single"/>
          <w:lang w:eastAsia="en-GB"/>
        </w:rPr>
      </w:pPr>
      <w:r w:rsidRPr="0007451A">
        <w:rPr>
          <w:rFonts w:asciiTheme="minorBidi" w:hAnsiTheme="minorBidi" w:cstheme="minorBidi"/>
          <w:sz w:val="21"/>
          <w:szCs w:val="21"/>
          <w:u w:val="single"/>
          <w:lang w:eastAsia="en-GB"/>
        </w:rPr>
        <w:t>Activity model:</w:t>
      </w:r>
    </w:p>
    <w:p w14:paraId="1EC290A7" w14:textId="77777777" w:rsidR="006F0E54" w:rsidRPr="0007451A" w:rsidRDefault="006F0E54" w:rsidP="006F0E54">
      <w:pPr>
        <w:pStyle w:val="ListParagraph"/>
        <w:numPr>
          <w:ilvl w:val="0"/>
          <w:numId w:val="5"/>
        </w:numPr>
        <w:spacing w:after="120" w:line="480" w:lineRule="auto"/>
        <w:rPr>
          <w:rFonts w:asciiTheme="minorBidi" w:hAnsiTheme="minorBidi" w:cstheme="minorBidi"/>
          <w:sz w:val="20"/>
          <w:szCs w:val="20"/>
          <w:lang w:val="en-GB" w:eastAsia="en-GB"/>
        </w:rPr>
      </w:pPr>
      <w:r w:rsidRPr="0007451A">
        <w:rPr>
          <w:rFonts w:asciiTheme="minorBidi" w:hAnsiTheme="minorBidi" w:cstheme="minorBidi"/>
          <w:sz w:val="20"/>
          <w:szCs w:val="20"/>
          <w:lang w:val="en-GB" w:eastAsia="en-GB"/>
        </w:rPr>
        <w:t>The number of agents who perceive risk per time step, including their spatial and economic distribution.</w:t>
      </w:r>
    </w:p>
    <w:p w14:paraId="293416CF" w14:textId="77777777" w:rsidR="006F0E54" w:rsidRPr="0007451A" w:rsidRDefault="006F0E54" w:rsidP="006F0E54">
      <w:pPr>
        <w:pStyle w:val="ListParagraph"/>
        <w:numPr>
          <w:ilvl w:val="0"/>
          <w:numId w:val="5"/>
        </w:numPr>
        <w:spacing w:after="120" w:line="480" w:lineRule="auto"/>
        <w:rPr>
          <w:rFonts w:asciiTheme="minorBidi" w:hAnsiTheme="minorBidi" w:cstheme="minorBidi"/>
          <w:sz w:val="20"/>
          <w:szCs w:val="20"/>
          <w:lang w:val="en-GB" w:eastAsia="en-GB"/>
        </w:rPr>
      </w:pPr>
      <w:r w:rsidRPr="0007451A">
        <w:rPr>
          <w:rFonts w:asciiTheme="minorBidi" w:hAnsiTheme="minorBidi" w:cstheme="minorBidi"/>
          <w:sz w:val="20"/>
          <w:szCs w:val="20"/>
          <w:lang w:val="en-GB" w:eastAsia="en-GB"/>
        </w:rPr>
        <w:t>The choice of water source of each household per times step and in case of river water, the water collection point where this water was retrieved from the river.</w:t>
      </w:r>
    </w:p>
    <w:p w14:paraId="4E5BC942" w14:textId="77777777" w:rsidR="006F0E54" w:rsidRPr="0007451A" w:rsidRDefault="006F0E54" w:rsidP="006F0E54">
      <w:pPr>
        <w:pStyle w:val="Heading2"/>
        <w:ind w:left="0" w:firstLine="0"/>
        <w:rPr>
          <w:lang w:eastAsia="en-GB"/>
        </w:rPr>
      </w:pPr>
      <w:r w:rsidRPr="0007451A">
        <w:rPr>
          <w:lang w:eastAsia="en-GB"/>
        </w:rPr>
        <w:t>Details</w:t>
      </w:r>
    </w:p>
    <w:p w14:paraId="3244BC73" w14:textId="77777777" w:rsidR="006F0E54" w:rsidRPr="0007451A" w:rsidRDefault="006F0E54" w:rsidP="006F0E54">
      <w:pPr>
        <w:pStyle w:val="Heading3"/>
        <w:rPr>
          <w:lang w:eastAsia="en-GB"/>
        </w:rPr>
      </w:pPr>
      <w:r w:rsidRPr="0007451A">
        <w:rPr>
          <w:lang w:eastAsia="en-GB"/>
        </w:rPr>
        <w:t>Implementation details</w:t>
      </w:r>
    </w:p>
    <w:p w14:paraId="11FE4898"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The CABM is implemented in </w:t>
      </w:r>
      <w:proofErr w:type="spellStart"/>
      <w:r w:rsidRPr="0007451A">
        <w:rPr>
          <w:rFonts w:asciiTheme="minorBidi" w:eastAsia="Arial" w:hAnsiTheme="minorBidi" w:cstheme="minorBidi"/>
        </w:rPr>
        <w:t>NetLogo</w:t>
      </w:r>
      <w:proofErr w:type="spellEnd"/>
      <w:r w:rsidRPr="0007451A">
        <w:rPr>
          <w:rFonts w:asciiTheme="minorBidi" w:eastAsia="Arial" w:hAnsiTheme="minorBidi" w:cstheme="minorBidi"/>
        </w:rPr>
        <w:t xml:space="preserve"> (version 5.2.0) and the learning algorithm (both BN1 and BN2) are coded using R statistical language. During each model run, household agents in </w:t>
      </w:r>
      <w:proofErr w:type="spellStart"/>
      <w:r w:rsidRPr="0007451A">
        <w:rPr>
          <w:rFonts w:asciiTheme="minorBidi" w:eastAsia="Arial" w:hAnsiTheme="minorBidi" w:cstheme="minorBidi"/>
        </w:rPr>
        <w:t>NetLogo</w:t>
      </w:r>
      <w:proofErr w:type="spellEnd"/>
      <w:r w:rsidRPr="0007451A">
        <w:rPr>
          <w:rFonts w:asciiTheme="minorBidi" w:eastAsia="Arial" w:hAnsiTheme="minorBidi" w:cstheme="minorBidi"/>
        </w:rPr>
        <w:t xml:space="preserve"> collect their BNs’ inputs (e.g. estimate pollution levels, retrieve own memory, check own health status, etc.), and call their BNs via the R extension of </w:t>
      </w:r>
      <w:proofErr w:type="spellStart"/>
      <w:r w:rsidRPr="0007451A">
        <w:rPr>
          <w:rFonts w:asciiTheme="minorBidi" w:eastAsia="Arial" w:hAnsiTheme="minorBidi" w:cstheme="minorBidi"/>
        </w:rPr>
        <w:t>NetLogo</w:t>
      </w:r>
      <w:proofErr w:type="spellEnd"/>
      <w:r w:rsidRPr="0007451A">
        <w:rPr>
          <w:rFonts w:asciiTheme="minorBidi" w:eastAsia="Arial" w:hAnsiTheme="minorBidi" w:cstheme="minorBidi"/>
        </w:rPr>
        <w:t xml:space="preserve">. After processing the BNs, R returns the information on risk perception and disease coping strategies back to the agents in </w:t>
      </w:r>
      <w:proofErr w:type="spellStart"/>
      <w:r w:rsidRPr="0007451A">
        <w:rPr>
          <w:rFonts w:asciiTheme="minorBidi" w:eastAsia="Arial" w:hAnsiTheme="minorBidi" w:cstheme="minorBidi"/>
        </w:rPr>
        <w:t>NetLogo</w:t>
      </w:r>
      <w:proofErr w:type="spellEnd"/>
      <w:r w:rsidRPr="0007451A">
        <w:rPr>
          <w:rFonts w:asciiTheme="minorBidi" w:eastAsia="Arial" w:hAnsiTheme="minorBidi" w:cstheme="minorBidi"/>
        </w:rPr>
        <w:t>.</w:t>
      </w:r>
    </w:p>
    <w:p w14:paraId="6333A743" w14:textId="77777777" w:rsidR="006F0E54" w:rsidRPr="0007451A" w:rsidRDefault="006F0E54" w:rsidP="006F0E54">
      <w:pPr>
        <w:pStyle w:val="Heading3"/>
        <w:rPr>
          <w:lang w:eastAsia="en-GB"/>
        </w:rPr>
      </w:pPr>
      <w:r w:rsidRPr="0007451A">
        <w:rPr>
          <w:lang w:eastAsia="en-GB"/>
        </w:rPr>
        <w:t>Initialization</w:t>
      </w:r>
    </w:p>
    <w:p w14:paraId="4FA4B072" w14:textId="6702E71F"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During initialization, households (default is 8500 that represents 12.7% of the actual number) with a corresponding number of individuals are created (about 33,800 individuals). Individuals are assigned to the households, starting with an adult female as the head of the household followed by randomly adding additional members. Individuals inherit the household features besides those of themselves (</w:t>
      </w:r>
      <w:r w:rsidR="00DA6C3F">
        <w:rPr>
          <w:rFonts w:asciiTheme="minorBidi" w:eastAsia="Arial" w:hAnsiTheme="minorBidi" w:cstheme="minorBidi"/>
        </w:rPr>
        <w:t>S1</w:t>
      </w:r>
      <w:r w:rsidR="007073D3">
        <w:rPr>
          <w:rFonts w:asciiTheme="minorBidi" w:eastAsia="Arial" w:hAnsiTheme="minorBidi" w:cstheme="minorBidi"/>
        </w:rPr>
        <w:t xml:space="preserve"> </w:t>
      </w:r>
      <w:r w:rsidRPr="0007451A">
        <w:rPr>
          <w:rFonts w:asciiTheme="minorBidi" w:eastAsia="Arial" w:hAnsiTheme="minorBidi" w:cstheme="minorBidi"/>
        </w:rPr>
        <w:t xml:space="preserve">Table 1). The distribution of household size is based on information from the Ghana Statistical Service </w:t>
      </w:r>
      <w:r w:rsidR="000B31CE">
        <w:rPr>
          <w:rFonts w:asciiTheme="minorBidi" w:eastAsia="Arial" w:hAnsiTheme="minorBidi" w:cstheme="minorBidi"/>
        </w:rPr>
        <w:t>[58]</w:t>
      </w:r>
      <w:r w:rsidRPr="0007451A">
        <w:rPr>
          <w:rFonts w:asciiTheme="minorBidi" w:eastAsia="Arial" w:hAnsiTheme="minorBidi" w:cstheme="minorBidi"/>
        </w:rPr>
        <w:t xml:space="preserve">. These households are distributed over the communities using empirical data on income levels and assigned a building. The hygiene levels (low, medium, and high) of household agents are derived during the calibration stage </w:t>
      </w:r>
      <w:r w:rsidRPr="0007451A">
        <w:rPr>
          <w:rFonts w:asciiTheme="minorBidi" w:eastAsia="Arial" w:hAnsiTheme="minorBidi" w:cstheme="minorBidi"/>
        </w:rPr>
        <w:fldChar w:fldCharType="begin" w:fldLock="1"/>
      </w:r>
      <w:r w:rsidR="00D010C7">
        <w:rPr>
          <w:rFonts w:asciiTheme="minorBidi" w:eastAsia="Arial" w:hAnsiTheme="minorBidi" w:cstheme="minorBidi"/>
        </w:rPr>
        <w:instrText>ADDIN CSL_CITATION {"citationItems":[{"id":"ITEM-1","itemData":{"DOI":"10.1007/s00477-015-1199-x","ISBN":"1436-3240","ISSN":"14363259","abstract":"This paper introduces a spatially explicit agent-based simulation model for micro-scale cholera diffusion. The model simulates both an environmental reservoir of naturally occurring V.cholerae bacteria and hyperinfectious V. cholerae. Objective of the research is to test if runoff from open refuse dumpsites plays a role in cholera diffusion. A number of experiments were conducted with the model for a case study in Kumasi, Ghana, based on an epidemic in 2005. Experiments confirm the importance of the hyperinfectious transmission route, however, they also reveal the importance of a representative spatial distribution of the income classes. Although the contribution of runoff from dumpsites can never be conclusively proven, the experiments show that modelling the epidemic via this mechanism is possible and improves the model results. Relevance of this research is that it shows the possibilities of agent-based modelling combined with pattern reproduction for cholera diffusion studies. The proposed model is simple in its setup but can be extended by adding additional elements such as human movement and change of behaviour of individuals based on disease awareness. Eventually, agent-based models will open opportunities to explore policy related research questions related to interventions to influence the diffusion process.","author":[{"dropping-particle":"","family":"Augustijn","given":"Ellen-wien Wien","non-dropping-particle":"","parse-names":false,"suffix":""},{"dropping-particle":"","family":"Doldersum","given":"Tom","non-dropping-particle":"","parse-names":false,"suffix":""},{"dropping-particle":"","family":"Useya","given":"Juliana","non-dropping-particle":"","parse-names":false,"suffix":""},{"dropping-particle":"","family":"Augustijn","given":"Denie","non-dropping-particle":"","parse-names":false,"suffix":""}],"container-title":"Stochastic Environmental Research and Risk Assessment","id":"ITEM-1","issue":"8","issued":{"date-parts":[["2016"]]},"page":"2079-2095","title":"Agent-based modelling of cholera","type":"article-journal","volume":"30"},"uris":["http://www.mendeley.com/documents/?uuid=f2604c96-0549-4e10-875f-647b901b7e37"]}],"mendeley":{"formattedCitation":"[1]","plainTextFormattedCitation":"[1]","previouslyFormattedCitation":"[1]"},"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[1]</w:t>
      </w:r>
      <w:r w:rsidRPr="0007451A">
        <w:rPr>
          <w:rFonts w:asciiTheme="minorBidi" w:eastAsia="Arial" w:hAnsiTheme="minorBidi" w:cstheme="minorBidi"/>
        </w:rPr>
        <w:fldChar w:fldCharType="end"/>
      </w:r>
      <w:r w:rsidRPr="0007451A">
        <w:rPr>
          <w:rFonts w:asciiTheme="minorBidi" w:eastAsia="Arial" w:hAnsiTheme="minorBidi" w:cstheme="minorBidi"/>
        </w:rPr>
        <w:t>. The hygiene levels are distributed as 19% (low), 52% (medium), and 29% (high). After the creation of a synthetic population and the distribution of the agents over the study area, households calculate the nearest water collection point and the nearest dumpsite.</w:t>
      </w:r>
    </w:p>
    <w:p w14:paraId="7C11EFF5" w14:textId="23A994D8"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The census data of Kumasi, Ghana includes the income distribution. The distribution of the three levels is as 19% (low), 52% (medium), and 29% (high). However, we exclude high-level incomes since they </w:t>
      </w:r>
      <w:r w:rsidRPr="0007451A">
        <w:rPr>
          <w:rFonts w:asciiTheme="minorBidi" w:eastAsia="Arial" w:hAnsiTheme="minorBidi" w:cstheme="minorBidi"/>
        </w:rPr>
        <w:lastRenderedPageBreak/>
        <w:t>will not use river water. Therefore, by scaling both medium and low-income levels we will get 73% and 27% respectively (which represent 71% of total simulated households). In addition, 14 % of low- and middle-income level households do not have access to tap water. The following table (</w:t>
      </w:r>
      <w:r w:rsidR="00DA6C3F">
        <w:rPr>
          <w:rFonts w:asciiTheme="minorBidi" w:eastAsia="Arial" w:hAnsiTheme="minorBidi" w:cstheme="minorBidi"/>
        </w:rPr>
        <w:t>S1</w:t>
      </w:r>
      <w:r w:rsidR="007073D3">
        <w:rPr>
          <w:rFonts w:asciiTheme="minorBidi" w:eastAsia="Arial" w:hAnsiTheme="minorBidi" w:cstheme="minorBidi"/>
        </w:rPr>
        <w:t xml:space="preserve"> </w:t>
      </w:r>
      <w:r w:rsidRPr="0007451A">
        <w:rPr>
          <w:rFonts w:asciiTheme="minorBidi" w:eastAsia="Arial" w:hAnsiTheme="minorBidi" w:cstheme="minorBidi"/>
        </w:rPr>
        <w:t>Table 3) shows the parameters of this cholera model:</w:t>
      </w:r>
    </w:p>
    <w:p w14:paraId="572F9572" w14:textId="4D1FECD0" w:rsidR="006F0E54" w:rsidRPr="0007451A" w:rsidRDefault="00DA6C3F" w:rsidP="006F0E54">
      <w:pPr>
        <w:pStyle w:val="Caption"/>
        <w:keepNext/>
        <w:rPr>
          <w:b/>
          <w:bCs/>
          <w:szCs w:val="20"/>
        </w:rPr>
      </w:pPr>
      <w:r>
        <w:rPr>
          <w:szCs w:val="20"/>
        </w:rPr>
        <w:t>S1</w:t>
      </w:r>
      <w:r w:rsidR="007073D3">
        <w:rPr>
          <w:szCs w:val="20"/>
        </w:rPr>
        <w:t xml:space="preserve"> </w:t>
      </w:r>
      <w:r w:rsidR="006F0E54" w:rsidRPr="0007451A">
        <w:rPr>
          <w:szCs w:val="20"/>
        </w:rPr>
        <w:t xml:space="preserve">Table </w:t>
      </w:r>
      <w:r w:rsidR="006F0E54" w:rsidRPr="0007451A">
        <w:rPr>
          <w:b/>
          <w:bCs/>
          <w:szCs w:val="20"/>
        </w:rPr>
        <w:t>3</w:t>
      </w:r>
      <w:r w:rsidR="006F0E54" w:rsidRPr="0007451A">
        <w:rPr>
          <w:szCs w:val="20"/>
        </w:rPr>
        <w:t>: CABM parameters (Abdulkareem et al., 2018)</w:t>
      </w:r>
    </w:p>
    <w:tbl>
      <w:tblPr>
        <w:tblW w:w="0" w:type="auto"/>
        <w:tblCellMar>
          <w:top w:w="15" w:type="dxa"/>
          <w:left w:w="15" w:type="dxa"/>
          <w:bottom w:w="15" w:type="dxa"/>
          <w:right w:w="15" w:type="dxa"/>
        </w:tblCellMar>
        <w:tblLook w:val="04A0" w:firstRow="1" w:lastRow="0" w:firstColumn="1" w:lastColumn="0" w:noHBand="0" w:noVBand="1"/>
      </w:tblPr>
      <w:tblGrid>
        <w:gridCol w:w="1774"/>
        <w:gridCol w:w="1894"/>
        <w:gridCol w:w="5342"/>
      </w:tblGrid>
      <w:tr w:rsidR="006F0E54" w:rsidRPr="0007451A" w14:paraId="2D69F885" w14:textId="77777777" w:rsidTr="009D57AD">
        <w:tc>
          <w:tcPr>
            <w:tcW w:w="0" w:type="auto"/>
            <w:tcBorders>
              <w:top w:val="single" w:sz="4" w:space="0" w:color="000000"/>
              <w:left w:val="single" w:sz="4" w:space="0" w:color="000000"/>
              <w:bottom w:val="single" w:sz="4" w:space="0" w:color="A5A5A5"/>
            </w:tcBorders>
            <w:tcMar>
              <w:top w:w="0" w:type="dxa"/>
              <w:left w:w="108" w:type="dxa"/>
              <w:bottom w:w="0" w:type="dxa"/>
              <w:right w:w="108" w:type="dxa"/>
            </w:tcMar>
            <w:hideMark/>
          </w:tcPr>
          <w:p w14:paraId="5785119A" w14:textId="77777777" w:rsidR="006F0E54" w:rsidRPr="0007451A" w:rsidRDefault="006F0E54" w:rsidP="009D57AD">
            <w:pPr>
              <w:jc w:val="right"/>
              <w:rPr>
                <w:rFonts w:asciiTheme="minorBidi" w:hAnsiTheme="minorBidi" w:cstheme="minorBidi"/>
                <w:sz w:val="19"/>
                <w:szCs w:val="19"/>
              </w:rPr>
            </w:pPr>
            <w:r w:rsidRPr="0007451A">
              <w:rPr>
                <w:rFonts w:asciiTheme="minorBidi" w:hAnsiTheme="minorBidi" w:cstheme="minorBidi"/>
                <w:i/>
                <w:iCs/>
                <w:color w:val="000000"/>
                <w:sz w:val="19"/>
                <w:szCs w:val="19"/>
              </w:rPr>
              <w:t>New Parameters</w:t>
            </w:r>
          </w:p>
        </w:tc>
        <w:tc>
          <w:tcPr>
            <w:tcW w:w="0" w:type="auto"/>
            <w:tcBorders>
              <w:top w:val="single" w:sz="4" w:space="0" w:color="000000"/>
              <w:bottom w:val="single" w:sz="4" w:space="0" w:color="A5A5A5"/>
            </w:tcBorders>
            <w:tcMar>
              <w:top w:w="0" w:type="dxa"/>
              <w:left w:w="108" w:type="dxa"/>
              <w:bottom w:w="0" w:type="dxa"/>
              <w:right w:w="108" w:type="dxa"/>
            </w:tcMar>
            <w:hideMark/>
          </w:tcPr>
          <w:p w14:paraId="27011CF6" w14:textId="77777777" w:rsidR="006F0E54" w:rsidRPr="0007451A" w:rsidRDefault="006F0E54" w:rsidP="009D57AD">
            <w:pPr>
              <w:jc w:val="both"/>
              <w:rPr>
                <w:rFonts w:asciiTheme="minorBidi" w:hAnsiTheme="minorBidi" w:cstheme="minorBidi"/>
                <w:sz w:val="19"/>
                <w:szCs w:val="19"/>
              </w:rPr>
            </w:pPr>
            <w:r w:rsidRPr="0007451A">
              <w:rPr>
                <w:rFonts w:asciiTheme="minorBidi" w:hAnsiTheme="minorBidi" w:cstheme="minorBidi"/>
                <w:i/>
                <w:iCs/>
                <w:color w:val="000000"/>
                <w:sz w:val="19"/>
                <w:szCs w:val="19"/>
              </w:rPr>
              <w:t>Value</w:t>
            </w:r>
          </w:p>
        </w:tc>
        <w:tc>
          <w:tcPr>
            <w:tcW w:w="0" w:type="auto"/>
            <w:tcBorders>
              <w:top w:val="single" w:sz="4" w:space="0" w:color="000000"/>
              <w:bottom w:val="single" w:sz="4" w:space="0" w:color="A5A5A5"/>
              <w:right w:val="single" w:sz="4" w:space="0" w:color="000000"/>
            </w:tcBorders>
            <w:tcMar>
              <w:top w:w="0" w:type="dxa"/>
              <w:left w:w="108" w:type="dxa"/>
              <w:bottom w:w="0" w:type="dxa"/>
              <w:right w:w="108" w:type="dxa"/>
            </w:tcMar>
            <w:hideMark/>
          </w:tcPr>
          <w:p w14:paraId="70C0BEF0" w14:textId="77777777" w:rsidR="006F0E54" w:rsidRPr="0007451A" w:rsidRDefault="006F0E54" w:rsidP="009D57AD">
            <w:pPr>
              <w:jc w:val="both"/>
              <w:rPr>
                <w:rFonts w:asciiTheme="minorBidi" w:hAnsiTheme="minorBidi" w:cstheme="minorBidi"/>
                <w:sz w:val="19"/>
                <w:szCs w:val="19"/>
              </w:rPr>
            </w:pPr>
            <w:r w:rsidRPr="0007451A">
              <w:rPr>
                <w:rFonts w:asciiTheme="minorBidi" w:hAnsiTheme="minorBidi" w:cstheme="minorBidi"/>
                <w:i/>
                <w:iCs/>
                <w:color w:val="000000"/>
                <w:sz w:val="19"/>
                <w:szCs w:val="19"/>
              </w:rPr>
              <w:t>Description </w:t>
            </w:r>
          </w:p>
        </w:tc>
      </w:tr>
      <w:tr w:rsidR="006F0E54" w:rsidRPr="0007451A" w14:paraId="6F115AC2" w14:textId="77777777" w:rsidTr="009D57AD">
        <w:tc>
          <w:tcPr>
            <w:tcW w:w="0" w:type="auto"/>
            <w:tcBorders>
              <w:top w:val="single" w:sz="4" w:space="0" w:color="A5A5A5"/>
              <w:left w:val="single" w:sz="4" w:space="0" w:color="000000"/>
              <w:right w:val="single" w:sz="4" w:space="0" w:color="A5A5A5"/>
            </w:tcBorders>
            <w:tcMar>
              <w:top w:w="0" w:type="dxa"/>
              <w:left w:w="108" w:type="dxa"/>
              <w:bottom w:w="0" w:type="dxa"/>
              <w:right w:w="108" w:type="dxa"/>
            </w:tcMar>
            <w:hideMark/>
          </w:tcPr>
          <w:p w14:paraId="556FDF8E" w14:textId="77777777" w:rsidR="006F0E54" w:rsidRPr="0007451A" w:rsidRDefault="006F0E54" w:rsidP="009D57AD">
            <w:pPr>
              <w:jc w:val="right"/>
              <w:rPr>
                <w:rFonts w:asciiTheme="minorBidi" w:hAnsiTheme="minorBidi" w:cstheme="minorBidi"/>
                <w:sz w:val="19"/>
                <w:szCs w:val="19"/>
              </w:rPr>
            </w:pPr>
            <w:r w:rsidRPr="0007451A">
              <w:rPr>
                <w:rFonts w:asciiTheme="minorBidi" w:hAnsiTheme="minorBidi" w:cstheme="minorBidi"/>
                <w:i/>
                <w:iCs/>
                <w:color w:val="000000"/>
                <w:sz w:val="19"/>
                <w:szCs w:val="19"/>
              </w:rPr>
              <w:t>Literacy rate</w:t>
            </w:r>
          </w:p>
        </w:tc>
        <w:tc>
          <w:tcPr>
            <w:tcW w:w="0" w:type="auto"/>
            <w:tcBorders>
              <w:top w:val="single" w:sz="4" w:space="0" w:color="A5A5A5"/>
              <w:left w:val="single" w:sz="4" w:space="0" w:color="A5A5A5"/>
            </w:tcBorders>
            <w:tcMar>
              <w:top w:w="0" w:type="dxa"/>
              <w:left w:w="108" w:type="dxa"/>
              <w:bottom w:w="0" w:type="dxa"/>
              <w:right w:w="108" w:type="dxa"/>
            </w:tcMar>
            <w:hideMark/>
          </w:tcPr>
          <w:p w14:paraId="3FE0313D" w14:textId="77777777" w:rsidR="006F0E54" w:rsidRPr="0007451A" w:rsidRDefault="006F0E54" w:rsidP="009D57AD">
            <w:pPr>
              <w:jc w:val="both"/>
              <w:rPr>
                <w:rFonts w:asciiTheme="minorBidi" w:hAnsiTheme="minorBidi" w:cstheme="minorBidi"/>
                <w:sz w:val="19"/>
                <w:szCs w:val="19"/>
              </w:rPr>
            </w:pPr>
            <w:r w:rsidRPr="0007451A">
              <w:rPr>
                <w:rFonts w:asciiTheme="minorBidi" w:hAnsiTheme="minorBidi" w:cstheme="minorBidi"/>
                <w:color w:val="000000"/>
                <w:sz w:val="19"/>
                <w:szCs w:val="19"/>
              </w:rPr>
              <w:t>74.1 %</w:t>
            </w:r>
          </w:p>
        </w:tc>
        <w:tc>
          <w:tcPr>
            <w:tcW w:w="0" w:type="auto"/>
            <w:tcBorders>
              <w:top w:val="single" w:sz="4" w:space="0" w:color="A5A5A5"/>
              <w:right w:val="single" w:sz="4" w:space="0" w:color="000000"/>
            </w:tcBorders>
            <w:tcMar>
              <w:top w:w="0" w:type="dxa"/>
              <w:left w:w="108" w:type="dxa"/>
              <w:bottom w:w="0" w:type="dxa"/>
              <w:right w:w="108" w:type="dxa"/>
            </w:tcMar>
            <w:hideMark/>
          </w:tcPr>
          <w:p w14:paraId="16CDC528" w14:textId="77777777" w:rsidR="006F0E54" w:rsidRPr="0007451A" w:rsidRDefault="006F0E54" w:rsidP="009D57AD">
            <w:pPr>
              <w:jc w:val="both"/>
              <w:rPr>
                <w:rFonts w:asciiTheme="minorBidi" w:hAnsiTheme="minorBidi" w:cstheme="minorBidi"/>
                <w:sz w:val="19"/>
                <w:szCs w:val="19"/>
              </w:rPr>
            </w:pPr>
            <w:r w:rsidRPr="0007451A">
              <w:rPr>
                <w:rFonts w:asciiTheme="minorBidi" w:hAnsiTheme="minorBidi" w:cstheme="minorBidi"/>
                <w:color w:val="000000"/>
                <w:sz w:val="19"/>
                <w:szCs w:val="19"/>
              </w:rPr>
              <w:t>(Ghana Statistical Service 2012)</w:t>
            </w:r>
          </w:p>
        </w:tc>
      </w:tr>
      <w:tr w:rsidR="006F0E54" w:rsidRPr="0007451A" w14:paraId="7412EB31" w14:textId="77777777" w:rsidTr="009D57AD">
        <w:tc>
          <w:tcPr>
            <w:tcW w:w="0" w:type="auto"/>
            <w:tcBorders>
              <w:left w:val="single" w:sz="4" w:space="0" w:color="000000"/>
              <w:right w:val="single" w:sz="4" w:space="0" w:color="A5A5A5"/>
            </w:tcBorders>
            <w:tcMar>
              <w:top w:w="0" w:type="dxa"/>
              <w:left w:w="108" w:type="dxa"/>
              <w:bottom w:w="0" w:type="dxa"/>
              <w:right w:w="108" w:type="dxa"/>
            </w:tcMar>
            <w:hideMark/>
          </w:tcPr>
          <w:p w14:paraId="07D3AC68" w14:textId="77777777" w:rsidR="006F0E54" w:rsidRPr="0007451A" w:rsidRDefault="006F0E54" w:rsidP="009D57AD">
            <w:pPr>
              <w:jc w:val="right"/>
              <w:rPr>
                <w:rFonts w:asciiTheme="minorBidi" w:hAnsiTheme="minorBidi" w:cstheme="minorBidi"/>
                <w:sz w:val="19"/>
                <w:szCs w:val="19"/>
              </w:rPr>
            </w:pPr>
            <w:r w:rsidRPr="0007451A">
              <w:rPr>
                <w:rFonts w:asciiTheme="minorBidi" w:hAnsiTheme="minorBidi" w:cstheme="minorBidi"/>
                <w:i/>
                <w:iCs/>
                <w:color w:val="000000"/>
                <w:sz w:val="19"/>
                <w:szCs w:val="19"/>
              </w:rPr>
              <w:t>Media </w:t>
            </w:r>
          </w:p>
        </w:tc>
        <w:tc>
          <w:tcPr>
            <w:tcW w:w="0" w:type="auto"/>
            <w:tcBorders>
              <w:left w:val="single" w:sz="4" w:space="0" w:color="A5A5A5"/>
            </w:tcBorders>
            <w:tcMar>
              <w:top w:w="0" w:type="dxa"/>
              <w:left w:w="108" w:type="dxa"/>
              <w:bottom w:w="0" w:type="dxa"/>
              <w:right w:w="108" w:type="dxa"/>
            </w:tcMar>
            <w:hideMark/>
          </w:tcPr>
          <w:p w14:paraId="5E89C2DC" w14:textId="77777777" w:rsidR="006F0E54" w:rsidRPr="0007451A" w:rsidRDefault="006F0E54" w:rsidP="009D57AD">
            <w:pPr>
              <w:jc w:val="both"/>
              <w:rPr>
                <w:rFonts w:asciiTheme="minorBidi" w:hAnsiTheme="minorBidi" w:cstheme="minorBidi"/>
                <w:sz w:val="19"/>
                <w:szCs w:val="19"/>
              </w:rPr>
            </w:pPr>
            <w:r w:rsidRPr="0007451A">
              <w:rPr>
                <w:rFonts w:asciiTheme="minorBidi" w:hAnsiTheme="minorBidi" w:cstheme="minorBidi"/>
                <w:color w:val="000000"/>
                <w:sz w:val="19"/>
                <w:szCs w:val="19"/>
              </w:rPr>
              <w:t>Activation on day 22</w:t>
            </w:r>
          </w:p>
        </w:tc>
        <w:tc>
          <w:tcPr>
            <w:tcW w:w="0" w:type="auto"/>
            <w:tcBorders>
              <w:right w:val="single" w:sz="4" w:space="0" w:color="000000"/>
            </w:tcBorders>
            <w:tcMar>
              <w:top w:w="0" w:type="dxa"/>
              <w:left w:w="108" w:type="dxa"/>
              <w:bottom w:w="0" w:type="dxa"/>
              <w:right w:w="108" w:type="dxa"/>
            </w:tcMar>
            <w:hideMark/>
          </w:tcPr>
          <w:p w14:paraId="66054AC9" w14:textId="77777777" w:rsidR="006F0E54" w:rsidRPr="0007451A" w:rsidRDefault="006F0E54" w:rsidP="009D57AD">
            <w:pPr>
              <w:jc w:val="both"/>
              <w:rPr>
                <w:rFonts w:asciiTheme="minorBidi" w:hAnsiTheme="minorBidi" w:cstheme="minorBidi"/>
                <w:sz w:val="19"/>
                <w:szCs w:val="19"/>
              </w:rPr>
            </w:pPr>
            <w:r w:rsidRPr="0007451A">
              <w:rPr>
                <w:rFonts w:asciiTheme="minorBidi" w:hAnsiTheme="minorBidi" w:cstheme="minorBidi"/>
                <w:color w:val="000000"/>
                <w:sz w:val="19"/>
                <w:szCs w:val="19"/>
              </w:rPr>
              <w:t xml:space="preserve">During the 2005 outbreak, newspapers and TV channels published news about the cholera in the region after about three weeks of epidemic started (visit: </w:t>
            </w:r>
            <w:hyperlink r:id="rId14" w:history="1">
              <w:r w:rsidRPr="0007451A">
                <w:rPr>
                  <w:rFonts w:asciiTheme="minorBidi" w:hAnsiTheme="minorBidi" w:cstheme="minorBidi"/>
                  <w:color w:val="0563C1"/>
                  <w:sz w:val="19"/>
                  <w:szCs w:val="19"/>
                  <w:u w:val="single"/>
                </w:rPr>
                <w:t>Ghana News Archive</w:t>
              </w:r>
            </w:hyperlink>
            <w:r w:rsidRPr="0007451A">
              <w:rPr>
                <w:rFonts w:asciiTheme="minorBidi" w:hAnsiTheme="minorBidi" w:cstheme="minorBidi"/>
                <w:color w:val="000000"/>
                <w:sz w:val="19"/>
                <w:szCs w:val="19"/>
              </w:rPr>
              <w:t>).</w:t>
            </w:r>
          </w:p>
        </w:tc>
      </w:tr>
      <w:tr w:rsidR="006F0E54" w:rsidRPr="0007451A" w14:paraId="083EE6C1" w14:textId="77777777" w:rsidTr="009D57AD">
        <w:trPr>
          <w:trHeight w:val="780"/>
        </w:trPr>
        <w:tc>
          <w:tcPr>
            <w:tcW w:w="0" w:type="auto"/>
            <w:tcBorders>
              <w:left w:val="single" w:sz="4" w:space="0" w:color="000000"/>
              <w:right w:val="single" w:sz="4" w:space="0" w:color="A5A5A5"/>
            </w:tcBorders>
            <w:tcMar>
              <w:top w:w="0" w:type="dxa"/>
              <w:left w:w="108" w:type="dxa"/>
              <w:bottom w:w="0" w:type="dxa"/>
              <w:right w:w="108" w:type="dxa"/>
            </w:tcMar>
            <w:hideMark/>
          </w:tcPr>
          <w:p w14:paraId="14D59F67" w14:textId="77777777" w:rsidR="006F0E54" w:rsidRPr="0007451A" w:rsidRDefault="006F0E54" w:rsidP="009D57AD">
            <w:pPr>
              <w:jc w:val="right"/>
              <w:rPr>
                <w:rFonts w:asciiTheme="minorBidi" w:hAnsiTheme="minorBidi" w:cstheme="minorBidi"/>
                <w:sz w:val="19"/>
                <w:szCs w:val="19"/>
              </w:rPr>
            </w:pPr>
            <w:r w:rsidRPr="0007451A">
              <w:rPr>
                <w:rFonts w:asciiTheme="minorBidi" w:hAnsiTheme="minorBidi" w:cstheme="minorBidi"/>
                <w:i/>
                <w:iCs/>
                <w:color w:val="000000"/>
                <w:sz w:val="19"/>
                <w:szCs w:val="19"/>
              </w:rPr>
              <w:t>Waste collection</w:t>
            </w:r>
          </w:p>
        </w:tc>
        <w:tc>
          <w:tcPr>
            <w:tcW w:w="0" w:type="auto"/>
            <w:tcBorders>
              <w:left w:val="single" w:sz="4" w:space="0" w:color="A5A5A5"/>
            </w:tcBorders>
            <w:tcMar>
              <w:top w:w="0" w:type="dxa"/>
              <w:left w:w="108" w:type="dxa"/>
              <w:bottom w:w="0" w:type="dxa"/>
              <w:right w:w="108" w:type="dxa"/>
            </w:tcMar>
            <w:hideMark/>
          </w:tcPr>
          <w:p w14:paraId="6250FBC5" w14:textId="77777777" w:rsidR="006F0E54" w:rsidRPr="0007451A" w:rsidRDefault="006F0E54" w:rsidP="009D57AD">
            <w:pPr>
              <w:jc w:val="both"/>
              <w:rPr>
                <w:rFonts w:asciiTheme="minorBidi" w:hAnsiTheme="minorBidi" w:cstheme="minorBidi"/>
                <w:sz w:val="19"/>
                <w:szCs w:val="19"/>
              </w:rPr>
            </w:pPr>
            <w:r w:rsidRPr="0007451A">
              <w:rPr>
                <w:rFonts w:asciiTheme="minorBidi" w:hAnsiTheme="minorBidi" w:cstheme="minorBidi"/>
                <w:color w:val="000000"/>
                <w:sz w:val="19"/>
                <w:szCs w:val="19"/>
              </w:rPr>
              <w:t>85% of dumpsites</w:t>
            </w:r>
          </w:p>
        </w:tc>
        <w:tc>
          <w:tcPr>
            <w:tcW w:w="0" w:type="auto"/>
            <w:tcBorders>
              <w:right w:val="single" w:sz="4" w:space="0" w:color="000000"/>
            </w:tcBorders>
            <w:tcMar>
              <w:top w:w="0" w:type="dxa"/>
              <w:left w:w="108" w:type="dxa"/>
              <w:bottom w:w="0" w:type="dxa"/>
              <w:right w:w="108" w:type="dxa"/>
            </w:tcMar>
            <w:hideMark/>
          </w:tcPr>
          <w:p w14:paraId="57D7AE19" w14:textId="1E6648F9" w:rsidR="006F0E54" w:rsidRPr="0007451A" w:rsidRDefault="006F0E54" w:rsidP="009D57AD">
            <w:pPr>
              <w:jc w:val="both"/>
              <w:rPr>
                <w:rFonts w:asciiTheme="minorBidi" w:hAnsiTheme="minorBidi" w:cstheme="minorBidi"/>
                <w:sz w:val="19"/>
                <w:szCs w:val="19"/>
              </w:rPr>
            </w:pPr>
            <w:r w:rsidRPr="0007451A">
              <w:rPr>
                <w:rFonts w:asciiTheme="minorBidi" w:hAnsiTheme="minorBidi" w:cstheme="minorBidi"/>
                <w:color w:val="000000"/>
                <w:sz w:val="19"/>
                <w:szCs w:val="19"/>
              </w:rPr>
              <w:t xml:space="preserve">85% of waste is collected by Kumasi municipality </w:t>
            </w:r>
            <w:r w:rsidRPr="0007451A">
              <w:rPr>
                <w:rFonts w:asciiTheme="minorBidi" w:hAnsiTheme="minorBidi" w:cstheme="minorBidi"/>
                <w:color w:val="000000"/>
                <w:sz w:val="19"/>
                <w:szCs w:val="19"/>
              </w:rPr>
              <w:fldChar w:fldCharType="begin" w:fldLock="1"/>
            </w:r>
            <w:r w:rsidR="00C34CAD">
              <w:rPr>
                <w:rFonts w:asciiTheme="minorBidi" w:hAnsiTheme="minorBidi" w:cstheme="minorBidi"/>
                <w:color w:val="000000"/>
                <w:sz w:val="19"/>
                <w:szCs w:val="19"/>
              </w:rPr>
              <w:instrText>ADDIN CSL_CITATION {"citationItems":[{"id":"ITEM-1","itemData":{"DOI":"10.1016/j.wasman.2009.06.019","ISBN":"1879-2456 (Electronic)\\r0956-053X (Linking)","ISSN":"0956053X","PMID":"19615883","abstract":"Integrated waste management has been accepted as a sustainable approach to solid waste management in any region. It can be applied in both developed and developing countries. The difference is the approach taken to develop the integrated waste management system. This review looks at the integrated waste management system operating in the city of London, Ontario-Canada and how lessons can be drawn from the system's development and operation that will help implement a sustainable waste management system in the city of Kumasi, Ghana. The waste management system in London is designed such that all waste generated in the city is handled and disposed of appropriately. The responsibility of each sector handling waste is clearly defined and monitored. All major services are provided and delivered by a combination of public and private sector forces. The sustainability of the waste management in the city of London is attributed to the continuous improvement strategy framework adopted by the city based on the principles of integrated waste management. It is perceived that adopting a strategic framework based on the principles of integrated waste management with a strong political and social will, can transform the current waste management in Kumasi and other cities in developing countries in the bid for finding lasting solutions to the problems that have plagued the waste management system in these cities. ?? 2009 Elsevier Ltd. All rights reserved.","author":[{"dropping-particle":"","family":"Asase","given":"Mizpah","non-dropping-particle":"","parse-names":false,"suffix":""},{"dropping-particle":"","family":"Yanful","given":"Ernest K","non-dropping-particle":"","parse-names":false,"suffix":""},{"dropping-particle":"","family":"Mensah","given":"Moses","non-dropping-particle":"","parse-names":false,"suffix":""},{"dropping-particle":"","family":"Stanford","given":"Jay","non-dropping-particle":"","parse-names":false,"suffix":""},{"dropping-particle":"","family":"Amponsah","given":"Samuel","non-dropping-particle":"","parse-names":false,"suffix":""}],"container-title":"Waste Management","id":"ITEM-1","issue":"10","issued":{"date-parts":[["2009"]]},"page":"2779-2786","title":"Comparison of municipal solid waste management systems in Canada and Ghana: A case study of the cities of London, Ontario, and Kumasi, Ghana","type":"article","volume":"29"},"uris":["http://www.mendeley.com/documents/?uuid=fb90b58e-86cd-3e4b-b14e-d8cd32e00504"]}],"mendeley":{"formattedCitation":"[15]","plainTextFormattedCitation":"[15]","previouslyFormattedCitation":"[15]"},"properties":{"noteIndex":0},"schema":"https://github.com/citation-style-language/schema/raw/master/csl-citation.json"}</w:instrText>
            </w:r>
            <w:r w:rsidRPr="0007451A">
              <w:rPr>
                <w:rFonts w:asciiTheme="minorBidi" w:hAnsiTheme="minorBidi" w:cstheme="minorBidi"/>
                <w:color w:val="000000"/>
                <w:sz w:val="19"/>
                <w:szCs w:val="19"/>
              </w:rPr>
              <w:fldChar w:fldCharType="separate"/>
            </w:r>
            <w:r w:rsidR="00C34CAD" w:rsidRPr="00C34CAD">
              <w:rPr>
                <w:rFonts w:asciiTheme="minorBidi" w:hAnsiTheme="minorBidi" w:cstheme="minorBidi"/>
                <w:noProof/>
                <w:color w:val="000000"/>
                <w:sz w:val="19"/>
                <w:szCs w:val="19"/>
              </w:rPr>
              <w:t>[15]</w:t>
            </w:r>
            <w:r w:rsidRPr="0007451A">
              <w:rPr>
                <w:rFonts w:asciiTheme="minorBidi" w:hAnsiTheme="minorBidi" w:cstheme="minorBidi"/>
                <w:color w:val="000000"/>
                <w:sz w:val="19"/>
                <w:szCs w:val="19"/>
              </w:rPr>
              <w:fldChar w:fldCharType="end"/>
            </w:r>
            <w:r w:rsidRPr="0007451A">
              <w:rPr>
                <w:rFonts w:asciiTheme="minorBidi" w:hAnsiTheme="minorBidi" w:cstheme="minorBidi"/>
                <w:color w:val="000000"/>
                <w:sz w:val="19"/>
                <w:szCs w:val="19"/>
              </w:rPr>
              <w:t>. The rest remains uncollected for a week or more.</w:t>
            </w:r>
          </w:p>
        </w:tc>
      </w:tr>
      <w:tr w:rsidR="006F0E54" w:rsidRPr="0007451A" w14:paraId="502A9895" w14:textId="77777777" w:rsidTr="009D57AD">
        <w:trPr>
          <w:trHeight w:val="800"/>
        </w:trPr>
        <w:tc>
          <w:tcPr>
            <w:tcW w:w="0" w:type="auto"/>
            <w:tcBorders>
              <w:left w:val="single" w:sz="4" w:space="0" w:color="000000"/>
              <w:right w:val="single" w:sz="4" w:space="0" w:color="A5A5A5"/>
            </w:tcBorders>
            <w:tcMar>
              <w:top w:w="0" w:type="dxa"/>
              <w:left w:w="108" w:type="dxa"/>
              <w:bottom w:w="0" w:type="dxa"/>
              <w:right w:w="108" w:type="dxa"/>
            </w:tcMar>
            <w:hideMark/>
          </w:tcPr>
          <w:p w14:paraId="70271C47" w14:textId="77777777" w:rsidR="006F0E54" w:rsidRPr="0007451A" w:rsidRDefault="006F0E54" w:rsidP="009D57AD">
            <w:pPr>
              <w:jc w:val="right"/>
              <w:rPr>
                <w:rFonts w:asciiTheme="minorBidi" w:hAnsiTheme="minorBidi" w:cstheme="minorBidi"/>
                <w:sz w:val="19"/>
                <w:szCs w:val="19"/>
              </w:rPr>
            </w:pPr>
            <w:r w:rsidRPr="0007451A">
              <w:rPr>
                <w:rFonts w:asciiTheme="minorBidi" w:hAnsiTheme="minorBidi" w:cstheme="minorBidi"/>
                <w:i/>
                <w:iCs/>
                <w:color w:val="000000"/>
                <w:sz w:val="19"/>
                <w:szCs w:val="19"/>
              </w:rPr>
              <w:t>Amount of garbage </w:t>
            </w:r>
          </w:p>
        </w:tc>
        <w:tc>
          <w:tcPr>
            <w:tcW w:w="0" w:type="auto"/>
            <w:tcBorders>
              <w:left w:val="single" w:sz="4" w:space="0" w:color="A5A5A5"/>
            </w:tcBorders>
            <w:tcMar>
              <w:top w:w="0" w:type="dxa"/>
              <w:left w:w="108" w:type="dxa"/>
              <w:bottom w:w="0" w:type="dxa"/>
              <w:right w:w="108" w:type="dxa"/>
            </w:tcMar>
            <w:hideMark/>
          </w:tcPr>
          <w:p w14:paraId="2774C967" w14:textId="77777777" w:rsidR="006F0E54" w:rsidRPr="0007451A" w:rsidRDefault="006F0E54" w:rsidP="009D57AD">
            <w:pPr>
              <w:jc w:val="both"/>
              <w:rPr>
                <w:rFonts w:asciiTheme="minorBidi" w:hAnsiTheme="minorBidi" w:cstheme="minorBidi"/>
                <w:sz w:val="19"/>
                <w:szCs w:val="19"/>
              </w:rPr>
            </w:pPr>
            <w:r w:rsidRPr="0007451A">
              <w:rPr>
                <w:rFonts w:asciiTheme="minorBidi" w:hAnsiTheme="minorBidi" w:cstheme="minorBidi"/>
                <w:color w:val="000000"/>
                <w:sz w:val="19"/>
                <w:szCs w:val="19"/>
              </w:rPr>
              <w:t>2.925 Kg/household/day</w:t>
            </w:r>
          </w:p>
        </w:tc>
        <w:tc>
          <w:tcPr>
            <w:tcW w:w="0" w:type="auto"/>
            <w:tcBorders>
              <w:right w:val="single" w:sz="4" w:space="0" w:color="000000"/>
            </w:tcBorders>
            <w:tcMar>
              <w:top w:w="0" w:type="dxa"/>
              <w:left w:w="108" w:type="dxa"/>
              <w:bottom w:w="0" w:type="dxa"/>
              <w:right w:w="108" w:type="dxa"/>
            </w:tcMar>
            <w:hideMark/>
          </w:tcPr>
          <w:p w14:paraId="465F46C4" w14:textId="70693ABA" w:rsidR="006F0E54" w:rsidRPr="0007451A" w:rsidRDefault="006F0E54" w:rsidP="009D57AD">
            <w:pPr>
              <w:jc w:val="both"/>
              <w:rPr>
                <w:rFonts w:asciiTheme="minorBidi" w:hAnsiTheme="minorBidi" w:cstheme="minorBidi"/>
                <w:sz w:val="19"/>
                <w:szCs w:val="19"/>
              </w:rPr>
            </w:pPr>
            <w:r w:rsidRPr="0007451A">
              <w:rPr>
                <w:rFonts w:asciiTheme="minorBidi" w:hAnsiTheme="minorBidi" w:cstheme="minorBidi"/>
                <w:color w:val="000000"/>
                <w:sz w:val="19"/>
                <w:szCs w:val="19"/>
              </w:rPr>
              <w:t xml:space="preserve">derived from literature </w:t>
            </w:r>
            <w:r w:rsidRPr="0007451A">
              <w:rPr>
                <w:rFonts w:asciiTheme="minorBidi" w:hAnsiTheme="minorBidi" w:cstheme="minorBidi"/>
                <w:color w:val="000000"/>
                <w:sz w:val="19"/>
                <w:szCs w:val="19"/>
              </w:rPr>
              <w:fldChar w:fldCharType="begin" w:fldLock="1"/>
            </w:r>
            <w:r w:rsidR="00C34CAD">
              <w:rPr>
                <w:rFonts w:asciiTheme="minorBidi" w:hAnsiTheme="minorBidi" w:cstheme="minorBidi"/>
                <w:color w:val="000000"/>
                <w:sz w:val="19"/>
                <w:szCs w:val="19"/>
              </w:rPr>
              <w:instrText>ADDIN CSL_CITATION {"citationItems":[{"id":"ITEM-1","itemData":{"DOI":"10.1016/j.wasman.2015.09.009","ISBN":"978-0-8213-8865-5","ISSN":"18792456","PMID":"26421480","abstract":"Reliable national data on waste generation and composition that will inform effective planning on waste management in Ghana is absent. To help obtain this data on a regional basis, selected households in each region were recruited to obtain data on rate of waste generation, physical composition of waste, sorting and separation efficiency and per capita of waste. Results show that rate of waste generation in Ghana was 0.47. kg/person/day, which translates into about 12,710. tons of waste per day per the current population of 27,043,093. Nationally, biodegradable waste (organics and papers) was 0.318. kg/person/day and non-biodegradable or recyclables (metals, glass, textiles, leather and rubbers) was 0.096. kg/person/day. Inert and miscellaneous waste was 0.055. kg/person/day. The average household waste generation rate among the metropolitan cities, except Tamale, was high, 0.72. kg/person/day. Metropolises generated higher waste (average 0.63. kg/person/day) than the municipalities (0.40. kg/person/day) and the least in the districts (0.28. kg/person/day) which are less developed. The waste generation rate also varied across geographical locations, the coastal and forest zones generated higher waste than the northern savanna zone. Waste composition was 61% organics, 14% plastics, 6% inert, 5% miscellaneous, 5% paper, 3% metals, 3% glass, 1% leather and rubber, and 1% textiles. However, organics and plastics, the two major fractions of the household waste varied considerably across the geographical areas. In the coastal zone, the organic waste fraction was highest but decreased through the forest zone towards the northern savanna. However, through the same zones towards the north, plastic waste rather increased in percentage fraction. Households did separate their waste effectively averaging 80%. However, in terms of separating into the bin marked biodegradables, 84% effectiveness was obtained whiles 76% effectiveness for sorting into the bin labeled other waste was achieved.","author":[{"dropping-particle":"","family":"Miezah","given":"Kodwo","non-dropping-particle":"","parse-names":false,"suffix":""},{"dropping-particle":"","family":"Obiri-Danso","given":"Kwasi","non-dropping-particle":"","parse-names":false,"suffix":""},{"dropping-particle":"","family":"Kadar","given":"Zsofia","non-dropping-particle":"","parse-names":false,"suffix":""},{"dropping-particle":"","family":"Fei-Baffoe","given":"Bernard","non-dropping-particle":"","parse-names":false,"suffix":""},{"dropping-particle":"","family":"Mensah","given":"Moses Y.","non-dropping-particle":"","parse-names":false,"suffix":""}],"container-title":"Waste Management","id":"ITEM-1","issued":{"date-parts":[["2015","12"]]},"page":"15-27","title":"Municipal solid waste characterization and quantification as a measure towards effective waste management in Ghana","type":"article-journal","volume":"46"},"uris":["http://www.mendeley.com/documents/?uuid=bd6ae56b-179a-3179-a74f-d7506939f67e"]}],"mendeley":{"formattedCitation":"[16]","plainTextFormattedCitation":"[16]","previouslyFormattedCitation":"[16]"},"properties":{"noteIndex":0},"schema":"https://github.com/citation-style-language/schema/raw/master/csl-citation.json"}</w:instrText>
            </w:r>
            <w:r w:rsidRPr="0007451A">
              <w:rPr>
                <w:rFonts w:asciiTheme="minorBidi" w:hAnsiTheme="minorBidi" w:cstheme="minorBidi"/>
                <w:color w:val="000000"/>
                <w:sz w:val="19"/>
                <w:szCs w:val="19"/>
              </w:rPr>
              <w:fldChar w:fldCharType="separate"/>
            </w:r>
            <w:r w:rsidR="00C34CAD" w:rsidRPr="00C34CAD">
              <w:rPr>
                <w:rFonts w:asciiTheme="minorBidi" w:hAnsiTheme="minorBidi" w:cstheme="minorBidi"/>
                <w:noProof/>
                <w:color w:val="000000"/>
                <w:sz w:val="19"/>
                <w:szCs w:val="19"/>
              </w:rPr>
              <w:t>[16]</w:t>
            </w:r>
            <w:r w:rsidRPr="0007451A">
              <w:rPr>
                <w:rFonts w:asciiTheme="minorBidi" w:hAnsiTheme="minorBidi" w:cstheme="minorBidi"/>
                <w:color w:val="000000"/>
                <w:sz w:val="19"/>
                <w:szCs w:val="19"/>
              </w:rPr>
              <w:fldChar w:fldCharType="end"/>
            </w:r>
            <w:r w:rsidRPr="0007451A">
              <w:rPr>
                <w:rFonts w:asciiTheme="minorBidi" w:hAnsiTheme="minorBidi" w:cstheme="minorBidi"/>
                <w:color w:val="000000"/>
                <w:sz w:val="19"/>
                <w:szCs w:val="19"/>
              </w:rPr>
              <w:t>.</w:t>
            </w:r>
          </w:p>
        </w:tc>
      </w:tr>
      <w:tr w:rsidR="006F0E54" w:rsidRPr="0007451A" w14:paraId="2BF9BD8A" w14:textId="77777777" w:rsidTr="009D57AD">
        <w:trPr>
          <w:trHeight w:val="780"/>
        </w:trPr>
        <w:tc>
          <w:tcPr>
            <w:tcW w:w="0" w:type="auto"/>
            <w:tcBorders>
              <w:left w:val="single" w:sz="4" w:space="0" w:color="000000"/>
              <w:bottom w:val="single" w:sz="4" w:space="0" w:color="000000"/>
              <w:right w:val="single" w:sz="4" w:space="0" w:color="A5A5A5"/>
            </w:tcBorders>
            <w:tcMar>
              <w:top w:w="0" w:type="dxa"/>
              <w:left w:w="108" w:type="dxa"/>
              <w:bottom w:w="0" w:type="dxa"/>
              <w:right w:w="108" w:type="dxa"/>
            </w:tcMar>
            <w:hideMark/>
          </w:tcPr>
          <w:p w14:paraId="0D2C5BA2" w14:textId="77777777" w:rsidR="006F0E54" w:rsidRPr="0007451A" w:rsidRDefault="006F0E54" w:rsidP="009D57AD">
            <w:pPr>
              <w:jc w:val="right"/>
              <w:rPr>
                <w:rFonts w:asciiTheme="minorBidi" w:hAnsiTheme="minorBidi" w:cstheme="minorBidi"/>
                <w:sz w:val="19"/>
                <w:szCs w:val="19"/>
              </w:rPr>
            </w:pPr>
            <w:r w:rsidRPr="0007451A">
              <w:rPr>
                <w:rFonts w:asciiTheme="minorBidi" w:hAnsiTheme="minorBidi" w:cstheme="minorBidi"/>
                <w:i/>
                <w:iCs/>
                <w:color w:val="000000"/>
                <w:sz w:val="19"/>
                <w:szCs w:val="19"/>
              </w:rPr>
              <w:t>Number of contacts with neighbors</w:t>
            </w:r>
          </w:p>
        </w:tc>
        <w:tc>
          <w:tcPr>
            <w:tcW w:w="0" w:type="auto"/>
            <w:tcBorders>
              <w:left w:val="single" w:sz="4" w:space="0" w:color="A5A5A5"/>
              <w:bottom w:val="single" w:sz="4" w:space="0" w:color="000000"/>
            </w:tcBorders>
            <w:tcMar>
              <w:top w:w="0" w:type="dxa"/>
              <w:left w:w="108" w:type="dxa"/>
              <w:bottom w:w="0" w:type="dxa"/>
              <w:right w:w="108" w:type="dxa"/>
            </w:tcMar>
            <w:hideMark/>
          </w:tcPr>
          <w:p w14:paraId="79C3FE9C" w14:textId="77777777" w:rsidR="006F0E54" w:rsidRPr="0007451A" w:rsidRDefault="006F0E54" w:rsidP="009D57AD">
            <w:pPr>
              <w:jc w:val="both"/>
              <w:rPr>
                <w:rFonts w:asciiTheme="minorBidi" w:hAnsiTheme="minorBidi" w:cstheme="minorBidi"/>
                <w:sz w:val="19"/>
                <w:szCs w:val="19"/>
              </w:rPr>
            </w:pPr>
            <w:r w:rsidRPr="0007451A">
              <w:rPr>
                <w:rFonts w:asciiTheme="minorBidi" w:hAnsiTheme="minorBidi" w:cstheme="minorBidi"/>
                <w:color w:val="000000"/>
                <w:sz w:val="19"/>
                <w:szCs w:val="19"/>
              </w:rPr>
              <w:t>7 neighbors</w:t>
            </w:r>
          </w:p>
        </w:tc>
        <w:tc>
          <w:tcPr>
            <w:tcW w:w="0" w:type="auto"/>
            <w:tcBorders>
              <w:bottom w:val="single" w:sz="4" w:space="0" w:color="000000"/>
              <w:right w:val="single" w:sz="4" w:space="0" w:color="000000"/>
            </w:tcBorders>
            <w:tcMar>
              <w:top w:w="0" w:type="dxa"/>
              <w:left w:w="108" w:type="dxa"/>
              <w:bottom w:w="0" w:type="dxa"/>
              <w:right w:w="108" w:type="dxa"/>
            </w:tcMar>
            <w:hideMark/>
          </w:tcPr>
          <w:p w14:paraId="6F0B9FAE" w14:textId="62582F3E" w:rsidR="006F0E54" w:rsidRPr="0007451A" w:rsidRDefault="006F0E54" w:rsidP="009D57AD">
            <w:pPr>
              <w:jc w:val="both"/>
              <w:rPr>
                <w:rFonts w:asciiTheme="minorBidi" w:hAnsiTheme="minorBidi" w:cstheme="minorBidi"/>
                <w:sz w:val="19"/>
                <w:szCs w:val="19"/>
              </w:rPr>
            </w:pPr>
            <w:r w:rsidRPr="0007451A">
              <w:rPr>
                <w:rFonts w:asciiTheme="minorBidi" w:hAnsiTheme="minorBidi" w:cstheme="minorBidi"/>
                <w:color w:val="000000"/>
                <w:sz w:val="19"/>
                <w:szCs w:val="19"/>
              </w:rPr>
              <w:t xml:space="preserve">Derived from literature </w:t>
            </w:r>
            <w:r w:rsidRPr="0007451A">
              <w:rPr>
                <w:rFonts w:asciiTheme="minorBidi" w:hAnsiTheme="minorBidi" w:cstheme="minorBidi"/>
                <w:color w:val="000000"/>
                <w:sz w:val="19"/>
                <w:szCs w:val="19"/>
              </w:rPr>
              <w:fldChar w:fldCharType="begin" w:fldLock="1"/>
            </w:r>
            <w:r w:rsidR="00C34CAD">
              <w:rPr>
                <w:rFonts w:asciiTheme="minorBidi" w:hAnsiTheme="minorBidi" w:cstheme="minorBidi"/>
                <w:color w:val="000000"/>
                <w:sz w:val="19"/>
                <w:szCs w:val="19"/>
              </w:rPr>
              <w:instrText>ADDIN CSL_CITATION {"citationItems":[{"id":"ITEM-1","itemData":{"DOI":"10.1371/journal.pone.0170459","ISBN":"1111111111","ISSN":"1932-6203","PMID":"28099479","author":[{"dropping-particle":"","family":"Melegaro","given":"Alessia","non-dropping-particle":"","parse-names":false,"suffix":""},{"dropping-particle":"","family":"Fava","given":"Emanuele","non-dropping-particle":"Del","parse-names":false,"suffix":""},{"dropping-particle":"","family":"Poletti","given":"Piero","non-dropping-particle":"","parse-names":false,"suffix":""},{"dropping-particle":"","family":"Merler","given":"Stefano","non-dropping-particle":"","parse-names":false,"suffix":""},{"dropping-particle":"","family":"Nyamukapa","given":"Constance","non-dropping-particle":"","parse-names":false,"suffix":""},{"dropping-particle":"","family":"Williams","given":"John","non-dropping-particle":"","parse-names":false,"suffix":""},{"dropping-particle":"","family":"Gregson","given":"Simon","non-dropping-particle":"","parse-names":false,"suffix":""},{"dropping-particle":"","family":"Manfredi","given":"Piero","non-dropping-particle":"","parse-names":false,"suffix":""}],"container-title":"PLOS ONE","editor":[{"dropping-particle":"","family":"Nishiura","given":"Hiroshi","non-dropping-particle":"","parse-names":false,"suffix":""}],"id":"ITEM-1","issue":"1","issued":{"date-parts":[["2017","1","18"]]},"page":"e0170459","publisher":"Child Trends","title":"Social Contact Structures and Time Use Patterns in the Manicaland Province of Zimbabwe","type":"article-journal","volume":"12"},"uris":["http://www.mendeley.com/documents/?uuid=492fc044-e8a7-383f-8894-80815f3fe312"]}],"mendeley":{"formattedCitation":"[8]","plainTextFormattedCitation":"[8]","previouslyFormattedCitation":"[8]"},"properties":{"noteIndex":0},"schema":"https://github.com/citation-style-language/schema/raw/master/csl-citation.json"}</w:instrText>
            </w:r>
            <w:r w:rsidRPr="0007451A">
              <w:rPr>
                <w:rFonts w:asciiTheme="minorBidi" w:hAnsiTheme="minorBidi" w:cstheme="minorBidi"/>
                <w:color w:val="000000"/>
                <w:sz w:val="19"/>
                <w:szCs w:val="19"/>
              </w:rPr>
              <w:fldChar w:fldCharType="separate"/>
            </w:r>
            <w:r w:rsidR="00D010C7" w:rsidRPr="00D010C7">
              <w:rPr>
                <w:rFonts w:asciiTheme="minorBidi" w:hAnsiTheme="minorBidi" w:cstheme="minorBidi"/>
                <w:noProof/>
                <w:color w:val="000000"/>
                <w:sz w:val="19"/>
                <w:szCs w:val="19"/>
              </w:rPr>
              <w:t>[8]</w:t>
            </w:r>
            <w:r w:rsidRPr="0007451A">
              <w:rPr>
                <w:rFonts w:asciiTheme="minorBidi" w:hAnsiTheme="minorBidi" w:cstheme="minorBidi"/>
                <w:color w:val="000000"/>
                <w:sz w:val="19"/>
                <w:szCs w:val="19"/>
              </w:rPr>
              <w:fldChar w:fldCharType="end"/>
            </w:r>
            <w:r w:rsidRPr="0007451A">
              <w:rPr>
                <w:rFonts w:asciiTheme="minorBidi" w:hAnsiTheme="minorBidi" w:cstheme="minorBidi"/>
                <w:color w:val="000000"/>
                <w:sz w:val="19"/>
                <w:szCs w:val="19"/>
              </w:rPr>
              <w:t>.</w:t>
            </w:r>
          </w:p>
        </w:tc>
      </w:tr>
    </w:tbl>
    <w:p w14:paraId="26E91D31" w14:textId="52DAA0AA" w:rsidR="006F0E54" w:rsidRDefault="006F0E54" w:rsidP="006F0E54">
      <w:pPr>
        <w:pBdr>
          <w:top w:val="nil"/>
          <w:left w:val="nil"/>
          <w:bottom w:val="nil"/>
          <w:right w:val="nil"/>
          <w:between w:val="nil"/>
        </w:pBdr>
        <w:spacing w:before="120" w:after="120" w:line="480" w:lineRule="auto"/>
        <w:jc w:val="both"/>
        <w:rPr>
          <w:rFonts w:asciiTheme="minorBidi" w:eastAsia="Arial" w:hAnsiTheme="minorBidi" w:cstheme="minorBidi"/>
        </w:rPr>
      </w:pPr>
      <w:r w:rsidRPr="0007451A">
        <w:rPr>
          <w:rFonts w:asciiTheme="minorBidi" w:eastAsia="Arial" w:hAnsiTheme="minorBidi" w:cstheme="minorBidi"/>
        </w:rPr>
        <w:t>At initialization all spatial environments will be loaded, including rainfall data (</w:t>
      </w:r>
      <w:r w:rsidR="00DA6C3F">
        <w:rPr>
          <w:rFonts w:asciiTheme="minorBidi" w:eastAsia="Arial" w:hAnsiTheme="minorBidi" w:cstheme="minorBidi"/>
        </w:rPr>
        <w:t>S1</w:t>
      </w:r>
      <w:r w:rsidR="007073D3">
        <w:rPr>
          <w:rFonts w:asciiTheme="minorBidi" w:eastAsia="Arial" w:hAnsiTheme="minorBidi" w:cstheme="minorBidi"/>
        </w:rPr>
        <w:t xml:space="preserve"> </w:t>
      </w:r>
      <w:r w:rsidRPr="0007451A">
        <w:rPr>
          <w:rFonts w:asciiTheme="minorBidi" w:eastAsia="Arial" w:hAnsiTheme="minorBidi" w:cstheme="minorBidi"/>
        </w:rPr>
        <w:t>Fig 7). The infection level of the dumpsites will be set to zero. All river water is assumed to be clean.</w:t>
      </w:r>
    </w:p>
    <w:p w14:paraId="285268E2" w14:textId="00BB1EA4" w:rsidR="004B0974" w:rsidRPr="0007451A" w:rsidRDefault="004B0974" w:rsidP="004B0974">
      <w:pPr>
        <w:pBdr>
          <w:top w:val="nil"/>
          <w:left w:val="nil"/>
          <w:bottom w:val="nil"/>
          <w:right w:val="nil"/>
          <w:between w:val="nil"/>
        </w:pBdr>
        <w:spacing w:before="120" w:after="120" w:line="480" w:lineRule="auto"/>
        <w:jc w:val="center"/>
        <w:rPr>
          <w:rFonts w:asciiTheme="minorBidi" w:eastAsia="Arial" w:hAnsiTheme="minorBidi" w:cstheme="minorBidi"/>
        </w:rPr>
      </w:pPr>
      <w:r>
        <w:rPr>
          <w:rFonts w:asciiTheme="minorBidi" w:eastAsia="Arial" w:hAnsiTheme="minorBidi" w:cstheme="minorBidi"/>
          <w:noProof/>
        </w:rPr>
        <w:drawing>
          <wp:inline distT="0" distB="0" distL="0" distR="0" wp14:anchorId="259338BF" wp14:editId="7FD9EDD0">
            <wp:extent cx="5337069" cy="303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1 Appendix A Fig 7.tif"/>
                    <pic:cNvPicPr/>
                  </pic:nvPicPr>
                  <pic:blipFill>
                    <a:blip r:embed="rId15">
                      <a:extLst>
                        <a:ext uri="{28A0092B-C50C-407E-A947-70E740481C1C}">
                          <a14:useLocalDpi xmlns:a14="http://schemas.microsoft.com/office/drawing/2010/main" val="0"/>
                        </a:ext>
                      </a:extLst>
                    </a:blip>
                    <a:stretch>
                      <a:fillRect/>
                    </a:stretch>
                  </pic:blipFill>
                  <pic:spPr>
                    <a:xfrm>
                      <a:off x="0" y="0"/>
                      <a:ext cx="5355480" cy="3045771"/>
                    </a:xfrm>
                    <a:prstGeom prst="rect">
                      <a:avLst/>
                    </a:prstGeom>
                  </pic:spPr>
                </pic:pic>
              </a:graphicData>
            </a:graphic>
          </wp:inline>
        </w:drawing>
      </w:r>
    </w:p>
    <w:p w14:paraId="5811B445" w14:textId="609C6C8F" w:rsidR="006F0E54" w:rsidRPr="004B0974" w:rsidRDefault="00DA6C3F" w:rsidP="006F0E54">
      <w:pPr>
        <w:pStyle w:val="Caption"/>
        <w:jc w:val="center"/>
        <w:rPr>
          <w:b/>
          <w:bCs/>
          <w:i w:val="0"/>
          <w:iCs w:val="0"/>
        </w:rPr>
      </w:pPr>
      <w:r w:rsidRPr="004B0974">
        <w:rPr>
          <w:b/>
          <w:bCs/>
          <w:i w:val="0"/>
          <w:iCs w:val="0"/>
        </w:rPr>
        <w:t>S1</w:t>
      </w:r>
      <w:r w:rsidR="007073D3" w:rsidRPr="004B0974">
        <w:rPr>
          <w:b/>
          <w:bCs/>
          <w:i w:val="0"/>
          <w:iCs w:val="0"/>
        </w:rPr>
        <w:t xml:space="preserve"> </w:t>
      </w:r>
      <w:r w:rsidR="006F0E54" w:rsidRPr="004B0974">
        <w:rPr>
          <w:b/>
          <w:bCs/>
          <w:i w:val="0"/>
          <w:iCs w:val="0"/>
        </w:rPr>
        <w:t xml:space="preserve">Fig 7: CABM setup and running flow adjusted from </w:t>
      </w:r>
      <w:r w:rsidR="006F0E54" w:rsidRPr="004B0974">
        <w:rPr>
          <w:b/>
          <w:bCs/>
          <w:i w:val="0"/>
          <w:iCs w:val="0"/>
        </w:rPr>
        <w:fldChar w:fldCharType="begin" w:fldLock="1"/>
      </w:r>
      <w:r w:rsidR="00C34CAD" w:rsidRPr="004B0974">
        <w:rPr>
          <w:b/>
          <w:bCs/>
          <w:i w:val="0"/>
          <w:iCs w:val="0"/>
        </w:rPr>
        <w:instrText>ADDIN CSL_CITATION {"citationItems":[{"id":"ITEM-1","itemData":{"author":[{"dropping-particle":"","family":"Doldersum","given":"Tom","non-dropping-particle":"","parse-names":false,"suffix":""}],"id":"ITEM-1","issued":{"date-parts":[["2013"]]},"title":"The role of water in cholera diffusion Improvements of a cholera diffusion model for Kumasi, Ghana","type":"report"},"uris":["http://www.mendeley.com/documents/?uuid=a2ef698b-1f90-365b-8995-06180865511f"]}],"mendeley":{"formattedCitation":"[17]","plainTextFormattedCitation":"[17]","previouslyFormattedCitation":"[17]"},"properties":{"noteIndex":0},"schema":"https://github.com/citation-style-language/schema/raw/master/csl-citation.json"}</w:instrText>
      </w:r>
      <w:r w:rsidR="006F0E54" w:rsidRPr="004B0974">
        <w:rPr>
          <w:b/>
          <w:bCs/>
          <w:i w:val="0"/>
          <w:iCs w:val="0"/>
        </w:rPr>
        <w:fldChar w:fldCharType="separate"/>
      </w:r>
      <w:r w:rsidR="00C34CAD" w:rsidRPr="004B0974">
        <w:rPr>
          <w:b/>
          <w:bCs/>
          <w:i w:val="0"/>
          <w:iCs w:val="0"/>
          <w:noProof/>
        </w:rPr>
        <w:t>[17]</w:t>
      </w:r>
      <w:r w:rsidR="006F0E54" w:rsidRPr="004B0974">
        <w:rPr>
          <w:b/>
          <w:bCs/>
          <w:i w:val="0"/>
          <w:iCs w:val="0"/>
        </w:rPr>
        <w:fldChar w:fldCharType="end"/>
      </w:r>
    </w:p>
    <w:p w14:paraId="3A3DA23E" w14:textId="77777777" w:rsidR="006F0E54" w:rsidRPr="0007451A" w:rsidRDefault="006F0E54" w:rsidP="006F0E54">
      <w:pPr>
        <w:pStyle w:val="Heading3"/>
        <w:rPr>
          <w:lang w:eastAsia="en-GB"/>
        </w:rPr>
      </w:pPr>
      <w:r w:rsidRPr="0007451A">
        <w:rPr>
          <w:lang w:eastAsia="en-GB"/>
        </w:rPr>
        <w:lastRenderedPageBreak/>
        <w:t>Input data</w:t>
      </w:r>
    </w:p>
    <w:p w14:paraId="698602EE" w14:textId="492A4636"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For the CABM, data from the Ghana Bureau of Statistics </w:t>
      </w:r>
      <w:r w:rsidR="00B74211">
        <w:rPr>
          <w:rFonts w:asciiTheme="minorBidi" w:eastAsia="Arial" w:hAnsiTheme="minorBidi" w:cstheme="minorBidi"/>
        </w:rPr>
        <w:t>[58]</w:t>
      </w:r>
      <w:r w:rsidRPr="0007451A">
        <w:rPr>
          <w:rFonts w:asciiTheme="minorBidi" w:eastAsia="Arial" w:hAnsiTheme="minorBidi" w:cstheme="minorBidi"/>
        </w:rPr>
        <w:t xml:space="preserve"> is used to create the synthetic population of individuals and households. Data on access to tap water was derived from statistical information of the Ghana Statistical Service </w:t>
      </w:r>
      <w:r w:rsidR="00B74211">
        <w:rPr>
          <w:rFonts w:asciiTheme="minorBidi" w:eastAsia="Arial" w:hAnsiTheme="minorBidi" w:cstheme="minorBidi"/>
        </w:rPr>
        <w:t>[58]</w:t>
      </w:r>
      <w:r w:rsidRPr="0007451A">
        <w:rPr>
          <w:rFonts w:asciiTheme="minorBidi" w:eastAsia="Arial" w:hAnsiTheme="minorBidi" w:cstheme="minorBidi"/>
        </w:rPr>
        <w:t xml:space="preserve">. The dataset of confirmed Cholera cases for the 2005 epidemics were confirmed by a bacteriological test and were reported to the Disease Control Unit (DCU) by reporting facilities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{"citationItems":[{"id":"ITEM-1","itemData":{"DOI":"10.1186/1476-072X-7-62","ISSN":"1476-072X","abstract":"Cholera has persisted in Ghana since its introduction in the early 70's. From 1999 to 2005, the Ghana Ministry of Health officially reported a total of 26,924 cases and 620 deaths to the WHO. Etiological studies suggest that the natural habitat of V. cholera is the aquatic environment. Its ability to survive within and outside the aquatic environment makes cholera a complex health problem to manage. Once the disease is introduced in a population, several environmental factors may lead to prolonged transmission and secondary cases. An important environmental factor that predisposes individuals to cholera infection is sanitation. In this study, we exploit the importance of two main spatial measures of sanitation in cholera transmission in an urban city, Kumasi. These are proximity and density of refuse dumps within a community. A spatial statistical modelling carried out to determine the spatial dependency of cholera prevalence on refuse dumps show that, there is a direct spatial relationship between cholera prevalence and density of refuse dumps, and an inverse spatial relationship between cholera prevalence and distance to refuse dumps. A spatial scan statistics also identified four significant spatial clusters of cholera; a primary cluster with greater than expected cholera prevalence, and three secondary clusters with lower than expected cholera prevalence. A GIS based buffer analysis also showed that the minimum distance within which refuse dumps should not be sited within community centres is 500 m. The results suggest that proximity and density of open space refuse dumps play a contributory role in cholera infection in Kumasi.","author":[{"dropping-particle":"","family":"Osei","given":"Frank B","non-dropping-particle":"","parse-names":false,"suffix":""},{"dropping-particle":"","family":"Duker","given":"Alfred A","non-dropping-particle":"","parse-names":false,"suffix":""}],"container-title":"International Journal of Health Geographics","id":"ITEM-1","issue":"1","issued":{"date-parts":[["2008","12","16"]]},"page":"62","publisher":"BioMed Central","title":"Spatial dependency of V. cholera prevalence on open space refuse dumps in Kumasi, Ghana: a spatial statistical modelling","type":"article-journal","volume":"7"},"uris":["http://www.mendeley.com/documents/?uuid=835f2fe2-8b6c-385c-a4b4-fdef271d66e5"]}],"mendeley":{"formattedCitation":"[18]","plainTextFormattedCitation":"[18]","previouslyFormattedCitation":"[18]"},"properties":{"noteIndex":0},"schema":"https://github.com/citation-style-language/schema/raw/master/csl-citation.json"}</w:instrText>
      </w:r>
      <w:r w:rsidRPr="0007451A">
        <w:rPr>
          <w:rFonts w:asciiTheme="minorBidi" w:eastAsia="Arial" w:hAnsiTheme="minorBidi" w:cstheme="minorBidi"/>
        </w:rPr>
        <w:fldChar w:fldCharType="separate"/>
      </w:r>
      <w:r w:rsidR="00C34CAD" w:rsidRPr="00C34CAD">
        <w:rPr>
          <w:rFonts w:asciiTheme="minorBidi" w:eastAsia="Arial" w:hAnsiTheme="minorBidi" w:cstheme="minorBidi"/>
          <w:noProof/>
        </w:rPr>
        <w:t>[18]</w:t>
      </w:r>
      <w:r w:rsidRPr="0007451A">
        <w:rPr>
          <w:rFonts w:asciiTheme="minorBidi" w:eastAsia="Arial" w:hAnsiTheme="minorBidi" w:cstheme="minorBidi"/>
        </w:rPr>
        <w:fldChar w:fldCharType="end"/>
      </w:r>
      <w:r w:rsidRPr="0007451A">
        <w:rPr>
          <w:rFonts w:asciiTheme="minorBidi" w:eastAsia="Arial" w:hAnsiTheme="minorBidi" w:cstheme="minorBidi"/>
        </w:rPr>
        <w:t xml:space="preserve">. The DEM was downloaded from </w:t>
      </w:r>
      <w:hyperlink r:id="rId16" w:history="1">
        <w:r w:rsidRPr="0007451A">
          <w:rPr>
            <w:rFonts w:asciiTheme="minorBidi" w:eastAsia="Arial" w:hAnsiTheme="minorBidi" w:cstheme="minorBidi"/>
          </w:rPr>
          <w:t>CGIAR website</w:t>
        </w:r>
      </w:hyperlink>
      <w:r w:rsidRPr="0007451A">
        <w:rPr>
          <w:rFonts w:asciiTheme="minorBidi" w:eastAsia="Arial" w:hAnsiTheme="minorBidi" w:cstheme="minorBidi"/>
        </w:rPr>
        <w:t xml:space="preserve"> as a </w:t>
      </w:r>
      <w:proofErr w:type="spellStart"/>
      <w:r w:rsidRPr="0007451A">
        <w:rPr>
          <w:rFonts w:asciiTheme="minorBidi" w:eastAsia="Arial" w:hAnsiTheme="minorBidi" w:cstheme="minorBidi"/>
        </w:rPr>
        <w:t>Geotiff</w:t>
      </w:r>
      <w:proofErr w:type="spellEnd"/>
      <w:r w:rsidRPr="0007451A">
        <w:rPr>
          <w:rFonts w:asciiTheme="minorBidi" w:eastAsia="Arial" w:hAnsiTheme="minorBidi" w:cstheme="minorBidi"/>
        </w:rPr>
        <w:t xml:space="preserve"> image. Flow direction and flow accumulation layers have been calculated based on this DEM using ArcGIS. Houses were digiti</w:t>
      </w:r>
      <w:r>
        <w:rPr>
          <w:rFonts w:asciiTheme="minorBidi" w:eastAsia="Arial" w:hAnsiTheme="minorBidi" w:cstheme="minorBidi"/>
        </w:rPr>
        <w:t>z</w:t>
      </w:r>
      <w:r w:rsidRPr="0007451A">
        <w:rPr>
          <w:rFonts w:asciiTheme="minorBidi" w:eastAsia="Arial" w:hAnsiTheme="minorBidi" w:cstheme="minorBidi"/>
        </w:rPr>
        <w:t xml:space="preserve">ed based on the Google image of the area of the year 2006, and refuse dump locations have been collected using GPS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{"citationItems":[{"id":"ITEM-1","itemData":{"DOI":"10.1016/j.jag.2010.04.005","ISBN":"1569-8432, 1569-8432","ISSN":"15698432","abstract":"Cholera has been a public health burden in Ghana since the early 1970s. Between 1999 and 2005, a total of 25,636 cases and 620 deaths were officially reported to the WHO. In one of the worst affected urban cities, fecal contamination of surface water is extremely high, and the disease is reported to be prevalent among inhabitants living in close proximity to surface water bodies. Surface runoff from dump sites is a major source of fecal and bacterial contamination of rivers and streams in the study area. This study aims to determine (a) the impacts of surface water contamination on cholera infection and (b) detect and map arbitrary shaped clusters of cholera. A Geographic Information System (GIS) based spatial analysis is used to delineate potential reservoirs of the cholera vibrios; possibly contaminated by surface runoff from open space refuse dumps. Statistical modeling using OLS model reveals a significant negative association between (a) cholera prevalence and proximity to all the potential cholera reservoirs (R2 = 0.18, p &lt; 0.001) and (b) cholera prevalence and proximity to upstream potential cholera reservoirs (R2 = 0.25, p &lt; 0.001). The inclusion of spatial autoregressive coefficients in the OLS model reveals the dependency of the spatial distribution of cholera prevalence on the spatial neighbors of the communities. A flexible scan statistic identifies a most likely cluster with a higher relative risk (RR = 2.04, p &lt; 0.01) compared with the cluster detected by circular scan statistic (RR = 1.60, p &lt; 0.01). We conclude that surface water pollution through runoff from waste dump sites play a significant role in cholera infection. ?? 2010 Elsevier B.V. All rights reserved.","author":[{"dropping-particle":"","family":"Osei","given":"Frank B.","non-dropping-particle":"","parse-names":false,"suffix":""},{"dropping-particle":"","family":"Duker","given":"Alfred A.","non-dropping-particle":"","parse-names":false,"suffix":""},{"dropping-particle":"","family":"Augustijn","given":"Ellen Wien","non-dropping-particle":"","parse-names":false,"suffix":""},{"dropping-particle":"","family":"Stein","given":"Alfred","non-dropping-particle":"","parse-names":false,"suffix":""}],"container-title":"International Journal of Applied Earth Observation and Geoinformation","id":"ITEM-1","issue":"5","issued":{"date-parts":[["2010","10"]]},"page":"331-339","title":"Spatial dependency of cholera prevalence on potential cholera reservoirs in an urban area, Kumasi, Ghana","type":"article-journal","volume":"12"},"uris":["http://www.mendeley.com/documents/?uuid=fb8b5e42-386c-461a-86d1-27d01df735b1"]}],"mendeley":{"formattedCitation":"[19]","plainTextFormattedCitation":"[19]","previouslyFormattedCitation":"[19]"},"properties":{"noteIndex":0},"schema":"https://github.com/citation-style-language/schema/raw/master/csl-citation.json"}</w:instrText>
      </w:r>
      <w:r w:rsidRPr="0007451A">
        <w:rPr>
          <w:rFonts w:asciiTheme="minorBidi" w:eastAsia="Arial" w:hAnsiTheme="minorBidi" w:cstheme="minorBidi"/>
        </w:rPr>
        <w:fldChar w:fldCharType="separate"/>
      </w:r>
      <w:r w:rsidR="00C34CAD" w:rsidRPr="00C34CAD">
        <w:rPr>
          <w:rFonts w:asciiTheme="minorBidi" w:eastAsia="Arial" w:hAnsiTheme="minorBidi" w:cstheme="minorBidi"/>
          <w:noProof/>
        </w:rPr>
        <w:t>[19]</w:t>
      </w:r>
      <w:r w:rsidRPr="0007451A">
        <w:rPr>
          <w:rFonts w:asciiTheme="minorBidi" w:eastAsia="Arial" w:hAnsiTheme="minorBidi" w:cstheme="minorBidi"/>
        </w:rPr>
        <w:fldChar w:fldCharType="end"/>
      </w:r>
      <w:r w:rsidRPr="0007451A">
        <w:rPr>
          <w:rFonts w:asciiTheme="minorBidi" w:eastAsia="Arial" w:hAnsiTheme="minorBidi" w:cstheme="minorBidi"/>
        </w:rPr>
        <w:t xml:space="preserve">. </w:t>
      </w:r>
    </w:p>
    <w:p w14:paraId="552B5F91" w14:textId="180DD7A5"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The data of rainfall was gained from </w:t>
      </w:r>
      <w:proofErr w:type="spellStart"/>
      <w:r w:rsidRPr="0007451A">
        <w:rPr>
          <w:rFonts w:asciiTheme="minorBidi" w:eastAsia="Arial" w:hAnsiTheme="minorBidi" w:cstheme="minorBidi"/>
        </w:rPr>
        <w:t>Tutiempo</w:t>
      </w:r>
      <w:proofErr w:type="spellEnd"/>
      <w:r w:rsidRPr="0007451A">
        <w:rPr>
          <w:rFonts w:asciiTheme="minorBidi" w:eastAsia="Arial" w:hAnsiTheme="minorBidi" w:cstheme="minorBidi"/>
        </w:rPr>
        <w:t xml:space="preserve"> Network SL, that provided registered data from 30</w:t>
      </w:r>
      <w:r w:rsidRPr="005D03CA">
        <w:rPr>
          <w:rFonts w:asciiTheme="minorBidi" w:eastAsia="Arial" w:hAnsiTheme="minorBidi" w:cstheme="minorBidi"/>
          <w:vertAlign w:val="superscript"/>
        </w:rPr>
        <w:t>th</w:t>
      </w:r>
      <w:r w:rsidRPr="0007451A">
        <w:rPr>
          <w:rFonts w:asciiTheme="minorBidi" w:eastAsia="Arial" w:hAnsiTheme="minorBidi" w:cstheme="minorBidi"/>
        </w:rPr>
        <w:t xml:space="preserve"> of September to 30</w:t>
      </w:r>
      <w:r w:rsidRPr="005D03CA">
        <w:rPr>
          <w:rFonts w:asciiTheme="minorBidi" w:eastAsia="Arial" w:hAnsiTheme="minorBidi" w:cstheme="minorBidi"/>
          <w:vertAlign w:val="superscript"/>
        </w:rPr>
        <w:t>th</w:t>
      </w:r>
      <w:r w:rsidRPr="0007451A">
        <w:rPr>
          <w:rFonts w:asciiTheme="minorBidi" w:eastAsia="Arial" w:hAnsiTheme="minorBidi" w:cstheme="minorBidi"/>
        </w:rPr>
        <w:t xml:space="preserve"> of November, 2005. In </w:t>
      </w:r>
      <w:proofErr w:type="spellStart"/>
      <w:r w:rsidRPr="0007451A">
        <w:rPr>
          <w:rFonts w:asciiTheme="minorBidi" w:eastAsia="Arial" w:hAnsiTheme="minorBidi" w:cstheme="minorBidi"/>
        </w:rPr>
        <w:t>Augustijn</w:t>
      </w:r>
      <w:proofErr w:type="spellEnd"/>
      <w:r w:rsidRPr="0007451A">
        <w:rPr>
          <w:rFonts w:asciiTheme="minorBidi" w:eastAsia="Arial" w:hAnsiTheme="minorBidi" w:cstheme="minorBidi"/>
        </w:rPr>
        <w:t xml:space="preserve"> et al (2016), an assumption was made of two hours of rainfall per day since no information was available regarding hourly rainfall. </w:t>
      </w:r>
    </w:p>
    <w:p w14:paraId="7BFE2838" w14:textId="77777777" w:rsidR="006F0E54" w:rsidRPr="0007451A" w:rsidRDefault="006F0E54" w:rsidP="006F0E54">
      <w:pPr>
        <w:pStyle w:val="Heading4"/>
        <w:jc w:val="both"/>
        <w:rPr>
          <w:lang w:eastAsia="en-GB"/>
        </w:rPr>
      </w:pPr>
      <w:r w:rsidRPr="0007451A">
        <w:rPr>
          <w:lang w:eastAsia="en-GB"/>
        </w:rPr>
        <w:t>Learning data</w:t>
      </w:r>
    </w:p>
    <w:p w14:paraId="6059F7C9" w14:textId="7A385F34"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Perceiving risk has a great impact on the spread of diseases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{"citationItems":[{"id":"ITEM-1","itemData":{"DOI":"10.1016/j.procs.2010.04.264","ISBN":"1877-0509","ISSN":"18770509","abstract":"Social networks have become vital in the modeling of disease spread in populations, but so far these models have failed to take into account human risk perception: the fact that human beings, when aware of a disease outbreak, will take precautions to reduce their susceptibility. We study an existing model of risk perception on a social network and note the changes in the efficiency of the disease spread to previous studies that failed to take human behavior into account. We also discuss the accounts that need to be taken into consideration in the construction of accurate models of the population.","author":[{"dropping-particle":"","family":"Kitchovitch","given":"Stephan","non-dropping-particle":"","parse-names":false,"suffix":""},{"dropping-particle":"","family":"Liò","given":"Pietro","non-dropping-particle":"","parse-names":false,"suffix":""},{"dropping-particle":"","family":"Li","given":"Pietro","non-dropping-particle":"","parse-names":false,"suffix":""},{"dropping-particle":"","family":"Liò","given":"Pietro","non-dropping-particle":"","parse-names":false,"suffix":""}],"container-title":"Procedia Computer Science","id":"ITEM-1","issue":"1","issued":{"date-parts":[["2010","5","1"]]},"page":"2345-2354","publisher":"Elsevier","title":"Risk perception and disease spread on social networks","type":"article-journal","volume":"1"},"uris":["http://www.mendeley.com/documents/?uuid=d3420efd-54f0-4e9a-ab36-68381c4b6720"]}],"mendeley":{"formattedCitation":"[20]","plainTextFormattedCitation":"[20]","previouslyFormattedCitation":"[20]"},"properties":{"noteIndex":0},"schema":"https://github.com/citation-style-language/schema/raw/master/csl-citation.json"}</w:instrText>
      </w:r>
      <w:r w:rsidRPr="0007451A">
        <w:rPr>
          <w:rFonts w:asciiTheme="minorBidi" w:eastAsia="Arial" w:hAnsiTheme="minorBidi" w:cstheme="minorBidi"/>
        </w:rPr>
        <w:fldChar w:fldCharType="separate"/>
      </w:r>
      <w:r w:rsidR="00C34CAD" w:rsidRPr="00C34CAD">
        <w:rPr>
          <w:rFonts w:asciiTheme="minorBidi" w:eastAsia="Arial" w:hAnsiTheme="minorBidi" w:cstheme="minorBidi"/>
          <w:noProof/>
        </w:rPr>
        <w:t>[20]</w:t>
      </w:r>
      <w:r w:rsidRPr="0007451A">
        <w:rPr>
          <w:rFonts w:asciiTheme="minorBidi" w:eastAsia="Arial" w:hAnsiTheme="minorBidi" w:cstheme="minorBidi"/>
        </w:rPr>
        <w:fldChar w:fldCharType="end"/>
      </w:r>
      <w:r w:rsidRPr="0007451A">
        <w:rPr>
          <w:rFonts w:asciiTheme="minorBidi" w:eastAsia="Arial" w:hAnsiTheme="minorBidi" w:cstheme="minorBidi"/>
        </w:rPr>
        <w:t xml:space="preserve">. However, data on how people behave and perceive risk during epidemics are not available in most cases. There is a demand for micro-level </w:t>
      </w:r>
      <w:r>
        <w:rPr>
          <w:rFonts w:asciiTheme="minorBidi" w:eastAsia="Arial" w:hAnsiTheme="minorBidi" w:cstheme="minorBidi"/>
        </w:rPr>
        <w:t>behavior</w:t>
      </w:r>
      <w:r w:rsidRPr="0007451A">
        <w:rPr>
          <w:rFonts w:asciiTheme="minorBidi" w:eastAsia="Arial" w:hAnsiTheme="minorBidi" w:cstheme="minorBidi"/>
        </w:rPr>
        <w:t xml:space="preserve">al datasets that describe the relationship between risk perception and model variables. To obtain the data that was necessary to construct the structure of the BNs and train the learning algorithm we conducted two surveys: a survey among international participants of the Massive Open Online Course (MOOC) </w:t>
      </w:r>
      <w:proofErr w:type="spellStart"/>
      <w:r w:rsidRPr="0007451A">
        <w:rPr>
          <w:rFonts w:asciiTheme="minorBidi" w:eastAsia="Arial" w:hAnsiTheme="minorBidi" w:cstheme="minorBidi"/>
        </w:rPr>
        <w:t>Geohealth</w:t>
      </w:r>
      <w:proofErr w:type="spellEnd"/>
      <w:r w:rsidRPr="0007451A">
        <w:rPr>
          <w:rFonts w:asciiTheme="minorBidi" w:eastAsia="Arial" w:hAnsiTheme="minorBidi" w:cstheme="minorBidi"/>
        </w:rPr>
        <w:t xml:space="preserve"> and an online survey (Google survey). MOOC survey was run two times: in 2016 and 2017 with 194 and 235 participants from 92 countries respectively, while the Google survey was run in 2017 with 125 participants from 33 countries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{"citationItems":[{"id":"ITEM-1","itemData":{"DOI":"10.1007/s10707-019-00347-0","ISSN":"1384-6175","author":[{"dropping-particle":"","family":"Abdulkareem","given":"Shaheen Abdullah","non-dropping-particle":"","parse-names":false,"suffix":""},{"dropping-particle":"","family":"Mustafa","given":"Yaseen T.","non-dropping-particle":"","parse-names":false,"suffix":""},{"dropping-particle":"","family":"Augustijn","given":"Ellen-Wien","non-dropping-particle":"","parse-names":false,"suffix":""},{"dropping-particle":"","family":"Filatova","given":"Tatiana","non-dropping-particle":"","parse-names":false,"suffix":""}],"container-title":"GeoInformatica","id":"ITEM-1","issue":"2","issued":{"date-parts":[["2019","4","26"]]},"page":"243-268","publisher":"Springer US","title":"Bayesian networks for spatial learning: a workflow on using limited survey data for intelligent learning in spatial agent-based models","type":"article-journal","volume":"23"},"uris":["http://www.mendeley.com/documents/?uuid=c458f0a8-9978-413e-805c-fd7a45c95d85"]}],"mendeley":{"formattedCitation":"[5]","plainTextFormattedCitation":"[5]","previouslyFormattedCitation":"[5]"},"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[5]</w:t>
      </w:r>
      <w:r w:rsidRPr="0007451A">
        <w:rPr>
          <w:rFonts w:asciiTheme="minorBidi" w:eastAsia="Arial" w:hAnsiTheme="minorBidi" w:cstheme="minorBidi"/>
        </w:rPr>
        <w:fldChar w:fldCharType="end"/>
      </w:r>
      <w:r w:rsidRPr="0007451A">
        <w:rPr>
          <w:rFonts w:asciiTheme="minorBidi" w:eastAsia="Arial" w:hAnsiTheme="minorBidi" w:cstheme="minorBidi"/>
        </w:rPr>
        <w:t>.</w:t>
      </w:r>
    </w:p>
    <w:p w14:paraId="7683B534"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In the MOOC survey, four levels of pollution were shown through pictures: no visual pollution, brown water, low visual pollution and high visual pollution. While, in the Google survey, participants only knew that the water was polluted, without any indication of the level of pollution. Thus, we combined the data gathered from these two surveys into one dataset to ensure that all possible combinations of factors were stated and risk perception responses were included.</w:t>
      </w:r>
    </w:p>
    <w:p w14:paraId="35CB8E44"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The participants of both surveys are well-educated people. However, results show that participants evaluated the quality of the water by its appearance. This confirms the assumption that low income population of Kumasi does the same. We use our abstract eyes to judge the surrounding and make conclusions in certain situations.</w:t>
      </w:r>
    </w:p>
    <w:p w14:paraId="5D1DA2A4" w14:textId="0C869B68"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lastRenderedPageBreak/>
        <w:t xml:space="preserve">The datasets gathered from the surveys were used to train and validate the learning algorithm (in our case the Bayesian Networks) to be integrated with CABM to steer the </w:t>
      </w:r>
      <w:r>
        <w:rPr>
          <w:rFonts w:asciiTheme="minorBidi" w:eastAsia="Arial" w:hAnsiTheme="minorBidi" w:cstheme="minorBidi"/>
        </w:rPr>
        <w:t>behavior</w:t>
      </w:r>
      <w:r w:rsidRPr="0007451A">
        <w:rPr>
          <w:rFonts w:asciiTheme="minorBidi" w:eastAsia="Arial" w:hAnsiTheme="minorBidi" w:cstheme="minorBidi"/>
        </w:rPr>
        <w:t xml:space="preserve"> of household agents during the simulation. In addition, they were also used to validat</w:t>
      </w:r>
      <w:r>
        <w:rPr>
          <w:rFonts w:asciiTheme="minorBidi" w:eastAsia="Arial" w:hAnsiTheme="minorBidi" w:cstheme="minorBidi"/>
        </w:rPr>
        <w:t>e</w:t>
      </w:r>
      <w:r w:rsidRPr="0007451A">
        <w:rPr>
          <w:rFonts w:asciiTheme="minorBidi" w:eastAsia="Arial" w:hAnsiTheme="minorBidi" w:cstheme="minorBidi"/>
        </w:rPr>
        <w:t xml:space="preserve"> the risk perception and coping appraisal of household agents in the simulation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{"citationItems":[{"id":"ITEM-1","itemData":{"DOI":"10.1007/s10707-019-00347-0","ISSN":"1384-6175","author":[{"dropping-particle":"","family":"Abdulkareem","given":"Shaheen Abdullah","non-dropping-particle":"","parse-names":false,"suffix":""},{"dropping-particle":"","family":"Mustafa","given":"Yaseen T.","non-dropping-particle":"","parse-names":false,"suffix":""},{"dropping-particle":"","family":"Augustijn","given":"Ellen-Wien","non-dropping-particle":"","parse-names":false,"suffix":""},{"dropping-particle":"","family":"Filatova","given":"Tatiana","non-dropping-particle":"","parse-names":false,"suffix":""}],"container-title":"GeoInformatica","id":"ITEM-1","issue":"2","issued":{"date-parts":[["2019","4","26"]]},"page":"243-268","publisher":"Springer US","title":"Bayesian networks for spatial learning: a workflow on using limited survey data for intelligent learning in spatial agent-based models","type":"article-journal","volume":"23"},"uris":["http://www.mendeley.com/documents/?uuid=c458f0a8-9978-413e-805c-fd7a45c95d85"]}],"mendeley":{"formattedCitation":"[5]","plainTextFormattedCitation":"[5]","previouslyFormattedCitation":"[5]"},"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[5]</w:t>
      </w:r>
      <w:r w:rsidRPr="0007451A">
        <w:rPr>
          <w:rFonts w:asciiTheme="minorBidi" w:eastAsia="Arial" w:hAnsiTheme="minorBidi" w:cstheme="minorBidi"/>
        </w:rPr>
        <w:fldChar w:fldCharType="end"/>
      </w:r>
      <w:r w:rsidRPr="0007451A">
        <w:rPr>
          <w:rFonts w:asciiTheme="minorBidi" w:eastAsia="Arial" w:hAnsiTheme="minorBidi" w:cstheme="minorBidi"/>
        </w:rPr>
        <w:t>.</w:t>
      </w:r>
    </w:p>
    <w:p w14:paraId="54F5428C" w14:textId="77777777" w:rsidR="006F0E54" w:rsidRPr="0007451A" w:rsidRDefault="006F0E54" w:rsidP="006F0E54">
      <w:pPr>
        <w:spacing w:after="120" w:line="336" w:lineRule="auto"/>
        <w:jc w:val="both"/>
        <w:rPr>
          <w:rFonts w:asciiTheme="minorBidi" w:hAnsiTheme="minorBidi" w:cstheme="minorBidi"/>
          <w:sz w:val="21"/>
          <w:szCs w:val="21"/>
          <w:lang w:eastAsia="en-GB"/>
        </w:rPr>
      </w:pPr>
    </w:p>
    <w:p w14:paraId="6006CDF3" w14:textId="77777777" w:rsidR="006F0E54" w:rsidRPr="0007451A" w:rsidRDefault="006F0E54" w:rsidP="006F0E54">
      <w:pPr>
        <w:pStyle w:val="Heading3"/>
        <w:rPr>
          <w:lang w:eastAsia="en-GB"/>
        </w:rPr>
      </w:pPr>
      <w:r w:rsidRPr="0007451A">
        <w:rPr>
          <w:lang w:eastAsia="en-GB"/>
        </w:rPr>
        <w:t>Sub-models</w:t>
      </w:r>
    </w:p>
    <w:p w14:paraId="0017BBFF" w14:textId="77777777" w:rsidR="006F0E54" w:rsidRPr="0007451A" w:rsidRDefault="006F0E54" w:rsidP="006F0E54">
      <w:pPr>
        <w:pStyle w:val="Heading4"/>
        <w:jc w:val="both"/>
        <w:rPr>
          <w:lang w:eastAsia="en-GB"/>
        </w:rPr>
      </w:pPr>
      <w:r w:rsidRPr="0007451A">
        <w:rPr>
          <w:lang w:eastAsia="en-GB"/>
        </w:rPr>
        <w:t>Disease Spread Model</w:t>
      </w:r>
    </w:p>
    <w:p w14:paraId="2993DB83" w14:textId="668549EF" w:rsidR="006F0E54" w:rsidRDefault="006F0E54" w:rsidP="00975445">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The cholera infection spreads via infected water in two ways either Environment – to – Human (EH) or Human – to – Environment – to – Human (HEH) that corresponds to a hyper infectious state and normal infectious state. By default, the probability of fetching EH polluted water with cholera is 3 %</w:t>
      </w:r>
      <w:r w:rsidR="00975445">
        <w:rPr>
          <w:rFonts w:asciiTheme="minorBidi" w:eastAsia="Arial" w:hAnsiTheme="minorBidi" w:cstheme="minorBidi"/>
        </w:rPr>
        <w:t xml:space="preserve"> (</w:t>
      </w:r>
      <w:r w:rsidR="00975445">
        <w:rPr>
          <w:rFonts w:asciiTheme="minorBidi" w:eastAsia="Arial" w:hAnsiTheme="minorBidi" w:cstheme="minorBidi"/>
          <w:i/>
          <w:iCs/>
          <w:lang w:val="en"/>
        </w:rPr>
        <w:t>t</w:t>
      </w:r>
      <w:r w:rsidR="00975445" w:rsidRPr="00975445">
        <w:rPr>
          <w:rFonts w:asciiTheme="minorBidi" w:eastAsia="Arial" w:hAnsiTheme="minorBidi" w:cstheme="minorBidi"/>
          <w:i/>
          <w:iCs/>
          <w:lang w:val="en"/>
        </w:rPr>
        <w:t>he value for the probability of fetching EH contaminated water was determined by running the model with a range of input values (1– 6%) to identify the minimum value for which the output was stable, which was 3%.</w:t>
      </w:r>
      <w:r w:rsidR="00975445">
        <w:rPr>
          <w:rFonts w:asciiTheme="minorBidi" w:eastAsia="Arial" w:hAnsiTheme="minorBidi" w:cstheme="minorBidi"/>
        </w:rPr>
        <w:t>)</w:t>
      </w:r>
      <w:r w:rsidRPr="0007451A">
        <w:rPr>
          <w:rFonts w:asciiTheme="minorBidi" w:eastAsia="Arial" w:hAnsiTheme="minorBidi" w:cstheme="minorBidi"/>
        </w:rPr>
        <w:t xml:space="preserve">. </w:t>
      </w:r>
      <w:r w:rsidRPr="00E120F3">
        <w:rPr>
          <w:rFonts w:asciiTheme="minorBidi" w:eastAsia="Arial" w:hAnsiTheme="minorBidi" w:cstheme="minorBidi"/>
          <w:lang w:val="en"/>
        </w:rPr>
        <w:t xml:space="preserve">To illustrate the selection of the value for the probability of fetching EH polluted water we refer to the </w:t>
      </w:r>
      <w:r w:rsidR="00DA6C3F">
        <w:rPr>
          <w:rFonts w:asciiTheme="minorBidi" w:eastAsia="Arial" w:hAnsiTheme="minorBidi" w:cstheme="minorBidi"/>
          <w:lang w:val="en"/>
        </w:rPr>
        <w:t>S1</w:t>
      </w:r>
      <w:r w:rsidR="005D03CA">
        <w:rPr>
          <w:rFonts w:asciiTheme="minorBidi" w:eastAsia="Arial" w:hAnsiTheme="minorBidi" w:cstheme="minorBidi"/>
          <w:lang w:val="en"/>
        </w:rPr>
        <w:t xml:space="preserve"> </w:t>
      </w:r>
      <w:r>
        <w:rPr>
          <w:rFonts w:asciiTheme="minorBidi" w:eastAsia="Arial" w:hAnsiTheme="minorBidi" w:cstheme="minorBidi"/>
          <w:lang w:val="en"/>
        </w:rPr>
        <w:t xml:space="preserve">Fig 8 that was tested in </w:t>
      </w:r>
      <w:r w:rsidRPr="0007451A">
        <w:rPr>
          <w:rFonts w:asciiTheme="minorBidi" w:eastAsia="Arial" w:hAnsiTheme="minorBidi" w:cstheme="minorBidi"/>
        </w:rPr>
        <w:fldChar w:fldCharType="begin" w:fldLock="1"/>
      </w:r>
      <w:r w:rsidR="00D010C7">
        <w:rPr>
          <w:rFonts w:asciiTheme="minorBidi" w:eastAsia="Arial" w:hAnsiTheme="minorBidi" w:cstheme="minorBidi"/>
        </w:rPr>
        <w:instrText>ADDIN CSL_CITATION {"citationItems":[{"id":"ITEM-1","itemData":{"DOI":"10.1007/s00477-015-1199-x","ISBN":"1436-3240","ISSN":"14363259","abstract":"This paper introduces a spatially explicit agent-based simulation model for micro-scale cholera diffusion. The model simulates both an environmental reservoir of naturally occurring V.cholerae bacteria and hyperinfectious V. cholerae. Objective of the research is to test if runoff from open refuse dumpsites plays a role in cholera diffusion. A number of experiments were conducted with the model for a case study in Kumasi, Ghana, based on an epidemic in 2005. Experiments confirm the importance of the hyperinfectious transmission route, however, they also reveal the importance of a representative spatial distribution of the income classes. Although the contribution of runoff from dumpsites can never be conclusively proven, the experiments show that modelling the epidemic via this mechanism is possible and improves the model results. Relevance of this research is that it shows the possibilities of agent-based modelling combined with pattern reproduction for cholera diffusion studies. The proposed model is simple in its setup but can be extended by adding additional elements such as human movement and change of behaviour of individuals based on disease awareness. Eventually, agent-based models will open opportunities to explore policy related research questions related to interventions to influence the diffusion process.","author":[{"dropping-particle":"","family":"Augustijn","given":"Ellen-wien Wien","non-dropping-particle":"","parse-names":false,"suffix":""},{"dropping-particle":"","family":"Doldersum","given":"Tom","non-dropping-particle":"","parse-names":false,"suffix":""},{"dropping-particle":"","family":"Useya","given":"Juliana","non-dropping-particle":"","parse-names":false,"suffix":""},{"dropping-particle":"","family":"Augustijn","given":"Denie","non-dropping-particle":"","parse-names":false,"suffix":""}],"container-title":"Stochastic Environmental Research and Risk Assessment","id":"ITEM-1","issue":"8","issued":{"date-parts":[["2016"]]},"page":"2079-2095","title":"Agent-based modelling of cholera","type":"article-journal","volume":"30"},"uris":["http://www.mendeley.com/documents/?uuid=f2604c96-0549-4e10-875f-647b901b7e37"]}],"mendeley":{"formattedCitation":"[1]","plainTextFormattedCitation":"[1]","previouslyFormattedCitation":"[1]"},"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[1]</w:t>
      </w:r>
      <w:r w:rsidRPr="0007451A">
        <w:rPr>
          <w:rFonts w:asciiTheme="minorBidi" w:eastAsia="Arial" w:hAnsiTheme="minorBidi" w:cstheme="minorBidi"/>
        </w:rPr>
        <w:fldChar w:fldCharType="end"/>
      </w:r>
      <w:r w:rsidRPr="00E120F3">
        <w:rPr>
          <w:rFonts w:asciiTheme="minorBidi" w:eastAsia="Arial" w:hAnsiTheme="minorBidi" w:cstheme="minorBidi"/>
          <w:lang w:val="en"/>
        </w:rPr>
        <w:t>.</w:t>
      </w:r>
      <w:r w:rsidRPr="00D43BA1">
        <w:rPr>
          <w:rFonts w:asciiTheme="minorBidi" w:eastAsia="Arial" w:hAnsiTheme="minorBidi" w:cstheme="minorBidi"/>
          <w:i/>
          <w:iCs/>
          <w:lang w:val="en"/>
        </w:rPr>
        <w:t xml:space="preserve"> </w:t>
      </w:r>
      <w:r w:rsidRPr="0007451A">
        <w:rPr>
          <w:rFonts w:asciiTheme="minorBidi" w:eastAsia="Arial" w:hAnsiTheme="minorBidi" w:cstheme="minorBidi"/>
        </w:rPr>
        <w:t>However, the probability of fetching HEH infected water relies on the runoff from infected dumpsites that is varying in space and time. It is assumed that the infection level of a dumpsite is increased after dumping infected waste. This will lead dumpsites to induce runoff particles with hyper infectious bacteria if the infection level of the dumpsite is above the threshold.</w:t>
      </w:r>
    </w:p>
    <w:p w14:paraId="22723BF4" w14:textId="359E516C" w:rsidR="004B0974" w:rsidRDefault="004B0974" w:rsidP="004B0974">
      <w:pPr>
        <w:pBdr>
          <w:top w:val="nil"/>
          <w:left w:val="nil"/>
          <w:bottom w:val="nil"/>
          <w:right w:val="nil"/>
          <w:between w:val="nil"/>
        </w:pBdr>
        <w:spacing w:after="120" w:line="480" w:lineRule="auto"/>
        <w:jc w:val="center"/>
        <w:rPr>
          <w:rFonts w:asciiTheme="minorBidi" w:eastAsia="Arial" w:hAnsiTheme="minorBidi" w:cstheme="minorBidi"/>
        </w:rPr>
      </w:pPr>
      <w:bookmarkStart w:id="0" w:name="_GoBack"/>
      <w:r>
        <w:rPr>
          <w:rFonts w:asciiTheme="minorBidi" w:eastAsia="Arial" w:hAnsiTheme="minorBidi" w:cstheme="minorBidi"/>
          <w:noProof/>
        </w:rPr>
        <w:drawing>
          <wp:inline distT="0" distB="0" distL="0" distR="0" wp14:anchorId="15A65B2D" wp14:editId="5CD65CB5">
            <wp:extent cx="5411196" cy="260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1 Appendix A Fig 8.tif"/>
                    <pic:cNvPicPr/>
                  </pic:nvPicPr>
                  <pic:blipFill>
                    <a:blip r:embed="rId17">
                      <a:extLst>
                        <a:ext uri="{28A0092B-C50C-407E-A947-70E740481C1C}">
                          <a14:useLocalDpi xmlns:a14="http://schemas.microsoft.com/office/drawing/2010/main" val="0"/>
                        </a:ext>
                      </a:extLst>
                    </a:blip>
                    <a:stretch>
                      <a:fillRect/>
                    </a:stretch>
                  </pic:blipFill>
                  <pic:spPr>
                    <a:xfrm>
                      <a:off x="0" y="0"/>
                      <a:ext cx="5427123" cy="2611163"/>
                    </a:xfrm>
                    <a:prstGeom prst="rect">
                      <a:avLst/>
                    </a:prstGeom>
                  </pic:spPr>
                </pic:pic>
              </a:graphicData>
            </a:graphic>
          </wp:inline>
        </w:drawing>
      </w:r>
      <w:bookmarkEnd w:id="0"/>
    </w:p>
    <w:p w14:paraId="2858FB12" w14:textId="2162D0A3" w:rsidR="006F0E54" w:rsidRPr="004B0974" w:rsidRDefault="00DA6C3F" w:rsidP="006F0E54">
      <w:pPr>
        <w:pBdr>
          <w:top w:val="nil"/>
          <w:left w:val="nil"/>
          <w:bottom w:val="nil"/>
          <w:right w:val="nil"/>
          <w:between w:val="nil"/>
        </w:pBdr>
        <w:spacing w:after="120" w:line="480" w:lineRule="auto"/>
        <w:jc w:val="center"/>
        <w:rPr>
          <w:rFonts w:eastAsia="Arial"/>
          <w:b/>
          <w:bCs/>
          <w:color w:val="2F5496" w:themeColor="accent1" w:themeShade="BF"/>
        </w:rPr>
      </w:pPr>
      <w:r w:rsidRPr="004B0974">
        <w:rPr>
          <w:b/>
          <w:bCs/>
          <w:color w:val="2F5496" w:themeColor="accent1" w:themeShade="BF"/>
        </w:rPr>
        <w:t>S1</w:t>
      </w:r>
      <w:r w:rsidR="005D03CA" w:rsidRPr="004B0974">
        <w:rPr>
          <w:b/>
          <w:bCs/>
          <w:color w:val="2F5496" w:themeColor="accent1" w:themeShade="BF"/>
        </w:rPr>
        <w:t xml:space="preserve"> </w:t>
      </w:r>
      <w:r w:rsidR="006F0E54" w:rsidRPr="004B0974">
        <w:rPr>
          <w:b/>
          <w:bCs/>
          <w:color w:val="2F5496" w:themeColor="accent1" w:themeShade="BF"/>
        </w:rPr>
        <w:t xml:space="preserve">Fig 8: Identifying the minimum value to stabilize the CABM with a range of input values (1 – 6%) </w:t>
      </w:r>
      <w:r w:rsidR="006F0E54" w:rsidRPr="004B0974">
        <w:rPr>
          <w:rFonts w:eastAsia="Arial"/>
          <w:b/>
          <w:bCs/>
          <w:color w:val="2F5496" w:themeColor="accent1" w:themeShade="BF"/>
        </w:rPr>
        <w:fldChar w:fldCharType="begin" w:fldLock="1"/>
      </w:r>
      <w:r w:rsidR="00D010C7" w:rsidRPr="004B0974">
        <w:rPr>
          <w:rFonts w:eastAsia="Arial"/>
          <w:b/>
          <w:bCs/>
          <w:color w:val="2F5496" w:themeColor="accent1" w:themeShade="BF"/>
        </w:rPr>
        <w:instrText>ADDIN CSL_CITATION {"citationItems":[{"id":"ITEM-1","itemData":{"DOI":"10.1007/s00477-015-1199-x","ISBN":"1436-3240","ISSN":"14363259","abstract":"This paper introduces a spatially explicit agent-based simulation model for micro-scale cholera diffusion. The model simulates both an environmental reservoir of naturally occurring V.cholerae bacteria and hyperinfectious V. cholerae. Objective of the research is to test if runoff from open refuse dumpsites plays a role in cholera diffusion. A number of experiments were conducted with the model for a case study in Kumasi, Ghana, based on an epidemic in 2005. Experiments confirm the importance of the hyperinfectious transmission route, however, they also reveal the importance of a representative spatial distribution of the income classes. Although the contribution of runoff from dumpsites can never be conclusively proven, the experiments show that modelling the epidemic via this mechanism is possible and improves the model results. Relevance of this research is that it shows the possibilities of agent-based modelling combined with pattern reproduction for cholera diffusion studies. The proposed model is simple in its setup but can be extended by adding additional elements such as human movement and change of behaviour of individuals based on disease awareness. Eventually, agent-based models will open opportunities to explore policy related research questions related to interventions to influence the diffusion process.","author":[{"dropping-particle":"","family":"Augustijn","given":"Ellen-wien Wien","non-dropping-particle":"","parse-names":false,"suffix":""},{"dropping-particle":"","family":"Doldersum","given":"Tom","non-dropping-particle":"","parse-names":false,"suffix":""},{"dropping-particle":"","family":"Useya","given":"Juliana","non-dropping-particle":"","parse-names":false,"suffix":""},{"dropping-particle":"","family":"Augustijn","given":"Denie","non-dropping-particle":"","parse-names":false,"suffix":""}],"container-title":"Stochastic Environmental Research and Risk Assessment","id":"ITEM-1","issue":"8","issued":{"date-parts":[["2016"]]},"page":"2079-2095","title":"Agent-based modelling of cholera","type":"article-journal","volume":"30"},"uris":["http://www.mendeley.com/documents/?uuid=f2604c96-0549-4e10-875f-647b901b7e37"]}],"mendeley":{"formattedCitation":"[1]","plainTextFormattedCitation":"[1]","previouslyFormattedCitation":"[1]"},"properties":{"noteIndex":0},"schema":"https://github.com/citation-style-language/schema/raw/master/csl-citation.json"}</w:instrText>
      </w:r>
      <w:r w:rsidR="006F0E54" w:rsidRPr="004B0974">
        <w:rPr>
          <w:rFonts w:eastAsia="Arial"/>
          <w:b/>
          <w:bCs/>
          <w:color w:val="2F5496" w:themeColor="accent1" w:themeShade="BF"/>
        </w:rPr>
        <w:fldChar w:fldCharType="separate"/>
      </w:r>
      <w:r w:rsidR="00D010C7" w:rsidRPr="004B0974">
        <w:rPr>
          <w:rFonts w:eastAsia="Arial"/>
          <w:b/>
          <w:bCs/>
          <w:noProof/>
          <w:color w:val="2F5496" w:themeColor="accent1" w:themeShade="BF"/>
        </w:rPr>
        <w:t>[1]</w:t>
      </w:r>
      <w:r w:rsidR="006F0E54" w:rsidRPr="004B0974">
        <w:rPr>
          <w:rFonts w:eastAsia="Arial"/>
          <w:b/>
          <w:bCs/>
          <w:color w:val="2F5496" w:themeColor="accent1" w:themeShade="BF"/>
        </w:rPr>
        <w:fldChar w:fldCharType="end"/>
      </w:r>
    </w:p>
    <w:p w14:paraId="78A4B7C7" w14:textId="428BA0F1"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All individuals in the model are considered to be susceptible at the beginning of the simulation. Therefore, the infection may occur when they use/drink contaminated water that has been fetched from </w:t>
      </w:r>
      <w:r w:rsidRPr="0007451A">
        <w:rPr>
          <w:rFonts w:asciiTheme="minorBidi" w:eastAsia="Arial" w:hAnsiTheme="minorBidi" w:cstheme="minorBidi"/>
        </w:rPr>
        <w:lastRenderedPageBreak/>
        <w:t xml:space="preserve">the river. The sub-model of cholera spread in CABM have been described in more details in </w:t>
      </w:r>
      <w:r w:rsidRPr="0007451A">
        <w:rPr>
          <w:rFonts w:asciiTheme="minorBidi" w:eastAsia="Arial" w:hAnsiTheme="minorBidi" w:cstheme="minorBidi"/>
        </w:rPr>
        <w:fldChar w:fldCharType="begin" w:fldLock="1"/>
      </w:r>
      <w:r w:rsidR="00D010C7">
        <w:rPr>
          <w:rFonts w:asciiTheme="minorBidi" w:eastAsia="Arial" w:hAnsiTheme="minorBidi" w:cstheme="minorBidi"/>
        </w:rPr>
        <w:instrText>ADDIN CSL_CITATION {"citationItems":[{"id":"ITEM-1","itemData":{"DOI":"10.1007/s00477-015-1199-x","ISBN":"1436-3240","ISSN":"14363259","abstract":"This paper introduces a spatially explicit agent-based simulation model for micro-scale cholera diffusion. The model simulates both an environmental reservoir of naturally occurring V.cholerae bacteria and hyperinfectious V. cholerae. Objective of the research is to test if runoff from open refuse dumpsites plays a role in cholera diffusion. A number of experiments were conducted with the model for a case study in Kumasi, Ghana, based on an epidemic in 2005. Experiments confirm the importance of the hyperinfectious transmission route, however, they also reveal the importance of a representative spatial distribution of the income classes. Although the contribution of runoff from dumpsites can never be conclusively proven, the experiments show that modelling the epidemic via this mechanism is possible and improves the model results. Relevance of this research is that it shows the possibilities of agent-based modelling combined with pattern reproduction for cholera diffusion studies. The proposed model is simple in its setup but can be extended by adding additional elements such as human movement and change of behaviour of individuals based on disease awareness. Eventually, agent-based models will open opportunities to explore policy related research questions related to interventions to influence the diffusion process.","author":[{"dropping-particle":"","family":"Augustijn","given":"Ellen-wien Wien","non-dropping-particle":"","parse-names":false,"suffix":""},{"dropping-particle":"","family":"Doldersum","given":"Tom","non-dropping-particle":"","parse-names":false,"suffix":""},{"dropping-particle":"","family":"Useya","given":"Juliana","non-dropping-particle":"","parse-names":false,"suffix":""},{"dropping-particle":"","family":"Augustijn","given":"Denie","non-dropping-particle":"","parse-names":false,"suffix":""}],"container-title":"Stochastic Environmental Research and Risk Assessment","id":"ITEM-1","issue":"8","issued":{"date-parts":[["2016"]]},"page":"2079-2095","title":"Agent-based modelling of cholera","type":"article-journal","volume":"30"},"uris":["http://www.mendeley.com/documents/?uuid=f2604c96-0549-4e10-875f-647b901b7e37"]}],"mendeley":{"formattedCitation":"[1]","plainTextFormattedCitation":"[1]","previouslyFormattedCitation":"[1]"},"properties":{"noteIndex":0},"schema":"https://github.com/citation-style-language/schema/raw/master/csl-citation.json"}</w:instrText>
      </w:r>
      <w:r w:rsidRPr="0007451A">
        <w:rPr>
          <w:rFonts w:asciiTheme="minorBidi" w:eastAsia="Arial" w:hAnsiTheme="minorBidi" w:cstheme="minorBidi"/>
        </w:rPr>
        <w:fldChar w:fldCharType="separate"/>
      </w:r>
      <w:r w:rsidR="00D010C7" w:rsidRPr="00D010C7">
        <w:rPr>
          <w:rFonts w:asciiTheme="minorBidi" w:eastAsia="Arial" w:hAnsiTheme="minorBidi" w:cstheme="minorBidi"/>
          <w:noProof/>
        </w:rPr>
        <w:t>[1]</w:t>
      </w:r>
      <w:r w:rsidRPr="0007451A">
        <w:rPr>
          <w:rFonts w:asciiTheme="minorBidi" w:eastAsia="Arial" w:hAnsiTheme="minorBidi" w:cstheme="minorBidi"/>
        </w:rPr>
        <w:fldChar w:fldCharType="end"/>
      </w:r>
      <w:r w:rsidRPr="0007451A">
        <w:rPr>
          <w:rFonts w:asciiTheme="minorBidi" w:eastAsia="Arial" w:hAnsiTheme="minorBidi" w:cstheme="minorBidi"/>
        </w:rPr>
        <w:t>.</w:t>
      </w:r>
      <w:r>
        <w:rPr>
          <w:rFonts w:asciiTheme="minorBidi" w:eastAsia="Arial" w:hAnsiTheme="minorBidi" w:cstheme="minorBidi"/>
        </w:rPr>
        <w:t xml:space="preserve"> The disease model is based on adjusted SEIR model as it had been described in section 2.1</w:t>
      </w:r>
    </w:p>
    <w:p w14:paraId="622B501E" w14:textId="77777777" w:rsidR="006F0E54" w:rsidRPr="0007451A" w:rsidRDefault="006F0E54" w:rsidP="006F0E54">
      <w:pPr>
        <w:pStyle w:val="Heading4"/>
        <w:jc w:val="both"/>
        <w:rPr>
          <w:lang w:eastAsia="en-GB"/>
        </w:rPr>
      </w:pPr>
      <w:r w:rsidRPr="0007451A">
        <w:rPr>
          <w:lang w:eastAsia="en-GB"/>
        </w:rPr>
        <w:t>Visual Pollution Model</w:t>
      </w:r>
    </w:p>
    <w:p w14:paraId="32AD6E6F" w14:textId="6C99D7C4" w:rsidR="006F0E54" w:rsidRPr="0007451A" w:rsidRDefault="006F0E54" w:rsidP="006F0E54">
      <w:pPr>
        <w:pBdr>
          <w:top w:val="nil"/>
          <w:left w:val="nil"/>
          <w:bottom w:val="nil"/>
          <w:right w:val="nil"/>
          <w:between w:val="nil"/>
        </w:pBdr>
        <w:spacing w:after="120" w:line="480" w:lineRule="auto"/>
        <w:jc w:val="both"/>
        <w:rPr>
          <w:rFonts w:asciiTheme="minorBidi" w:hAnsiTheme="minorBidi" w:cstheme="minorBidi"/>
          <w:sz w:val="21"/>
          <w:szCs w:val="21"/>
          <w:lang w:eastAsia="en-GB"/>
        </w:rPr>
      </w:pPr>
      <w:r w:rsidRPr="0007451A">
        <w:rPr>
          <w:rFonts w:asciiTheme="minorBidi" w:eastAsia="Arial" w:hAnsiTheme="minorBidi" w:cstheme="minorBidi"/>
        </w:rPr>
        <w:t xml:space="preserve">Visual pollution of river water at the water collection points is used as a proxy for households to judge the safety of the river water. The visual pollution level is calculated based on the combined link order of the river and the number of open refuse dumps that are located within a distance of 200 meters from the river. It is common in Kumasi to observe waste dumps located on the river banks or in the river path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{"citationItems":[{"id":"ITEM-1","itemData":{"DOI":"10.5539/jsd.v4n6p103","ISBN":"2332447148","ISSN":"1913-9071","abstract":"This study assessed the quality of the Aboabo River and examined the anthropogenic factors that lead to river pollution. Physico-chemical and bacteriological assessment of water samples showed that water from the Aboabo river was polluted and therefore not suitable for domestic consumption. Observation, in-depth interviews, informal conversation and a cross-sectional survey of 396 households in the river basin were employed to elicit qualitative and quantitative data. Direct anthropogenic factors identified were indiscriminate dumping of refuse, channelling of raw sewage, open defecation and indiscriminate dumping of industrial waste into the Aboabo River. Remote factors identified were population growth and institutional challenges. Recommendations made include enforcement of by-laws, provision of adequate sanitation facilities and the encouragement of opinion leaders to play an active role in promoting the inculcation of environmentally friendly practices amongst residents.","author":[{"dropping-particle":"","family":"Danquah","given":"Leslie","non-dropping-particle":"","parse-names":false,"suffix":""},{"dropping-particle":"","family":"Abass","given":"Kabila","non-dropping-particle":"","parse-names":false,"suffix":""},{"dropping-particle":"","family":"Nikoi","given":"Aristotle Afutu","non-dropping-particle":"","parse-names":false,"suffix":""}],"container-title":"Journal of Sustainable Development","id":"ITEM-1","issue":"6","issued":{"date-parts":[["2011"]]},"page":"103-115","title":"Anthropogenic Pollution of Inland Waters: the Case of the Aboabo River in Kumasi, Ghana","type":"article-journal","volume":"4"},"uris":["http://www.mendeley.com/documents/?uuid=13d45b54-5304-3611-9a04-308b5d440871"]}],"mendeley":{"formattedCitation":"[21]","plainTextFormattedCitation":"[21]","previouslyFormattedCitation":"[21]"},"properties":{"noteIndex":0},"schema":"https://github.com/citation-style-language/schema/raw/master/csl-citation.json"}</w:instrText>
      </w:r>
      <w:r w:rsidRPr="0007451A">
        <w:rPr>
          <w:rFonts w:asciiTheme="minorBidi" w:eastAsia="Arial" w:hAnsiTheme="minorBidi" w:cstheme="minorBidi"/>
        </w:rPr>
        <w:fldChar w:fldCharType="separate"/>
      </w:r>
      <w:r w:rsidR="00C34CAD" w:rsidRPr="00C34CAD">
        <w:rPr>
          <w:rFonts w:asciiTheme="minorBidi" w:eastAsia="Arial" w:hAnsiTheme="minorBidi" w:cstheme="minorBidi"/>
          <w:noProof/>
        </w:rPr>
        <w:t>[21]</w:t>
      </w:r>
      <w:r w:rsidRPr="0007451A">
        <w:rPr>
          <w:rFonts w:asciiTheme="minorBidi" w:eastAsia="Arial" w:hAnsiTheme="minorBidi" w:cstheme="minorBidi"/>
        </w:rPr>
        <w:fldChar w:fldCharType="end"/>
      </w:r>
      <w:r w:rsidRPr="0007451A">
        <w:rPr>
          <w:rFonts w:asciiTheme="minorBidi" w:eastAsia="Arial" w:hAnsiTheme="minorBidi" w:cstheme="minorBidi"/>
        </w:rPr>
        <w:t>.  VP is calculated based on the following equation:</w:t>
      </w:r>
    </w:p>
    <w:tbl>
      <w:tblPr>
        <w:tblStyle w:val="PlainTable4"/>
        <w:tblW w:w="0" w:type="auto"/>
        <w:tblLook w:val="04A0" w:firstRow="1" w:lastRow="0" w:firstColumn="1" w:lastColumn="0" w:noHBand="0" w:noVBand="1"/>
      </w:tblPr>
      <w:tblGrid>
        <w:gridCol w:w="704"/>
        <w:gridCol w:w="7513"/>
        <w:gridCol w:w="793"/>
      </w:tblGrid>
      <w:tr w:rsidR="006F0E54" w:rsidRPr="0007451A" w14:paraId="4CA294F1" w14:textId="77777777" w:rsidTr="009D5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2726281" w14:textId="77777777" w:rsidR="006F0E54" w:rsidRPr="0007451A" w:rsidRDefault="006F0E54" w:rsidP="009D57AD">
            <w:pPr>
              <w:spacing w:line="480" w:lineRule="auto"/>
              <w:jc w:val="both"/>
              <w:rPr>
                <w:szCs w:val="21"/>
                <w:lang w:val="en-GB"/>
              </w:rPr>
            </w:pPr>
          </w:p>
        </w:tc>
        <w:tc>
          <w:tcPr>
            <w:tcW w:w="7513" w:type="dxa"/>
          </w:tcPr>
          <w:p w14:paraId="3939C1F6" w14:textId="77777777" w:rsidR="006F0E54" w:rsidRPr="0007451A" w:rsidRDefault="006F0E54" w:rsidP="009D57AD">
            <w:pPr>
              <w:spacing w:line="480" w:lineRule="auto"/>
              <w:jc w:val="both"/>
              <w:cnfStyle w:val="100000000000" w:firstRow="1" w:lastRow="0" w:firstColumn="0" w:lastColumn="0" w:oddVBand="0" w:evenVBand="0" w:oddHBand="0" w:evenHBand="0" w:firstRowFirstColumn="0" w:firstRowLastColumn="0" w:lastRowFirstColumn="0" w:lastRowLastColumn="0"/>
              <w:rPr>
                <w:szCs w:val="21"/>
                <w:lang w:val="en-GB"/>
              </w:rPr>
            </w:pPr>
            <m:oMathPara>
              <m:oMath>
                <m:r>
                  <m:rPr>
                    <m:sty m:val="b"/>
                  </m:rPr>
                  <w:rPr>
                    <w:rFonts w:ascii="Cambria Math" w:hAnsi="Cambria Math"/>
                    <w:szCs w:val="21"/>
                    <w:lang w:val="en-GB"/>
                  </w:rPr>
                  <m:t>f</m:t>
                </m:r>
                <m:d>
                  <m:dPr>
                    <m:ctrlPr>
                      <w:rPr>
                        <w:rFonts w:ascii="Cambria Math" w:hAnsi="Cambria Math"/>
                        <w:szCs w:val="21"/>
                        <w:lang w:val="en-GB"/>
                      </w:rPr>
                    </m:ctrlPr>
                  </m:dPr>
                  <m:e>
                    <m:r>
                      <m:rPr>
                        <m:sty m:val="b"/>
                      </m:rPr>
                      <w:rPr>
                        <w:rFonts w:ascii="Cambria Math" w:hAnsi="Cambria Math"/>
                        <w:szCs w:val="21"/>
                        <w:lang w:val="en-GB"/>
                      </w:rPr>
                      <m:t>VP</m:t>
                    </m:r>
                  </m:e>
                </m:d>
                <m:r>
                  <m:rPr>
                    <m:sty m:val="b"/>
                  </m:rPr>
                  <w:rPr>
                    <w:rFonts w:ascii="Cambria Math" w:hAnsi="Cambria Math"/>
                    <w:szCs w:val="21"/>
                    <w:lang w:val="en-GB"/>
                  </w:rPr>
                  <m:t xml:space="preserve">= </m:t>
                </m:r>
                <m:nary>
                  <m:naryPr>
                    <m:chr m:val="∑"/>
                    <m:limLoc m:val="undOvr"/>
                    <m:ctrlPr>
                      <w:rPr>
                        <w:rFonts w:ascii="Cambria Math" w:hAnsi="Cambria Math"/>
                        <w:szCs w:val="21"/>
                        <w:lang w:val="en-GB"/>
                      </w:rPr>
                    </m:ctrlPr>
                  </m:naryPr>
                  <m:sub>
                    <m:r>
                      <m:rPr>
                        <m:sty m:val="b"/>
                      </m:rPr>
                      <w:rPr>
                        <w:rFonts w:ascii="Cambria Math" w:hAnsi="Cambria Math"/>
                        <w:szCs w:val="21"/>
                        <w:lang w:val="en-GB"/>
                      </w:rPr>
                      <m:t>i=1</m:t>
                    </m:r>
                  </m:sub>
                  <m:sup>
                    <m:r>
                      <m:rPr>
                        <m:sty m:val="b"/>
                      </m:rPr>
                      <w:rPr>
                        <w:rFonts w:ascii="Cambria Math" w:hAnsi="Cambria Math"/>
                        <w:szCs w:val="21"/>
                        <w:lang w:val="en-GB"/>
                      </w:rPr>
                      <m:t>N</m:t>
                    </m:r>
                  </m:sup>
                  <m:e>
                    <m:f>
                      <m:fPr>
                        <m:ctrlPr>
                          <w:rPr>
                            <w:rFonts w:ascii="Cambria Math" w:hAnsi="Cambria Math"/>
                            <w:szCs w:val="21"/>
                            <w:lang w:val="en-GB"/>
                          </w:rPr>
                        </m:ctrlPr>
                      </m:fPr>
                      <m:num>
                        <m:sSub>
                          <m:sSubPr>
                            <m:ctrlPr>
                              <w:rPr>
                                <w:rFonts w:ascii="Cambria Math" w:hAnsi="Cambria Math"/>
                                <w:szCs w:val="21"/>
                                <w:lang w:val="en-GB"/>
                              </w:rPr>
                            </m:ctrlPr>
                          </m:sSubPr>
                          <m:e>
                            <m:r>
                              <m:rPr>
                                <m:sty m:val="b"/>
                              </m:rPr>
                              <w:rPr>
                                <w:rFonts w:ascii="Cambria Math" w:hAnsi="Cambria Math"/>
                                <w:szCs w:val="21"/>
                                <w:lang w:val="en-GB"/>
                              </w:rPr>
                              <m:t>x</m:t>
                            </m:r>
                          </m:e>
                          <m:sub>
                            <m:r>
                              <m:rPr>
                                <m:sty m:val="bi"/>
                              </m:rPr>
                              <w:rPr>
                                <w:rFonts w:ascii="Cambria Math" w:hAnsi="Cambria Math"/>
                                <w:szCs w:val="21"/>
                                <w:lang w:val="en-GB"/>
                              </w:rPr>
                              <m:t>i</m:t>
                            </m:r>
                          </m:sub>
                        </m:sSub>
                        <m:r>
                          <m:rPr>
                            <m:sty m:val="b"/>
                          </m:rPr>
                          <w:rPr>
                            <w:rFonts w:ascii="Cambria Math" w:hAnsi="Cambria Math"/>
                            <w:szCs w:val="21"/>
                            <w:lang w:val="en-GB"/>
                          </w:rPr>
                          <m:t xml:space="preserve"> </m:t>
                        </m:r>
                        <m:sSub>
                          <m:sSubPr>
                            <m:ctrlPr>
                              <w:rPr>
                                <w:rFonts w:ascii="Cambria Math" w:hAnsi="Cambria Math"/>
                                <w:szCs w:val="21"/>
                                <w:lang w:val="en-GB"/>
                              </w:rPr>
                            </m:ctrlPr>
                          </m:sSubPr>
                          <m:e>
                            <m:r>
                              <m:rPr>
                                <m:sty m:val="b"/>
                              </m:rPr>
                              <w:rPr>
                                <w:rFonts w:ascii="Cambria Math" w:hAnsi="Cambria Math"/>
                                <w:szCs w:val="21"/>
                                <w:lang w:val="en-GB"/>
                              </w:rPr>
                              <m:t>g</m:t>
                            </m:r>
                          </m:e>
                          <m:sub>
                            <m:r>
                              <m:rPr>
                                <m:sty m:val="bi"/>
                              </m:rPr>
                              <w:rPr>
                                <w:rFonts w:ascii="Cambria Math" w:hAnsi="Cambria Math"/>
                                <w:szCs w:val="21"/>
                                <w:lang w:val="en-GB"/>
                              </w:rPr>
                              <m:t>i</m:t>
                            </m:r>
                          </m:sub>
                        </m:sSub>
                      </m:num>
                      <m:den>
                        <m:sSub>
                          <m:sSubPr>
                            <m:ctrlPr>
                              <w:rPr>
                                <w:rFonts w:ascii="Cambria Math" w:hAnsi="Cambria Math"/>
                                <w:i/>
                                <w:szCs w:val="21"/>
                                <w:lang w:val="en-GB"/>
                              </w:rPr>
                            </m:ctrlPr>
                          </m:sSubPr>
                          <m:e>
                            <m:r>
                              <m:rPr>
                                <m:sty m:val="bi"/>
                              </m:rPr>
                              <w:rPr>
                                <w:rFonts w:ascii="Cambria Math" w:hAnsi="Cambria Math"/>
                                <w:szCs w:val="21"/>
                                <w:lang w:val="en-GB"/>
                              </w:rPr>
                              <m:t>d</m:t>
                            </m:r>
                          </m:e>
                          <m:sub>
                            <m:r>
                              <m:rPr>
                                <m:sty m:val="bi"/>
                              </m:rPr>
                              <w:rPr>
                                <w:rFonts w:ascii="Cambria Math" w:hAnsi="Cambria Math"/>
                                <w:szCs w:val="21"/>
                                <w:lang w:val="en-GB"/>
                              </w:rPr>
                              <m:t>i</m:t>
                            </m:r>
                          </m:sub>
                        </m:sSub>
                      </m:den>
                    </m:f>
                  </m:e>
                </m:nary>
              </m:oMath>
            </m:oMathPara>
          </w:p>
        </w:tc>
        <w:tc>
          <w:tcPr>
            <w:tcW w:w="793" w:type="dxa"/>
          </w:tcPr>
          <w:p w14:paraId="77D2BEB3" w14:textId="77777777" w:rsidR="006F0E54" w:rsidRPr="0007451A" w:rsidRDefault="006F0E54" w:rsidP="009D57AD">
            <w:pPr>
              <w:spacing w:line="480" w:lineRule="auto"/>
              <w:jc w:val="both"/>
              <w:cnfStyle w:val="100000000000" w:firstRow="1" w:lastRow="0" w:firstColumn="0" w:lastColumn="0" w:oddVBand="0" w:evenVBand="0" w:oddHBand="0" w:evenHBand="0" w:firstRowFirstColumn="0" w:firstRowLastColumn="0" w:lastRowFirstColumn="0" w:lastRowLastColumn="0"/>
              <w:rPr>
                <w:szCs w:val="21"/>
                <w:lang w:val="en-GB"/>
              </w:rPr>
            </w:pPr>
          </w:p>
          <w:p w14:paraId="6AEACC0A" w14:textId="77777777" w:rsidR="006F0E54" w:rsidRPr="0007451A" w:rsidRDefault="006F0E54" w:rsidP="009D57AD">
            <w:pPr>
              <w:spacing w:line="480" w:lineRule="auto"/>
              <w:jc w:val="both"/>
              <w:cnfStyle w:val="100000000000" w:firstRow="1" w:lastRow="0" w:firstColumn="0" w:lastColumn="0" w:oddVBand="0" w:evenVBand="0" w:oddHBand="0" w:evenHBand="0" w:firstRowFirstColumn="0" w:firstRowLastColumn="0" w:lastRowFirstColumn="0" w:lastRowLastColumn="0"/>
              <w:rPr>
                <w:szCs w:val="21"/>
                <w:lang w:val="en-GB"/>
              </w:rPr>
            </w:pPr>
            <w:r w:rsidRPr="0007451A">
              <w:rPr>
                <w:szCs w:val="21"/>
                <w:lang w:val="en-GB"/>
              </w:rPr>
              <w:t>(5)</w:t>
            </w:r>
          </w:p>
        </w:tc>
      </w:tr>
    </w:tbl>
    <w:p w14:paraId="1438BE64" w14:textId="77777777" w:rsidR="006F0E54" w:rsidRPr="0007451A" w:rsidRDefault="006F0E54" w:rsidP="006F0E54">
      <w:pPr>
        <w:spacing w:after="120" w:line="336" w:lineRule="auto"/>
        <w:jc w:val="both"/>
        <w:rPr>
          <w:rFonts w:asciiTheme="minorBidi" w:hAnsiTheme="minorBidi" w:cstheme="minorBidi"/>
          <w:sz w:val="21"/>
          <w:szCs w:val="21"/>
          <w:lang w:eastAsia="en-GB"/>
        </w:rPr>
      </w:pPr>
    </w:p>
    <w:p w14:paraId="5FECB7D3" w14:textId="77777777" w:rsidR="006F0E54" w:rsidRPr="0007451A"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Where </w:t>
      </w:r>
      <w:r w:rsidRPr="006D22F2">
        <w:rPr>
          <w:rFonts w:asciiTheme="minorBidi" w:eastAsia="Arial" w:hAnsiTheme="minorBidi" w:cstheme="minorBidi"/>
          <w:i/>
          <w:iCs/>
        </w:rPr>
        <w:t>N</w:t>
      </w:r>
      <w:r w:rsidRPr="0007451A">
        <w:rPr>
          <w:rFonts w:asciiTheme="minorBidi" w:eastAsia="Arial" w:hAnsiTheme="minorBidi" w:cstheme="minorBidi"/>
        </w:rPr>
        <w:t xml:space="preserve"> is the number of dumpsites around the water collection points; </w:t>
      </w:r>
      <w:r w:rsidRPr="006D22F2">
        <w:rPr>
          <w:rFonts w:asciiTheme="minorBidi" w:eastAsia="Arial" w:hAnsiTheme="minorBidi" w:cstheme="minorBidi"/>
          <w:i/>
          <w:iCs/>
        </w:rPr>
        <w:t>x</w:t>
      </w:r>
      <w:r w:rsidRPr="0007451A">
        <w:rPr>
          <w:rFonts w:asciiTheme="minorBidi" w:eastAsia="Arial" w:hAnsiTheme="minorBidi" w:cstheme="minorBidi"/>
        </w:rPr>
        <w:t xml:space="preserve"> is the number of households who use the dumpsite; </w:t>
      </w:r>
      <w:r w:rsidRPr="006D22F2">
        <w:rPr>
          <w:rFonts w:asciiTheme="minorBidi" w:eastAsia="Arial" w:hAnsiTheme="minorBidi" w:cstheme="minorBidi"/>
          <w:i/>
          <w:iCs/>
        </w:rPr>
        <w:t>g</w:t>
      </w:r>
      <w:r w:rsidRPr="0007451A">
        <w:rPr>
          <w:rFonts w:asciiTheme="minorBidi" w:eastAsia="Arial" w:hAnsiTheme="minorBidi" w:cstheme="minorBidi"/>
        </w:rPr>
        <w:t xml:space="preserve"> is the amount of garbage produced by each household; and </w:t>
      </w:r>
      <w:r w:rsidRPr="006D22F2">
        <w:rPr>
          <w:rFonts w:asciiTheme="minorBidi" w:eastAsia="Arial" w:hAnsiTheme="minorBidi" w:cstheme="minorBidi"/>
          <w:i/>
          <w:iCs/>
        </w:rPr>
        <w:t>d</w:t>
      </w:r>
      <w:r w:rsidRPr="0007451A">
        <w:rPr>
          <w:rFonts w:asciiTheme="minorBidi" w:eastAsia="Arial" w:hAnsiTheme="minorBidi" w:cstheme="minorBidi"/>
        </w:rPr>
        <w:t xml:space="preserve"> is the distance from the dumpsites to the water point (1 m </w:t>
      </w:r>
      <w:r w:rsidRPr="0007451A">
        <w:rPr>
          <w:rFonts w:asciiTheme="minorBidi" w:eastAsia="Arial" w:hAnsiTheme="minorBidi" w:cstheme="minorBidi"/>
        </w:rPr>
        <w:sym w:font="Symbol" w:char="F0A3"/>
      </w:r>
      <w:r w:rsidRPr="0007451A">
        <w:rPr>
          <w:rFonts w:asciiTheme="minorBidi" w:eastAsia="Arial" w:hAnsiTheme="minorBidi" w:cstheme="minorBidi"/>
        </w:rPr>
        <w:t xml:space="preserve"> </w:t>
      </w:r>
      <m:oMath>
        <m:r>
          <w:rPr>
            <w:rFonts w:ascii="Cambria Math" w:eastAsia="Arial" w:hAnsi="Cambria Math" w:cstheme="minorBidi"/>
          </w:rPr>
          <m:t>d</m:t>
        </m:r>
      </m:oMath>
      <w:r w:rsidRPr="0007451A">
        <w:rPr>
          <w:rFonts w:asciiTheme="minorBidi" w:eastAsia="Arial" w:hAnsiTheme="minorBidi" w:cstheme="minorBidi"/>
        </w:rPr>
        <w:t xml:space="preserve"> </w:t>
      </w:r>
      <w:r w:rsidRPr="0007451A">
        <w:rPr>
          <w:rFonts w:asciiTheme="minorBidi" w:eastAsia="Arial" w:hAnsiTheme="minorBidi" w:cstheme="minorBidi"/>
        </w:rPr>
        <w:sym w:font="Symbol" w:char="F0A3"/>
      </w:r>
      <w:r w:rsidRPr="0007451A">
        <w:rPr>
          <w:rFonts w:asciiTheme="minorBidi" w:eastAsia="Arial" w:hAnsiTheme="minorBidi" w:cstheme="minorBidi"/>
        </w:rPr>
        <w:t xml:space="preserve"> 200 m). </w:t>
      </w:r>
    </w:p>
    <w:p w14:paraId="17550E05" w14:textId="06055802" w:rsidR="006F0E54" w:rsidRPr="004543CD" w:rsidRDefault="006F0E54" w:rsidP="006F0E54">
      <w:pPr>
        <w:pBdr>
          <w:top w:val="nil"/>
          <w:left w:val="nil"/>
          <w:bottom w:val="nil"/>
          <w:right w:val="nil"/>
          <w:between w:val="nil"/>
        </w:pBdr>
        <w:spacing w:after="120" w:line="480" w:lineRule="auto"/>
        <w:jc w:val="both"/>
        <w:rPr>
          <w:rFonts w:asciiTheme="minorBidi" w:eastAsia="Arial" w:hAnsiTheme="minorBidi" w:cstheme="minorBidi"/>
        </w:rPr>
      </w:pPr>
      <w:r w:rsidRPr="0007451A">
        <w:rPr>
          <w:rFonts w:asciiTheme="minorBidi" w:eastAsia="Arial" w:hAnsiTheme="minorBidi" w:cstheme="minorBidi"/>
        </w:rPr>
        <w:t xml:space="preserve">The number of dumpsites is fixed throughout the simulation and the number of households will also remain the same over a simulation run. During dry days, we assume that the amount of garbage across the river remains static. However, the visual pollution level is dynamic. This dynamic is due to the random selection of dumpsites that will be cleared. Only 85% of waste is collected twice a week in Kumasi </w:t>
      </w:r>
      <w:r w:rsidRPr="0007451A">
        <w:rPr>
          <w:rFonts w:asciiTheme="minorBidi" w:eastAsia="Arial" w:hAnsiTheme="minorBidi" w:cstheme="minorBidi"/>
        </w:rPr>
        <w:fldChar w:fldCharType="begin" w:fldLock="1"/>
      </w:r>
      <w:r w:rsidR="00C34CAD">
        <w:rPr>
          <w:rFonts w:asciiTheme="minorBidi" w:eastAsia="Arial" w:hAnsiTheme="minorBidi" w:cstheme="minorBidi"/>
        </w:rPr>
        <w:instrText>ADDIN CSL_CITATION {"citationItems":[{"id":"ITEM-1","itemData":{"DOI":"10.1016/j.wasman.2009.06.019","ISBN":"1879-2456 (Electronic)\\r0956-053X (Linking)","ISSN":"0956053X","PMID":"19615883","abstract":"Integrated waste management has been accepted as a sustainable approach to solid waste management in any region. It can be applied in both developed and developing countries. The difference is the approach taken to develop the integrated waste management system. This review looks at the integrated waste management system operating in the city of London, Ontario-Canada and how lessons can be drawn from the system's development and operation that will help implement a sustainable waste management system in the city of Kumasi, Ghana. The waste management system in London is designed such that all waste generated in the city is handled and disposed of appropriately. The responsibility of each sector handling waste is clearly defined and monitored. All major services are provided and delivered by a combination of public and private sector forces. The sustainability of the waste management in the city of London is attributed to the continuous improvement strategy framework adopted by the city based on the principles of integrated waste management. It is perceived that adopting a strategic framework based on the principles of integrated waste management with a strong political and social will, can transform the current waste management in Kumasi and other cities in developing countries in the bid for finding lasting solutions to the problems that have plagued the waste management system in these cities. ?? 2009 Elsevier Ltd. All rights reserved.","author":[{"dropping-particle":"","family":"Asase","given":"Mizpah","non-dropping-particle":"","parse-names":false,"suffix":""},{"dropping-particle":"","family":"Yanful","given":"Ernest K","non-dropping-particle":"","parse-names":false,"suffix":""},{"dropping-particle":"","family":"Mensah","given":"Moses","non-dropping-particle":"","parse-names":false,"suffix":""},{"dropping-particle":"","family":"Stanford","given":"Jay","non-dropping-particle":"","parse-names":false,"suffix":""},{"dropping-particle":"","family":"Amponsah","given":"Samuel","non-dropping-particle":"","parse-names":false,"suffix":""}],"container-title":"Waste Management","id":"ITEM-1","issue":"10","issued":{"date-parts":[["2009"]]},"page":"2779-2786","title":"Comparison of municipal solid waste management systems in Canada and Ghana: A case study of the cities of London, Ontario, and Kumasi, Ghana","type":"article","volume":"29"},"uris":["http://www.mendeley.com/documents/?uuid=fb90b58e-86cd-3e4b-b14e-d8cd32e00504"]}],"mendeley":{"formattedCitation":"[15]","plainTextFormattedCitation":"[15]","previouslyFormattedCitation":"[15]"},"properties":{"noteIndex":0},"schema":"https://github.com/citation-style-language/schema/raw/master/csl-citation.json"}</w:instrText>
      </w:r>
      <w:r w:rsidRPr="0007451A">
        <w:rPr>
          <w:rFonts w:asciiTheme="minorBidi" w:eastAsia="Arial" w:hAnsiTheme="minorBidi" w:cstheme="minorBidi"/>
        </w:rPr>
        <w:fldChar w:fldCharType="separate"/>
      </w:r>
      <w:r w:rsidR="00C34CAD" w:rsidRPr="00C34CAD">
        <w:rPr>
          <w:rFonts w:asciiTheme="minorBidi" w:eastAsia="Arial" w:hAnsiTheme="minorBidi" w:cstheme="minorBidi"/>
          <w:noProof/>
        </w:rPr>
        <w:t>[15]</w:t>
      </w:r>
      <w:r w:rsidRPr="0007451A">
        <w:rPr>
          <w:rFonts w:asciiTheme="minorBidi" w:eastAsia="Arial" w:hAnsiTheme="minorBidi" w:cstheme="minorBidi"/>
        </w:rPr>
        <w:fldChar w:fldCharType="end"/>
      </w:r>
      <w:r w:rsidRPr="0007451A">
        <w:rPr>
          <w:rFonts w:asciiTheme="minorBidi" w:eastAsia="Arial" w:hAnsiTheme="minorBidi" w:cstheme="minorBidi"/>
        </w:rPr>
        <w:t xml:space="preserve">. In addition, during heavy rainfall days, the river will carry floating garbage to downstream areas. This also leads to a changeability in visual pollution levels at all water collection points over time. </w:t>
      </w:r>
      <w:r w:rsidRPr="004543CD">
        <w:rPr>
          <w:rFonts w:asciiTheme="minorBidi" w:hAnsiTheme="minorBidi" w:cstheme="minorBidi"/>
          <w:lang w:eastAsia="en-GB"/>
        </w:rPr>
        <w:t xml:space="preserve">This sub-model is described in more detail in </w:t>
      </w:r>
      <w:r w:rsidRPr="004543CD">
        <w:rPr>
          <w:rFonts w:asciiTheme="minorBidi" w:hAnsiTheme="minorBidi" w:cstheme="minorBidi"/>
          <w:lang w:eastAsia="en-GB"/>
        </w:rPr>
        <w:fldChar w:fldCharType="begin" w:fldLock="1"/>
      </w:r>
      <w:r w:rsidR="00C34CAD">
        <w:rPr>
          <w:rFonts w:asciiTheme="minorBidi" w:hAnsiTheme="minorBidi" w:cstheme="minorBidi"/>
          <w:lang w:eastAsia="en-GB"/>
        </w:rPr>
        <w:instrText>ADDIN CSL_CITATION {"citationItems":[{"id":"ITEM-1","itemData":{"abstract":"An increasing number of spatial agent based models (ABMs) use artificial intelligence to enhance agents' decisions. There is a difference between ABMs with pure social intelligence based on information exchange among agents and ABMs with integrated spatial intelligence. Spatial intelligence refers to the fact that agents sense their environment, perform a judgement on the condition of this environment, and change their behaviour based on this judgement. When spatial intelligence is used in ABMs, it often facilitates navigation (human or animal) or adaptation to land cover change. Less implementations are available for assessing risky situation engaging agents' risk perception. In this paper, we present a model that uses a combination of spatial and social intelligence to simulate disease diffusion. Agents evaluate changes in floating plastic debris in a river combined with personal information and media attention on cholera to decide which water source to use. Cognition of agents with respect to perceiving risk and acting upon it is implemented via two Bayesian Networks. Data to validate the spatial intelligence was collected during the Massive Open Online Course on Geohealth in 2016. Results of the ABM show a strong decline of the number of disease cases after implementation of artificial intelligence compared to the version with zero-intelligence agents. Results from the survey confirm the fact that people judge quality of water visually, but also show the strong influence of media on risk perception.","author":[{"dropping-particle":"","family":"Abdulkareem","given":"Shaheen Abdullah","non-dropping-particle":"","parse-names":false,"suffix":""},{"dropping-particle":"","family":"Augustijn","given":"Ellen-Wien","non-dropping-particle":"","parse-names":false,"suffix":""},{"dropping-particle":"","family":"Mustafa","given":"Yaseen T","non-dropping-particle":"","parse-names":false,"suffix":""},{"dropping-particle":"","family":"Filatova","given":"Tatiana","non-dropping-particle":"","parse-names":false,"suffix":""}],"container-title":"GeoComputation","id":"ITEM-1","issue":"September 2017","issued":{"date-parts":[["2017"]]},"page":"1-7","title":"Integrating Spatial Intelligence for risk perception in an Agent Based Disease Model","type":"article-journal"},"uris":["http://www.mendeley.com/documents/?uuid=3cdac074-9ebe-4dbb-9cc4-8fca4248864c"]}],"mendeley":{"formattedCitation":"[6]","plainTextFormattedCitation":"[6]","previouslyFormattedCitation":"[6]"},"properties":{"noteIndex":0},"schema":"https://github.com/citation-style-language/schema/raw/master/csl-citation.json"}</w:instrText>
      </w:r>
      <w:r w:rsidRPr="004543CD">
        <w:rPr>
          <w:rFonts w:asciiTheme="minorBidi" w:hAnsiTheme="minorBidi" w:cstheme="minorBidi"/>
          <w:lang w:eastAsia="en-GB"/>
        </w:rPr>
        <w:fldChar w:fldCharType="separate"/>
      </w:r>
      <w:r w:rsidR="00D010C7" w:rsidRPr="00D010C7">
        <w:rPr>
          <w:rFonts w:asciiTheme="minorBidi" w:hAnsiTheme="minorBidi" w:cstheme="minorBidi"/>
          <w:noProof/>
          <w:lang w:eastAsia="en-GB"/>
        </w:rPr>
        <w:t>[6]</w:t>
      </w:r>
      <w:r w:rsidRPr="004543CD">
        <w:rPr>
          <w:rFonts w:asciiTheme="minorBidi" w:hAnsiTheme="minorBidi" w:cstheme="minorBidi"/>
          <w:lang w:eastAsia="en-GB"/>
        </w:rPr>
        <w:fldChar w:fldCharType="end"/>
      </w:r>
      <w:r w:rsidRPr="004543CD">
        <w:rPr>
          <w:rFonts w:asciiTheme="minorBidi" w:hAnsiTheme="minorBidi" w:cstheme="minorBidi"/>
          <w:lang w:eastAsia="en-GB"/>
        </w:rPr>
        <w:t xml:space="preserve"> and in chapter four in</w:t>
      </w:r>
      <w:r w:rsidR="00E20743">
        <w:rPr>
          <w:rFonts w:asciiTheme="minorBidi" w:eastAsia="Arial" w:hAnsiTheme="minorBidi" w:cstheme="minorBidi"/>
        </w:rPr>
        <w:t xml:space="preserve"> </w:t>
      </w:r>
      <w:r w:rsidR="00E20743">
        <w:rPr>
          <w:rFonts w:asciiTheme="minorBidi" w:eastAsia="Arial" w:hAnsiTheme="minorBidi" w:cstheme="minorBidi"/>
        </w:rPr>
        <w:fldChar w:fldCharType="begin" w:fldLock="1"/>
      </w:r>
      <w:r w:rsidR="00E20743">
        <w:rPr>
          <w:rFonts w:asciiTheme="minorBidi" w:eastAsia="Arial" w:hAnsiTheme="minorBidi" w:cstheme="minorBidi"/>
        </w:rPr>
        <w:instrText>ADDIN CSL_CITATION {"citationItems":[{"id":"ITEM-1","itemData":{"DOI":"10.3990/1.9789036547482","ISBN":"9789036547482","author":[{"dropping-particle":"","family":"Abdulkareem","given":"Shaheen Abdullah","non-dropping-particle":"","parse-names":false,"suffix":""}],"id":"ITEM-1","issued":{"date-parts":[["2019","4","10"]]},"number-of-pages":"1-196","publisher":"University of Twente","publisher-place":"Enschede, The Netherlands","title":"Enhancing agent-based models with artificial intelligence for complex decision making","type":"thesis"},"uris":["http://www.mendeley.com/documents/?uuid=46730c49-b1ac-4141-8cdc-7bfc91e4645b"]}],"mendeley":{"formattedCitation":"[22]","plainTextFormattedCitation":"[22]"},"properties":{"noteIndex":0},"schema":"https://github.com/citation-style-language/schema/raw/master/csl-citation.json"}</w:instrText>
      </w:r>
      <w:r w:rsidR="00E20743">
        <w:rPr>
          <w:rFonts w:asciiTheme="minorBidi" w:eastAsia="Arial" w:hAnsiTheme="minorBidi" w:cstheme="minorBidi"/>
        </w:rPr>
        <w:fldChar w:fldCharType="separate"/>
      </w:r>
      <w:r w:rsidR="00E20743" w:rsidRPr="00E20743">
        <w:rPr>
          <w:rFonts w:asciiTheme="minorBidi" w:eastAsia="Arial" w:hAnsiTheme="minorBidi" w:cstheme="minorBidi"/>
          <w:noProof/>
        </w:rPr>
        <w:t>[22]</w:t>
      </w:r>
      <w:r w:rsidR="00E20743">
        <w:rPr>
          <w:rFonts w:asciiTheme="minorBidi" w:eastAsia="Arial" w:hAnsiTheme="minorBidi" w:cstheme="minorBidi"/>
        </w:rPr>
        <w:fldChar w:fldCharType="end"/>
      </w:r>
      <w:r w:rsidRPr="004543CD">
        <w:rPr>
          <w:rFonts w:asciiTheme="minorBidi" w:hAnsiTheme="minorBidi" w:cstheme="minorBidi"/>
          <w:lang w:eastAsia="en-GB"/>
        </w:rPr>
        <w:t>.</w:t>
      </w:r>
    </w:p>
    <w:p w14:paraId="35078CAA" w14:textId="77777777" w:rsidR="006F0E54" w:rsidRPr="0007451A" w:rsidRDefault="006F0E54" w:rsidP="006F0E54">
      <w:pPr>
        <w:pStyle w:val="Heading4"/>
        <w:jc w:val="both"/>
        <w:rPr>
          <w:lang w:eastAsia="en-GB"/>
        </w:rPr>
      </w:pPr>
      <w:r w:rsidRPr="0007451A">
        <w:rPr>
          <w:lang w:eastAsia="en-GB"/>
        </w:rPr>
        <w:t>Hydrological Model</w:t>
      </w:r>
    </w:p>
    <w:p w14:paraId="7DAC2E18" w14:textId="488311C0" w:rsidR="006F0E54" w:rsidRPr="0007451A" w:rsidRDefault="006F0E54" w:rsidP="006F0E54">
      <w:pPr>
        <w:pBdr>
          <w:top w:val="nil"/>
          <w:left w:val="nil"/>
          <w:bottom w:val="nil"/>
          <w:right w:val="nil"/>
          <w:between w:val="nil"/>
        </w:pBdr>
        <w:spacing w:after="120" w:line="480" w:lineRule="auto"/>
        <w:jc w:val="both"/>
        <w:rPr>
          <w:rFonts w:asciiTheme="minorBidi" w:hAnsiTheme="minorBidi" w:cstheme="minorBidi"/>
          <w:lang w:eastAsia="en-GB"/>
        </w:rPr>
      </w:pPr>
      <w:r w:rsidRPr="0007451A">
        <w:rPr>
          <w:rFonts w:asciiTheme="minorBidi" w:hAnsiTheme="minorBidi" w:cstheme="minorBidi"/>
          <w:lang w:eastAsia="en-GB"/>
        </w:rPr>
        <w:t xml:space="preserve">This model simulates the flow of hyper-infectious bacteria from dumpsites towards the downstream </w:t>
      </w:r>
      <w:r w:rsidRPr="0007451A">
        <w:rPr>
          <w:rFonts w:asciiTheme="minorBidi" w:eastAsia="Times New Roman" w:hAnsiTheme="minorBidi" w:cstheme="minorBidi"/>
          <w:lang w:eastAsia="en-GB"/>
        </w:rPr>
        <w:fldChar w:fldCharType="begin" w:fldLock="1"/>
      </w:r>
      <w:r w:rsidR="00D010C7">
        <w:rPr>
          <w:rFonts w:asciiTheme="minorBidi" w:eastAsia="Times New Roman" w:hAnsiTheme="minorBidi" w:cstheme="minorBidi"/>
          <w:lang w:eastAsia="en-GB"/>
        </w:rPr>
        <w:instrText>ADDIN CSL_CITATION {"citationItems":[{"id":"ITEM-1","itemData":{"DOI":"10.1007/s00477-015-1199-x","ISBN":"1436-3240","ISSN":"14363259","abstract":"This paper introduces a spatially explicit agent-based simulation model for micro-scale cholera diffusion. The model simulates both an environmental reservoir of naturally occurring V.cholerae bacteria and hyperinfectious V. cholerae. Objective of the research is to test if runoff from open refuse dumpsites plays a role in cholera diffusion. A number of experiments were conducted with the model for a case study in Kumasi, Ghana, based on an epidemic in 2005. Experiments confirm the importance of the hyperinfectious transmission route, however, they also reveal the importance of a representative spatial distribution of the income classes. Although the contribution of runoff from dumpsites can never be conclusively proven, the experiments show that modelling the epidemic via this mechanism is possible and improves the model results. Relevance of this research is that it shows the possibilities of agent-based modelling combined with pattern reproduction for cholera diffusion studies. The proposed model is simple in its setup but can be extended by adding additional elements such as human movement and change of behaviour of individuals based on disease awareness. Eventually, agent-based models will open opportunities to explore policy related research questions related to interventions to influence the diffusion process.","author":[{"dropping-particle":"","family":"Augustijn","given":"Ellen-wien Wien","non-dropping-particle":"","parse-names":false,"suffix":""},{"dropping-particle":"","family":"Doldersum","given":"Tom","non-dropping-particle":"","parse-names":false,"suffix":""},{"dropping-particle":"","family":"Useya","given":"Juliana","non-dropping-particle":"","parse-names":false,"suffix":""},{"dropping-particle":"","family":"Augustijn","given":"Denie","non-dropping-particle":"","parse-names":false,"suffix":""}],"container-title":"Stochastic Environmental Research and Risk Assessment","id":"ITEM-1","issue":"8","issued":{"date-parts":[["2016"]]},"page":"2079-2095","title":"Agent-based modelling of cholera","type":"article-journal","volume":"30"},"uris":["http://www.mendeley.com/documents/?uuid=f2604c96-0549-4e10-875f-647b901b7e37"]}],"mendeley":{"formattedCitation":"[1]","plainTextFormattedCitation":"[1]","previouslyFormattedCitation":"[1]"},"properties":{"noteIndex":0},"schema":"https://github.com/citation-style-language/schema/raw/master/csl-citation.json"}</w:instrText>
      </w:r>
      <w:r w:rsidRPr="0007451A">
        <w:rPr>
          <w:rFonts w:asciiTheme="minorBidi" w:eastAsia="Times New Roman" w:hAnsiTheme="minorBidi" w:cstheme="minorBidi"/>
          <w:lang w:eastAsia="en-GB"/>
        </w:rPr>
        <w:fldChar w:fldCharType="separate"/>
      </w:r>
      <w:r w:rsidR="00D010C7" w:rsidRPr="00D010C7">
        <w:rPr>
          <w:rFonts w:asciiTheme="minorBidi" w:eastAsia="Times New Roman" w:hAnsiTheme="minorBidi" w:cstheme="minorBidi"/>
          <w:noProof/>
          <w:lang w:eastAsia="en-GB"/>
        </w:rPr>
        <w:t>[1]</w:t>
      </w:r>
      <w:r w:rsidRPr="0007451A">
        <w:rPr>
          <w:rFonts w:asciiTheme="minorBidi" w:eastAsia="Times New Roman" w:hAnsiTheme="minorBidi" w:cstheme="minorBidi"/>
          <w:lang w:eastAsia="en-GB"/>
        </w:rPr>
        <w:fldChar w:fldCharType="end"/>
      </w:r>
      <w:r w:rsidRPr="0007451A">
        <w:rPr>
          <w:rFonts w:asciiTheme="minorBidi" w:hAnsiTheme="minorBidi" w:cstheme="minorBidi"/>
          <w:lang w:eastAsia="en-GB"/>
        </w:rPr>
        <w:t xml:space="preserve">. Therefore, several environmental layers, including a DEM, flow direction layer, and flow accumulation layer, are loaded into the model during initialization. The DEM layer is used to direct the movement of rain particles downstream. The data of actual rainfall of the study area provides the model with the real amount of surface runoff, and the volume of water per rain particle agent is computed by dividing the total volume of rain by the number of rain particle agents. The flow of a rain particle agent to a neighboring cell is determined by the flow direction layer using the steepest slope. While the travel time </w:t>
      </w:r>
      <w:r w:rsidRPr="0007451A">
        <w:rPr>
          <w:rFonts w:asciiTheme="minorBidi" w:hAnsiTheme="minorBidi" w:cstheme="minorBidi"/>
          <w:lang w:eastAsia="en-GB"/>
        </w:rPr>
        <w:lastRenderedPageBreak/>
        <w:t xml:space="preserve">of rain particle agents </w:t>
      </w:r>
      <w:r>
        <w:rPr>
          <w:rFonts w:asciiTheme="minorBidi" w:hAnsiTheme="minorBidi" w:cstheme="minorBidi"/>
          <w:lang w:eastAsia="en-GB"/>
        </w:rPr>
        <w:t>is</w:t>
      </w:r>
      <w:r w:rsidRPr="0007451A">
        <w:rPr>
          <w:rFonts w:asciiTheme="minorBidi" w:hAnsiTheme="minorBidi" w:cstheme="minorBidi"/>
          <w:lang w:eastAsia="en-GB"/>
        </w:rPr>
        <w:t xml:space="preserve"> calculated using the general Manning formulas: sheet flow, gully flow, and river flow that reflects different travel time.</w:t>
      </w:r>
    </w:p>
    <w:p w14:paraId="517154D7" w14:textId="77777777" w:rsidR="006F0E54" w:rsidRPr="0007451A" w:rsidRDefault="006F0E54" w:rsidP="006F0E54">
      <w:pPr>
        <w:pStyle w:val="Heading4"/>
        <w:jc w:val="both"/>
        <w:rPr>
          <w:lang w:eastAsia="en-GB"/>
        </w:rPr>
      </w:pPr>
      <w:r w:rsidRPr="0007451A">
        <w:rPr>
          <w:lang w:eastAsia="en-GB"/>
        </w:rPr>
        <w:t>Activity Model</w:t>
      </w:r>
    </w:p>
    <w:p w14:paraId="03D09B58" w14:textId="49A25A0B" w:rsidR="006F0E54" w:rsidRPr="0007451A" w:rsidRDefault="006F0E54" w:rsidP="006F0E54">
      <w:pPr>
        <w:pBdr>
          <w:top w:val="nil"/>
          <w:left w:val="nil"/>
          <w:bottom w:val="nil"/>
          <w:right w:val="nil"/>
          <w:between w:val="nil"/>
        </w:pBdr>
        <w:spacing w:after="120" w:line="480" w:lineRule="auto"/>
        <w:jc w:val="both"/>
        <w:rPr>
          <w:rFonts w:asciiTheme="minorBidi" w:hAnsiTheme="minorBidi" w:cstheme="minorBidi"/>
          <w:lang w:eastAsia="en-GB"/>
        </w:rPr>
      </w:pPr>
      <w:r w:rsidRPr="0007451A">
        <w:rPr>
          <w:rFonts w:asciiTheme="minorBidi" w:hAnsiTheme="minorBidi" w:cstheme="minorBidi"/>
          <w:lang w:eastAsia="en-GB"/>
        </w:rPr>
        <w:t xml:space="preserve">In CABM, we assumed that household agents with a high-income level are safe since they buy bottled water when cholera starts to spread. However, household agents with a medium or low-income that have no access to tap water use intelligent learning to perceive risk (BN1) and to choose a coping strategy (BN2). Household agents gain information from the spatial environment, namely the visual pollution at water collection points, from the media (which starts to broadcast news of cholera on day 22), and their own prior knowledge of any cholera cases. During a simulation, household agents may retrieve information via their randomly assigned daily contacts with zero to seven neighbors </w:t>
      </w:r>
      <w:r w:rsidRPr="0007451A">
        <w:rPr>
          <w:rFonts w:asciiTheme="minorBidi" w:hAnsiTheme="minorBidi" w:cstheme="minorBidi"/>
          <w:lang w:eastAsia="en-GB"/>
        </w:rPr>
        <w:fldChar w:fldCharType="begin" w:fldLock="1"/>
      </w:r>
      <w:r w:rsidR="00C34CAD">
        <w:rPr>
          <w:rFonts w:asciiTheme="minorBidi" w:hAnsiTheme="minorBidi" w:cstheme="minorBidi"/>
          <w:lang w:eastAsia="en-GB"/>
        </w:rPr>
        <w:instrText>ADDIN CSL_CITATION {"citationItems":[{"id":"ITEM-1","itemData":{"DOI":"10.1371/journal.pone.0170459","ISBN":"1111111111","ISSN":"1932-6203","PMID":"28099479","author":[{"dropping-particle":"","family":"Melegaro","given":"Alessia","non-dropping-particle":"","parse-names":false,"suffix":""},{"dropping-particle":"","family":"Fava","given":"Emanuele","non-dropping-particle":"Del","parse-names":false,"suffix":""},{"dropping-particle":"","family":"Poletti","given":"Piero","non-dropping-particle":"","parse-names":false,"suffix":""},{"dropping-particle":"","family":"Merler","given":"Stefano","non-dropping-particle":"","parse-names":false,"suffix":""},{"dropping-particle":"","family":"Nyamukapa","given":"Constance","non-dropping-particle":"","parse-names":false,"suffix":""},{"dropping-particle":"","family":"Williams","given":"John","non-dropping-particle":"","parse-names":false,"suffix":""},{"dropping-particle":"","family":"Gregson","given":"Simon","non-dropping-particle":"","parse-names":false,"suffix":""},{"dropping-particle":"","family":"Manfredi","given":"Piero","non-dropping-particle":"","parse-names":false,"suffix":""}],"container-title":"PLOS ONE","editor":[{"dropping-particle":"","family":"Nishiura","given":"Hiroshi","non-dropping-particle":"","parse-names":false,"suffix":""}],"id":"ITEM-1","issue":"1","issued":{"date-parts":[["2017","1","18"]]},"page":"e0170459","publisher":"Child Trends","title":"Social Contact Structures and Time Use Patterns in the Manicaland Province of Zimbabwe","type":"article-journal","volume":"12"},"uris":["http://www.mendeley.com/documents/?uuid=492fc044-e8a7-383f-8894-80815f3fe312"]}],"mendeley":{"formattedCitation":"[8]","plainTextFormattedCitation":"[8]","previouslyFormattedCitation":"[8]"},"properties":{"noteIndex":0},"schema":"https://github.com/citation-style-language/schema/raw/master/csl-citation.json"}</w:instrText>
      </w:r>
      <w:r w:rsidRPr="0007451A">
        <w:rPr>
          <w:rFonts w:asciiTheme="minorBidi" w:hAnsiTheme="minorBidi" w:cstheme="minorBidi"/>
          <w:lang w:eastAsia="en-GB"/>
        </w:rPr>
        <w:fldChar w:fldCharType="separate"/>
      </w:r>
      <w:r w:rsidR="00D010C7" w:rsidRPr="00D010C7">
        <w:rPr>
          <w:rFonts w:asciiTheme="minorBidi" w:hAnsiTheme="minorBidi" w:cstheme="minorBidi"/>
          <w:noProof/>
          <w:lang w:eastAsia="en-GB"/>
        </w:rPr>
        <w:t>[8]</w:t>
      </w:r>
      <w:r w:rsidRPr="0007451A">
        <w:rPr>
          <w:rFonts w:asciiTheme="minorBidi" w:hAnsiTheme="minorBidi" w:cstheme="minorBidi"/>
          <w:lang w:eastAsia="en-GB"/>
        </w:rPr>
        <w:fldChar w:fldCharType="end"/>
      </w:r>
      <w:r w:rsidRPr="0007451A">
        <w:rPr>
          <w:rFonts w:asciiTheme="minorBidi" w:hAnsiTheme="minorBidi" w:cstheme="minorBidi"/>
          <w:lang w:eastAsia="en-GB"/>
        </w:rPr>
        <w:t xml:space="preserve">. When interactive learning is activated, social interactions among household agents help to share information on cholera cases that occurred in their communities, as well as on the effectiveness of coping decisions. Depending on perceived risk (BN1), a household agent either keeps the same </w:t>
      </w:r>
      <w:r>
        <w:rPr>
          <w:rFonts w:asciiTheme="minorBidi" w:hAnsiTheme="minorBidi" w:cstheme="minorBidi"/>
          <w:lang w:eastAsia="en-GB"/>
        </w:rPr>
        <w:t>behavior</w:t>
      </w:r>
      <w:r w:rsidRPr="0007451A">
        <w:rPr>
          <w:rFonts w:asciiTheme="minorBidi" w:hAnsiTheme="minorBidi" w:cstheme="minorBidi"/>
          <w:lang w:eastAsia="en-GB"/>
        </w:rPr>
        <w:t xml:space="preserve"> (D1 ‘drink from the same water fetching point’), or switches to a protective </w:t>
      </w:r>
      <w:r>
        <w:rPr>
          <w:rFonts w:asciiTheme="minorBidi" w:hAnsiTheme="minorBidi" w:cstheme="minorBidi"/>
          <w:lang w:eastAsia="en-GB"/>
        </w:rPr>
        <w:t>behavior</w:t>
      </w:r>
      <w:r w:rsidRPr="0007451A">
        <w:rPr>
          <w:rFonts w:asciiTheme="minorBidi" w:hAnsiTheme="minorBidi" w:cstheme="minorBidi"/>
          <w:lang w:eastAsia="en-GB"/>
        </w:rPr>
        <w:t xml:space="preserve"> (D2 ‘walking to a cleaner water point’, D3 ‘boiling fetched water’ or D4 ‘buying bottled water’).</w:t>
      </w:r>
    </w:p>
    <w:p w14:paraId="74E42D46" w14:textId="77777777" w:rsidR="006F0E54" w:rsidRPr="0007451A" w:rsidRDefault="006F0E54" w:rsidP="006F0E54">
      <w:pPr>
        <w:pBdr>
          <w:top w:val="nil"/>
          <w:left w:val="nil"/>
          <w:bottom w:val="nil"/>
          <w:right w:val="nil"/>
          <w:between w:val="nil"/>
        </w:pBdr>
        <w:spacing w:after="120" w:line="480" w:lineRule="auto"/>
        <w:jc w:val="both"/>
        <w:rPr>
          <w:rFonts w:asciiTheme="minorBidi" w:hAnsiTheme="minorBidi" w:cstheme="minorBidi"/>
          <w:lang w:eastAsia="en-GB"/>
        </w:rPr>
      </w:pPr>
      <w:r w:rsidRPr="0007451A">
        <w:rPr>
          <w:rFonts w:asciiTheme="minorBidi" w:hAnsiTheme="minorBidi" w:cstheme="minorBidi"/>
          <w:lang w:eastAsia="en-GB"/>
        </w:rPr>
        <w:t>Individuals in households will use the water and might get the infection. Households with infected individuals will dump their waste on the closest dump sites. This can lead to the spread of cholera to the river and as a consequence infection in other households when they fetch contaminated water.</w:t>
      </w:r>
    </w:p>
    <w:p w14:paraId="626FBD62" w14:textId="25CECD88" w:rsidR="00C23A54" w:rsidRDefault="00D010C7" w:rsidP="00D010C7">
      <w:pPr>
        <w:pStyle w:val="Heading1"/>
      </w:pPr>
      <w:r>
        <w:t>References:</w:t>
      </w:r>
    </w:p>
    <w:p w14:paraId="46FC12BC" w14:textId="6C5691E5" w:rsidR="00E20743" w:rsidRPr="00E20743" w:rsidRDefault="00D010C7" w:rsidP="00E20743">
      <w:pPr>
        <w:widowControl w:val="0"/>
        <w:autoSpaceDE w:val="0"/>
        <w:autoSpaceDN w:val="0"/>
        <w:adjustRightInd w:val="0"/>
        <w:spacing w:line="240" w:lineRule="auto"/>
        <w:ind w:left="640" w:hanging="640"/>
        <w:rPr>
          <w:noProof/>
        </w:rPr>
      </w:pPr>
      <w:r>
        <w:fldChar w:fldCharType="begin" w:fldLock="1"/>
      </w:r>
      <w:r>
        <w:instrText xml:space="preserve">ADDIN Mendeley Bibliography CSL_BIBLIOGRAPHY </w:instrText>
      </w:r>
      <w:r>
        <w:fldChar w:fldCharType="separate"/>
      </w:r>
      <w:r w:rsidR="00E20743" w:rsidRPr="00E20743">
        <w:rPr>
          <w:noProof/>
        </w:rPr>
        <w:t xml:space="preserve">1. </w:t>
      </w:r>
      <w:r w:rsidR="00E20743" w:rsidRPr="00E20743">
        <w:rPr>
          <w:noProof/>
        </w:rPr>
        <w:tab/>
        <w:t>Augustijn EW, Doldersum T, Useya J, Augustijn D. Agent-based modelling of cholera. Stoch Environ Res Risk Assess. 2016;30: 2079–2095. doi:10.1007/s00477-015-1199-x</w:t>
      </w:r>
    </w:p>
    <w:p w14:paraId="4F67A0FF"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2. </w:t>
      </w:r>
      <w:r w:rsidRPr="00E20743">
        <w:rPr>
          <w:noProof/>
        </w:rPr>
        <w:tab/>
        <w:t>Abdulkareem SA, Augustijn E-W, Mustafa YT, Filatova T. Intelligent judgements over health risks in a spatial agent-based model. Int J Health Geogr. 2018;17: 8. doi:10.1186/s12942-018-0128-x</w:t>
      </w:r>
    </w:p>
    <w:p w14:paraId="5598234A"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3. </w:t>
      </w:r>
      <w:r w:rsidRPr="00E20743">
        <w:rPr>
          <w:noProof/>
        </w:rPr>
        <w:tab/>
        <w:t>Maddux JE, Rogers RW. Protection motivation and self-efficacy: A revised theory of fear appeals and attitude change. J Exp Soc Psychol. 1983;19: 469–479. doi:10.1016/0022-1031(83)90023-9</w:t>
      </w:r>
    </w:p>
    <w:p w14:paraId="488EA0C1"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4. </w:t>
      </w:r>
      <w:r w:rsidRPr="00E20743">
        <w:rPr>
          <w:noProof/>
        </w:rPr>
        <w:tab/>
        <w:t xml:space="preserve">Rand W. Machine learning meets agent-based modeling: When not to go to a bar. Proc Agent. 2006. </w:t>
      </w:r>
    </w:p>
    <w:p w14:paraId="22B9E1E9"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5. </w:t>
      </w:r>
      <w:r w:rsidRPr="00E20743">
        <w:rPr>
          <w:noProof/>
        </w:rPr>
        <w:tab/>
        <w:t>Abdulkareem SA, Mustafa YT, Augustijn E-W, Filatova T. Bayesian networks for spatial learning: a workflow on using limited survey data for intelligent learning in spatial agent-based models. Geoinformatica. 2019;23: 243–268. doi:10.1007/s10707-019-00347-0</w:t>
      </w:r>
    </w:p>
    <w:p w14:paraId="501C5A4C"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6. </w:t>
      </w:r>
      <w:r w:rsidRPr="00E20743">
        <w:rPr>
          <w:noProof/>
        </w:rPr>
        <w:tab/>
        <w:t xml:space="preserve">Abdulkareem SA, Augustijn E-W, Mustafa YT, Filatova T. Integrating Spatial Intelligence for risk perception in an Agent Based Disease Model. GeoComputation. 2017; 1–7. </w:t>
      </w:r>
    </w:p>
    <w:p w14:paraId="6AC0E75B"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7. </w:t>
      </w:r>
      <w:r w:rsidRPr="00E20743">
        <w:rPr>
          <w:noProof/>
        </w:rPr>
        <w:tab/>
        <w:t>Gregson S, Waddell H, Chandiwana S. School education and HIV control in sub-Saharan Africa: From discord to harmony? J Int Dev. 2001;13: 467–485. doi:10.1002/jid.798</w:t>
      </w:r>
    </w:p>
    <w:p w14:paraId="05786E6C"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lastRenderedPageBreak/>
        <w:t xml:space="preserve">8. </w:t>
      </w:r>
      <w:r w:rsidRPr="00E20743">
        <w:rPr>
          <w:noProof/>
        </w:rPr>
        <w:tab/>
        <w:t>Melegaro A, Del Fava E, Poletti P, Merler S, Nyamukapa C, Williams J, et al. Social Contact Structures and Time Use Patterns in the Manicaland Province of Zimbabwe. Nishiura H, editor. PLoS One. 2017;12: e0170459. doi:10.1371/journal.pone.0170459</w:t>
      </w:r>
    </w:p>
    <w:p w14:paraId="7830C8F9"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9. </w:t>
      </w:r>
      <w:r w:rsidRPr="00E20743">
        <w:rPr>
          <w:noProof/>
        </w:rPr>
        <w:tab/>
        <w:t>Ghana Statistical Service. 2010 Population and Housing Census. Ghana Stat Serv. 2012; 1–117. doi:10.1371/journal.pone.0104053</w:t>
      </w:r>
    </w:p>
    <w:p w14:paraId="029AEAF4"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10. </w:t>
      </w:r>
      <w:r w:rsidRPr="00E20743">
        <w:rPr>
          <w:noProof/>
        </w:rPr>
        <w:tab/>
        <w:t>Wilson EB, Burke MH. The Epidemic Curve. Proc Natl Acad Sci U S A. 1943;29: 43–48. doi:10.1073/pnas.29.1.43</w:t>
      </w:r>
    </w:p>
    <w:p w14:paraId="0C3434BD"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11. </w:t>
      </w:r>
      <w:r w:rsidRPr="00E20743">
        <w:rPr>
          <w:noProof/>
        </w:rPr>
        <w:tab/>
        <w:t>De Zwart O, Veldhuijzen IK, Elam G, Aro AR, Abraham T, Bishop GD, et al. Perceived threat, risk perception, and efficacy beliefs related to SARS and other (emerging) infectious diseases: Results of an international survey. Int J Behav Med. 2009;16: 30–40. doi:10.1007/s12529-008-9008-2</w:t>
      </w:r>
    </w:p>
    <w:p w14:paraId="49D7DC93"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12. </w:t>
      </w:r>
      <w:r w:rsidRPr="00E20743">
        <w:rPr>
          <w:noProof/>
        </w:rPr>
        <w:tab/>
        <w:t>Liao Y, Xu B, Wang J, Liu X. A new method for assessing the risk of infectious disease outbreak. Sci Rep. 2017;7: 40084. doi:10.1038/srep40084</w:t>
      </w:r>
    </w:p>
    <w:p w14:paraId="7935E0C9"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13. </w:t>
      </w:r>
      <w:r w:rsidRPr="00E20743">
        <w:rPr>
          <w:noProof/>
        </w:rPr>
        <w:tab/>
        <w:t xml:space="preserve">Wei J, Wang F, Zhao D. A risk perception model: simulating public response to news reports in China. undefined. 2012. </w:t>
      </w:r>
    </w:p>
    <w:p w14:paraId="22FD776E"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14. </w:t>
      </w:r>
      <w:r w:rsidRPr="00E20743">
        <w:rPr>
          <w:noProof/>
        </w:rPr>
        <w:tab/>
        <w:t>Moinet A, Barrat A, Satorras RP, Pastor-Satorras R, Barrat A, Effect AB. Effect of risk perception on epidemic spreading in temporal networks. Phys Rev E. 2018;97: 012313. doi:10.1103/PhysRevE.97.012313</w:t>
      </w:r>
    </w:p>
    <w:p w14:paraId="70DB8CE7"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15. </w:t>
      </w:r>
      <w:r w:rsidRPr="00E20743">
        <w:rPr>
          <w:noProof/>
        </w:rPr>
        <w:tab/>
        <w:t>Asase M, Yanful EK, Mensah M, Stanford J, Amponsah S. Comparison of municipal solid waste management systems in Canada and Ghana: A case study of the cities of London, Ontario, and Kumasi, Ghana. Waste Management. 2009. pp. 2779–2786. doi:10.1016/j.wasman.2009.06.019</w:t>
      </w:r>
    </w:p>
    <w:p w14:paraId="31B960DF"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16. </w:t>
      </w:r>
      <w:r w:rsidRPr="00E20743">
        <w:rPr>
          <w:noProof/>
        </w:rPr>
        <w:tab/>
        <w:t>Miezah K, Obiri-Danso K, Kadar Z, Fei-Baffoe B, Mensah MY. Municipal solid waste characterization and quantification as a measure towards effective waste management in Ghana. Waste Manag. 2015;46: 15–27. doi:10.1016/j.wasman.2015.09.009</w:t>
      </w:r>
    </w:p>
    <w:p w14:paraId="2FC614AB"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17. </w:t>
      </w:r>
      <w:r w:rsidRPr="00E20743">
        <w:rPr>
          <w:noProof/>
        </w:rPr>
        <w:tab/>
        <w:t xml:space="preserve">Doldersum T. The role of water in cholera diffusion Improvements of a cholera diffusion model for Kumasi, Ghana. 2013. </w:t>
      </w:r>
    </w:p>
    <w:p w14:paraId="5D13ACCD"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18. </w:t>
      </w:r>
      <w:r w:rsidRPr="00E20743">
        <w:rPr>
          <w:noProof/>
        </w:rPr>
        <w:tab/>
        <w:t>Osei FB, Duker AA. Spatial dependency of V. cholera prevalence on open space refuse dumps in Kumasi, Ghana: a spatial statistical modelling. Int J Health Geogr. 2008;7: 62. doi:10.1186/1476-072X-7-62</w:t>
      </w:r>
    </w:p>
    <w:p w14:paraId="56D915A7"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19. </w:t>
      </w:r>
      <w:r w:rsidRPr="00E20743">
        <w:rPr>
          <w:noProof/>
        </w:rPr>
        <w:tab/>
        <w:t>Osei FB, Duker AA, Augustijn EW, Stein A. Spatial dependency of cholera prevalence on potential cholera reservoirs in an urban area, Kumasi, Ghana. Int J Appl Earth Obs Geoinf. 2010;12: 331–339. doi:10.1016/j.jag.2010.04.005</w:t>
      </w:r>
    </w:p>
    <w:p w14:paraId="6120980F"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20. </w:t>
      </w:r>
      <w:r w:rsidRPr="00E20743">
        <w:rPr>
          <w:noProof/>
        </w:rPr>
        <w:tab/>
        <w:t>Kitchovitch S, Liò P, Li P, Liò P. Risk perception and disease spread on social networks. Procedia Comput Sci. 2010;1: 2345–2354. doi:10.1016/j.procs.2010.04.264</w:t>
      </w:r>
    </w:p>
    <w:p w14:paraId="3A7662F9"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21. </w:t>
      </w:r>
      <w:r w:rsidRPr="00E20743">
        <w:rPr>
          <w:noProof/>
        </w:rPr>
        <w:tab/>
        <w:t>Danquah L, Abass K, Nikoi AA. Anthropogenic Pollution of Inland Waters: the Case of the Aboabo River in Kumasi, Ghana. J Sustain Dev. 2011;4: 103–115. doi:10.5539/jsd.v4n6p103</w:t>
      </w:r>
    </w:p>
    <w:p w14:paraId="6ABFB708" w14:textId="77777777" w:rsidR="00E20743" w:rsidRPr="00E20743" w:rsidRDefault="00E20743" w:rsidP="00E20743">
      <w:pPr>
        <w:widowControl w:val="0"/>
        <w:autoSpaceDE w:val="0"/>
        <w:autoSpaceDN w:val="0"/>
        <w:adjustRightInd w:val="0"/>
        <w:spacing w:line="240" w:lineRule="auto"/>
        <w:ind w:left="640" w:hanging="640"/>
        <w:rPr>
          <w:noProof/>
        </w:rPr>
      </w:pPr>
      <w:r w:rsidRPr="00E20743">
        <w:rPr>
          <w:noProof/>
        </w:rPr>
        <w:t xml:space="preserve">22. </w:t>
      </w:r>
      <w:r w:rsidRPr="00E20743">
        <w:rPr>
          <w:noProof/>
        </w:rPr>
        <w:tab/>
        <w:t>Abdulkareem SA. Enhancing agent-based models with artificial intelligence for complex decision making. University of Twente. 2019. doi:10.3990/1.9789036547482</w:t>
      </w:r>
    </w:p>
    <w:p w14:paraId="09AF9A66" w14:textId="160E06BE" w:rsidR="00D010C7" w:rsidRPr="00D010C7" w:rsidRDefault="00D010C7" w:rsidP="00E20743">
      <w:pPr>
        <w:widowControl w:val="0"/>
        <w:autoSpaceDE w:val="0"/>
        <w:autoSpaceDN w:val="0"/>
        <w:adjustRightInd w:val="0"/>
        <w:spacing w:line="240" w:lineRule="auto"/>
        <w:ind w:left="640" w:hanging="640"/>
      </w:pPr>
      <w:r>
        <w:fldChar w:fldCharType="end"/>
      </w:r>
    </w:p>
    <w:sectPr w:rsidR="00D010C7" w:rsidRPr="00D010C7">
      <w:footerReference w:type="even" r:id="rId18"/>
      <w:footerReference w:type="default" r:id="rId19"/>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F2630" w14:textId="77777777" w:rsidR="004B192E" w:rsidRDefault="004B192E" w:rsidP="006F0E54">
      <w:pPr>
        <w:spacing w:after="0" w:line="240" w:lineRule="auto"/>
      </w:pPr>
      <w:r>
        <w:separator/>
      </w:r>
    </w:p>
  </w:endnote>
  <w:endnote w:type="continuationSeparator" w:id="0">
    <w:p w14:paraId="4371E8DF" w14:textId="77777777" w:rsidR="004B192E" w:rsidRDefault="004B192E" w:rsidP="006F0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w:panose1 w:val="020005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91218" w14:textId="77777777" w:rsidR="00933F7E" w:rsidRDefault="00933F7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69A7F24A" w14:textId="77777777" w:rsidR="00933F7E" w:rsidRDefault="00933F7E">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1C122" w14:textId="77777777" w:rsidR="00933F7E" w:rsidRDefault="00933F7E">
    <w:pPr>
      <w:pBdr>
        <w:top w:val="nil"/>
        <w:left w:val="nil"/>
        <w:bottom w:val="nil"/>
        <w:right w:val="nil"/>
        <w:between w:val="nil"/>
      </w:pBdr>
      <w:tabs>
        <w:tab w:val="center" w:pos="4680"/>
        <w:tab w:val="right" w:pos="9360"/>
      </w:tabs>
      <w:spacing w:after="0" w:line="240" w:lineRule="auto"/>
      <w:jc w:val="right"/>
      <w:rPr>
        <w:rFonts w:ascii="Courier" w:eastAsia="Courier" w:hAnsi="Courier" w:cs="Courier"/>
        <w:color w:val="000000"/>
        <w:sz w:val="18"/>
        <w:szCs w:val="18"/>
      </w:rPr>
    </w:pPr>
    <w:r>
      <w:rPr>
        <w:rFonts w:ascii="Courier" w:eastAsia="Courier" w:hAnsi="Courier" w:cs="Courier"/>
        <w:color w:val="000000"/>
        <w:sz w:val="18"/>
        <w:szCs w:val="18"/>
      </w:rPr>
      <w:fldChar w:fldCharType="begin"/>
    </w:r>
    <w:r>
      <w:rPr>
        <w:rFonts w:ascii="Courier" w:eastAsia="Courier" w:hAnsi="Courier" w:cs="Courier"/>
        <w:color w:val="000000"/>
        <w:sz w:val="18"/>
        <w:szCs w:val="18"/>
      </w:rPr>
      <w:instrText>PAGE</w:instrText>
    </w:r>
    <w:r>
      <w:rPr>
        <w:rFonts w:ascii="Courier" w:eastAsia="Courier" w:hAnsi="Courier" w:cs="Courier"/>
        <w:color w:val="000000"/>
        <w:sz w:val="18"/>
        <w:szCs w:val="18"/>
      </w:rPr>
      <w:fldChar w:fldCharType="separate"/>
    </w:r>
    <w:r>
      <w:rPr>
        <w:rFonts w:ascii="Courier" w:eastAsia="Courier" w:hAnsi="Courier" w:cs="Courier"/>
        <w:noProof/>
        <w:color w:val="000000"/>
        <w:sz w:val="18"/>
        <w:szCs w:val="18"/>
      </w:rPr>
      <w:t>1</w:t>
    </w:r>
    <w:r>
      <w:rPr>
        <w:rFonts w:ascii="Courier" w:eastAsia="Courier" w:hAnsi="Courier" w:cs="Courier"/>
        <w:color w:val="000000"/>
        <w:sz w:val="18"/>
        <w:szCs w:val="18"/>
      </w:rPr>
      <w:fldChar w:fldCharType="end"/>
    </w:r>
  </w:p>
  <w:p w14:paraId="3DCAF69D" w14:textId="77777777" w:rsidR="00933F7E" w:rsidRDefault="00933F7E">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A1368A" w14:textId="77777777" w:rsidR="004B192E" w:rsidRDefault="004B192E" w:rsidP="006F0E54">
      <w:pPr>
        <w:spacing w:after="0" w:line="240" w:lineRule="auto"/>
      </w:pPr>
      <w:r>
        <w:separator/>
      </w:r>
    </w:p>
  </w:footnote>
  <w:footnote w:type="continuationSeparator" w:id="0">
    <w:p w14:paraId="223D7A3E" w14:textId="77777777" w:rsidR="004B192E" w:rsidRDefault="004B192E" w:rsidP="006F0E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A675D"/>
    <w:multiLevelType w:val="hybridMultilevel"/>
    <w:tmpl w:val="6332C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F75110"/>
    <w:multiLevelType w:val="hybridMultilevel"/>
    <w:tmpl w:val="D2884A3E"/>
    <w:lvl w:ilvl="0" w:tplc="A9B4F5CE">
      <w:start w:val="1"/>
      <w:numFmt w:val="bullet"/>
      <w:lvlText w:val=""/>
      <w:lvlJc w:val="left"/>
      <w:pPr>
        <w:ind w:left="624" w:hanging="284"/>
      </w:pPr>
      <w:rPr>
        <w:rFonts w:ascii="Symbol" w:hAnsi="Symbol" w:hint="default"/>
        <w:sz w:val="13"/>
        <w:szCs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C924F8"/>
    <w:multiLevelType w:val="hybridMultilevel"/>
    <w:tmpl w:val="74C40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740F92"/>
    <w:multiLevelType w:val="hybridMultilevel"/>
    <w:tmpl w:val="BFF80204"/>
    <w:lvl w:ilvl="0" w:tplc="AEDCB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7733A"/>
    <w:multiLevelType w:val="hybridMultilevel"/>
    <w:tmpl w:val="EF50943E"/>
    <w:lvl w:ilvl="0" w:tplc="A712C744">
      <w:start w:val="4"/>
      <w:numFmt w:val="bullet"/>
      <w:lvlText w:val="-"/>
      <w:lvlJc w:val="left"/>
      <w:pPr>
        <w:ind w:left="720" w:hanging="360"/>
      </w:pPr>
      <w:rPr>
        <w:rFonts w:ascii="Arial" w:eastAsia="Calibr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0E2BEA"/>
    <w:multiLevelType w:val="hybridMultilevel"/>
    <w:tmpl w:val="BFF80204"/>
    <w:lvl w:ilvl="0" w:tplc="AEDCB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486ABA"/>
    <w:multiLevelType w:val="hybridMultilevel"/>
    <w:tmpl w:val="6A8044BE"/>
    <w:lvl w:ilvl="0" w:tplc="AEDCBC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485322"/>
    <w:multiLevelType w:val="hybridMultilevel"/>
    <w:tmpl w:val="A5CE62E8"/>
    <w:lvl w:ilvl="0" w:tplc="DDD24028">
      <w:numFmt w:val="bullet"/>
      <w:lvlText w:val=""/>
      <w:lvlJc w:val="left"/>
      <w:pPr>
        <w:ind w:left="720" w:hanging="360"/>
      </w:pPr>
      <w:rPr>
        <w:rFonts w:ascii="Symbol" w:eastAsia="Calibri"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415D6A"/>
    <w:multiLevelType w:val="hybridMultilevel"/>
    <w:tmpl w:val="DD64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6"/>
  </w:num>
  <w:num w:numId="6">
    <w:abstractNumId w:val="2"/>
  </w:num>
  <w:num w:numId="7">
    <w:abstractNumId w:val="4"/>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E54"/>
    <w:rsid w:val="000130FB"/>
    <w:rsid w:val="0005111A"/>
    <w:rsid w:val="000B31CE"/>
    <w:rsid w:val="0010571F"/>
    <w:rsid w:val="00125382"/>
    <w:rsid w:val="001B0B48"/>
    <w:rsid w:val="001D2078"/>
    <w:rsid w:val="001E4A85"/>
    <w:rsid w:val="002533A8"/>
    <w:rsid w:val="002D0DB3"/>
    <w:rsid w:val="00317071"/>
    <w:rsid w:val="00317A8E"/>
    <w:rsid w:val="00381A3C"/>
    <w:rsid w:val="003E5FEC"/>
    <w:rsid w:val="004543CD"/>
    <w:rsid w:val="00474020"/>
    <w:rsid w:val="004A37E6"/>
    <w:rsid w:val="004B0974"/>
    <w:rsid w:val="004B192E"/>
    <w:rsid w:val="00522624"/>
    <w:rsid w:val="0058274C"/>
    <w:rsid w:val="005D03CA"/>
    <w:rsid w:val="006A2748"/>
    <w:rsid w:val="006D22F2"/>
    <w:rsid w:val="006F0E54"/>
    <w:rsid w:val="007073D3"/>
    <w:rsid w:val="00727E7A"/>
    <w:rsid w:val="00736EF5"/>
    <w:rsid w:val="00754119"/>
    <w:rsid w:val="00791DA2"/>
    <w:rsid w:val="008455D0"/>
    <w:rsid w:val="00864E5D"/>
    <w:rsid w:val="00894DE6"/>
    <w:rsid w:val="00926995"/>
    <w:rsid w:val="00933F7E"/>
    <w:rsid w:val="00975445"/>
    <w:rsid w:val="009D57AD"/>
    <w:rsid w:val="009F089D"/>
    <w:rsid w:val="00A464F8"/>
    <w:rsid w:val="00AC767E"/>
    <w:rsid w:val="00B74211"/>
    <w:rsid w:val="00BA7C62"/>
    <w:rsid w:val="00C101E0"/>
    <w:rsid w:val="00C23A54"/>
    <w:rsid w:val="00C34CAD"/>
    <w:rsid w:val="00CA089A"/>
    <w:rsid w:val="00CE6060"/>
    <w:rsid w:val="00CF1D54"/>
    <w:rsid w:val="00D010C7"/>
    <w:rsid w:val="00D2241C"/>
    <w:rsid w:val="00D57740"/>
    <w:rsid w:val="00D8161C"/>
    <w:rsid w:val="00DA6C3F"/>
    <w:rsid w:val="00E20743"/>
    <w:rsid w:val="00E25C3A"/>
    <w:rsid w:val="00EA3BFF"/>
    <w:rsid w:val="00F36C07"/>
    <w:rsid w:val="00FF76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6CDB2"/>
  <w15:chartTrackingRefBased/>
  <w15:docId w15:val="{6B670142-C338-7F4A-AC99-80C61A74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E54"/>
    <w:pPr>
      <w:spacing w:after="240" w:line="312" w:lineRule="auto"/>
    </w:pPr>
    <w:rPr>
      <w:rFonts w:ascii="Calibri" w:eastAsia="Calibri" w:hAnsi="Calibri" w:cs="Calibri"/>
      <w:sz w:val="20"/>
      <w:szCs w:val="20"/>
    </w:rPr>
  </w:style>
  <w:style w:type="paragraph" w:styleId="Heading1">
    <w:name w:val="heading 1"/>
    <w:basedOn w:val="Normal"/>
    <w:next w:val="Normal"/>
    <w:link w:val="Heading1Char"/>
    <w:qFormat/>
    <w:rsid w:val="006F0E54"/>
    <w:pPr>
      <w:keepNext/>
      <w:keepLines/>
      <w:spacing w:after="120" w:line="240" w:lineRule="auto"/>
      <w:ind w:left="432" w:hanging="432"/>
      <w:outlineLvl w:val="0"/>
    </w:pPr>
    <w:rPr>
      <w:color w:val="2F5496"/>
      <w:sz w:val="32"/>
      <w:szCs w:val="32"/>
    </w:rPr>
  </w:style>
  <w:style w:type="paragraph" w:styleId="Heading2">
    <w:name w:val="heading 2"/>
    <w:basedOn w:val="Normal"/>
    <w:next w:val="Normal"/>
    <w:link w:val="Heading2Char"/>
    <w:uiPriority w:val="9"/>
    <w:unhideWhenUsed/>
    <w:qFormat/>
    <w:rsid w:val="006F0E54"/>
    <w:pPr>
      <w:keepNext/>
      <w:keepLines/>
      <w:spacing w:before="360" w:after="0" w:line="276" w:lineRule="auto"/>
      <w:ind w:left="576" w:hanging="576"/>
      <w:jc w:val="both"/>
      <w:outlineLvl w:val="1"/>
    </w:pPr>
    <w:rPr>
      <w:color w:val="2F5496"/>
      <w:sz w:val="28"/>
      <w:szCs w:val="28"/>
    </w:rPr>
  </w:style>
  <w:style w:type="paragraph" w:styleId="Heading3">
    <w:name w:val="heading 3"/>
    <w:basedOn w:val="Normal"/>
    <w:next w:val="Normal"/>
    <w:link w:val="Heading3Char"/>
    <w:uiPriority w:val="9"/>
    <w:unhideWhenUsed/>
    <w:qFormat/>
    <w:rsid w:val="006F0E54"/>
    <w:pPr>
      <w:keepNext/>
      <w:keepLines/>
      <w:spacing w:before="40" w:after="0"/>
      <w:ind w:left="720" w:hanging="720"/>
      <w:jc w:val="both"/>
      <w:outlineLvl w:val="2"/>
    </w:pPr>
    <w:rPr>
      <w:b/>
      <w:color w:val="1F3863"/>
      <w:sz w:val="24"/>
      <w:szCs w:val="24"/>
      <w:u w:val="single"/>
    </w:rPr>
  </w:style>
  <w:style w:type="paragraph" w:styleId="Heading4">
    <w:name w:val="heading 4"/>
    <w:basedOn w:val="Normal"/>
    <w:next w:val="Normal"/>
    <w:link w:val="Heading4Char"/>
    <w:uiPriority w:val="9"/>
    <w:unhideWhenUsed/>
    <w:qFormat/>
    <w:rsid w:val="006F0E54"/>
    <w:pPr>
      <w:keepNext/>
      <w:keepLines/>
      <w:spacing w:before="40" w:after="0"/>
      <w:ind w:left="864" w:hanging="864"/>
      <w:outlineLvl w:val="3"/>
    </w:pPr>
    <w:rPr>
      <w:i/>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0E54"/>
    <w:rPr>
      <w:rFonts w:ascii="Calibri" w:eastAsia="Calibri" w:hAnsi="Calibri" w:cs="Calibri"/>
      <w:color w:val="2F5496"/>
      <w:sz w:val="32"/>
      <w:szCs w:val="32"/>
    </w:rPr>
  </w:style>
  <w:style w:type="character" w:customStyle="1" w:styleId="Heading2Char">
    <w:name w:val="Heading 2 Char"/>
    <w:basedOn w:val="DefaultParagraphFont"/>
    <w:link w:val="Heading2"/>
    <w:uiPriority w:val="9"/>
    <w:rsid w:val="006F0E54"/>
    <w:rPr>
      <w:rFonts w:ascii="Calibri" w:eastAsia="Calibri" w:hAnsi="Calibri" w:cs="Calibri"/>
      <w:color w:val="2F5496"/>
      <w:sz w:val="28"/>
      <w:szCs w:val="28"/>
    </w:rPr>
  </w:style>
  <w:style w:type="character" w:customStyle="1" w:styleId="Heading3Char">
    <w:name w:val="Heading 3 Char"/>
    <w:basedOn w:val="DefaultParagraphFont"/>
    <w:link w:val="Heading3"/>
    <w:uiPriority w:val="9"/>
    <w:rsid w:val="006F0E54"/>
    <w:rPr>
      <w:rFonts w:ascii="Calibri" w:eastAsia="Calibri" w:hAnsi="Calibri" w:cs="Calibri"/>
      <w:b/>
      <w:color w:val="1F3863"/>
      <w:u w:val="single"/>
    </w:rPr>
  </w:style>
  <w:style w:type="character" w:customStyle="1" w:styleId="Heading4Char">
    <w:name w:val="Heading 4 Char"/>
    <w:basedOn w:val="DefaultParagraphFont"/>
    <w:link w:val="Heading4"/>
    <w:uiPriority w:val="9"/>
    <w:rsid w:val="006F0E54"/>
    <w:rPr>
      <w:rFonts w:ascii="Calibri" w:eastAsia="Calibri" w:hAnsi="Calibri" w:cs="Calibri"/>
      <w:i/>
      <w:color w:val="2F5496"/>
      <w:sz w:val="20"/>
      <w:szCs w:val="20"/>
    </w:rPr>
  </w:style>
  <w:style w:type="paragraph" w:styleId="FootnoteText">
    <w:name w:val="footnote text"/>
    <w:basedOn w:val="Normal"/>
    <w:link w:val="FootnoteTextChar"/>
    <w:uiPriority w:val="99"/>
    <w:semiHidden/>
    <w:unhideWhenUsed/>
    <w:rsid w:val="006F0E54"/>
    <w:pPr>
      <w:spacing w:after="0" w:line="240" w:lineRule="auto"/>
    </w:pPr>
  </w:style>
  <w:style w:type="character" w:customStyle="1" w:styleId="FootnoteTextChar">
    <w:name w:val="Footnote Text Char"/>
    <w:basedOn w:val="DefaultParagraphFont"/>
    <w:link w:val="FootnoteText"/>
    <w:uiPriority w:val="99"/>
    <w:semiHidden/>
    <w:rsid w:val="006F0E54"/>
    <w:rPr>
      <w:rFonts w:ascii="Calibri" w:eastAsia="Calibri" w:hAnsi="Calibri" w:cs="Calibri"/>
      <w:sz w:val="20"/>
      <w:szCs w:val="20"/>
    </w:rPr>
  </w:style>
  <w:style w:type="character" w:styleId="FootnoteReference">
    <w:name w:val="footnote reference"/>
    <w:basedOn w:val="DefaultParagraphFont"/>
    <w:uiPriority w:val="99"/>
    <w:unhideWhenUsed/>
    <w:rsid w:val="006F0E54"/>
    <w:rPr>
      <w:vertAlign w:val="superscript"/>
    </w:rPr>
  </w:style>
  <w:style w:type="table" w:styleId="TableGrid">
    <w:name w:val="Table Grid"/>
    <w:basedOn w:val="TableNormal"/>
    <w:uiPriority w:val="39"/>
    <w:rsid w:val="006F0E54"/>
    <w:rPr>
      <w:rFonts w:ascii="Calibri" w:eastAsia="Calibri" w:hAnsi="Calibri" w:cs="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F0E54"/>
    <w:pPr>
      <w:spacing w:after="200" w:line="240" w:lineRule="auto"/>
    </w:pPr>
    <w:rPr>
      <w:i/>
      <w:iCs/>
      <w:color w:val="44546A" w:themeColor="text2"/>
      <w:sz w:val="18"/>
      <w:szCs w:val="18"/>
    </w:rPr>
  </w:style>
  <w:style w:type="paragraph" w:styleId="ListParagraph">
    <w:name w:val="List Paragraph"/>
    <w:basedOn w:val="Normal"/>
    <w:uiPriority w:val="34"/>
    <w:qFormat/>
    <w:rsid w:val="006F0E54"/>
    <w:pPr>
      <w:spacing w:after="0" w:line="240" w:lineRule="auto"/>
      <w:ind w:left="720"/>
      <w:contextualSpacing/>
      <w:jc w:val="both"/>
    </w:pPr>
    <w:rPr>
      <w:rFonts w:ascii="Arial" w:eastAsia="Times New Roman" w:hAnsi="Arial" w:cs="Times New Roman"/>
      <w:sz w:val="24"/>
      <w:szCs w:val="24"/>
    </w:rPr>
  </w:style>
  <w:style w:type="table" w:styleId="ListTable6Colorful">
    <w:name w:val="List Table 6 Colorful"/>
    <w:basedOn w:val="TableNormal"/>
    <w:uiPriority w:val="51"/>
    <w:rsid w:val="006F0E5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6F0E54"/>
    <w:pPr>
      <w:spacing w:before="100" w:beforeAutospacing="1" w:after="100" w:afterAutospacing="1" w:line="240" w:lineRule="auto"/>
    </w:pPr>
    <w:rPr>
      <w:rFonts w:ascii="Times New Roman" w:eastAsia="Times New Roman" w:hAnsi="Times New Roman" w:cs="Times New Roman"/>
      <w:sz w:val="24"/>
      <w:szCs w:val="24"/>
    </w:rPr>
  </w:style>
  <w:style w:type="table" w:styleId="PlainTable4">
    <w:name w:val="Plain Table 4"/>
    <w:basedOn w:val="TableNormal"/>
    <w:uiPriority w:val="44"/>
    <w:rsid w:val="006F0E5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hyperlink" Target="http://srtm.csi.cgiar.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www.modernghana.com/news/88253/1/cholera-outbreak-in-accr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600D5-D43D-C541-88F5-747193584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20</Pages>
  <Words>17190</Words>
  <Characters>97984</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Unknown</cp:lastModifiedBy>
  <cp:revision>10</cp:revision>
  <dcterms:created xsi:type="dcterms:W3CDTF">2019-12-10T19:30:00Z</dcterms:created>
  <dcterms:modified xsi:type="dcterms:W3CDTF">2019-12-21T06:14:00Z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http://www.zotero.org/styles/environmental-modelling-and-software</vt:lpwstr>
  </property>
  <property fmtid="{D5CDD505-2E9C-101B-9397-08002B2CF9AE}" pid="9" name="Mendeley Recent Style Name 3_1">
    <vt:lpwstr>Environmental Modelling and Software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http://www.zotero.org/styles/harvard-imperial-college-london</vt:lpwstr>
  </property>
  <property fmtid="{D5CDD505-2E9C-101B-9397-08002B2CF9AE}" pid="15" name="Mendeley Recent Style Name 6_1">
    <vt:lpwstr>Imperial College London - Harvard</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http://www.zotero.org/styles/plos-one</vt:lpwstr>
  </property>
  <property fmtid="{D5CDD505-2E9C-101B-9397-08002B2CF9AE}" pid="19" name="Mendeley Recent Style Name 8_1">
    <vt:lpwstr>PLOS ONE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ce672cff-5566-3461-a302-3209e6892b25</vt:lpwstr>
  </property>
  <property fmtid="{D5CDD505-2E9C-101B-9397-08002B2CF9AE}" pid="24" name="Mendeley Citation Style_1">
    <vt:lpwstr>http://www.zotero.org/styles/plos-one</vt:lpwstr>
  </property>
</Properties>
</file>