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3A" w:rsidRPr="00C522E6" w:rsidRDefault="00945B3A" w:rsidP="00945B3A">
      <w:pPr>
        <w:rPr>
          <w:rFonts w:ascii="Times New Roman" w:hAnsi="Times New Roman" w:cs="Times New Roman"/>
          <w:b/>
          <w:sz w:val="24"/>
          <w:szCs w:val="24"/>
        </w:rPr>
      </w:pPr>
      <w:r w:rsidRPr="00C522E6">
        <w:rPr>
          <w:rFonts w:ascii="Times New Roman" w:hAnsi="Times New Roman" w:cs="Times New Roman"/>
          <w:b/>
          <w:sz w:val="24"/>
          <w:szCs w:val="24"/>
        </w:rPr>
        <w:t>S3 Table: Study schedule of events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C-Table"/>
        <w:tblW w:w="13600" w:type="dxa"/>
        <w:tblLayout w:type="fixed"/>
        <w:tblLook w:val="04A0" w:firstRow="1" w:lastRow="0" w:firstColumn="1" w:lastColumn="0" w:noHBand="0" w:noVBand="1"/>
      </w:tblPr>
      <w:tblGrid>
        <w:gridCol w:w="2362"/>
        <w:gridCol w:w="964"/>
        <w:gridCol w:w="777"/>
        <w:gridCol w:w="709"/>
        <w:gridCol w:w="850"/>
        <w:gridCol w:w="851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</w:tblGrid>
      <w:tr w:rsidR="00945B3A" w:rsidRPr="00147E37" w:rsidTr="00075194">
        <w:trPr>
          <w:cantSplit w:val="0"/>
          <w:trHeight w:val="63"/>
          <w:tblHeader/>
        </w:trPr>
        <w:tc>
          <w:tcPr>
            <w:tcW w:w="2362" w:type="dxa"/>
            <w:vMerge w:val="restart"/>
          </w:tcPr>
          <w:p w:rsidR="00945B3A" w:rsidRPr="00147E37" w:rsidRDefault="00945B3A" w:rsidP="00075194">
            <w:pPr>
              <w:pStyle w:val="C-TableHead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Assessments</w:t>
            </w:r>
          </w:p>
        </w:tc>
        <w:tc>
          <w:tcPr>
            <w:tcW w:w="3300" w:type="dxa"/>
            <w:gridSpan w:val="4"/>
          </w:tcPr>
          <w:p w:rsidR="00945B3A" w:rsidRPr="009B4F5E" w:rsidRDefault="00945B3A" w:rsidP="00075194">
            <w:pPr>
              <w:pStyle w:val="C-TableHeader"/>
              <w:jc w:val="center"/>
            </w:pPr>
            <w:r>
              <w:rPr>
                <w:color w:val="000000"/>
                <w:szCs w:val="22"/>
                <w:lang w:eastAsia="en-AU"/>
              </w:rPr>
              <w:t>Screening/Run in</w:t>
            </w:r>
          </w:p>
        </w:tc>
        <w:tc>
          <w:tcPr>
            <w:tcW w:w="7938" w:type="dxa"/>
            <w:gridSpan w:val="10"/>
          </w:tcPr>
          <w:p w:rsidR="00945B3A" w:rsidRPr="00147E37" w:rsidRDefault="00945B3A" w:rsidP="00075194">
            <w:pPr>
              <w:pStyle w:val="C-TableHeader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Study Period 1 </w:t>
            </w:r>
          </w:p>
        </w:tc>
      </w:tr>
      <w:tr w:rsidR="00945B3A" w:rsidRPr="00147E37" w:rsidTr="00075194">
        <w:trPr>
          <w:cantSplit w:val="0"/>
          <w:trHeight w:val="264"/>
          <w:tblHeader/>
        </w:trPr>
        <w:tc>
          <w:tcPr>
            <w:tcW w:w="2362" w:type="dxa"/>
            <w:vMerge/>
          </w:tcPr>
          <w:p w:rsidR="00945B3A" w:rsidRPr="00147E37" w:rsidRDefault="00945B3A" w:rsidP="00075194">
            <w:pPr>
              <w:rPr>
                <w:rFonts w:ascii="Arial" w:hAnsi="Arial"/>
                <w:color w:val="000000"/>
                <w:szCs w:val="22"/>
                <w:lang w:eastAsia="en-AU"/>
              </w:rPr>
            </w:pPr>
          </w:p>
        </w:tc>
        <w:tc>
          <w:tcPr>
            <w:tcW w:w="964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1</w:t>
            </w:r>
          </w:p>
        </w:tc>
        <w:tc>
          <w:tcPr>
            <w:tcW w:w="777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2</w:t>
            </w:r>
          </w:p>
        </w:tc>
        <w:tc>
          <w:tcPr>
            <w:tcW w:w="709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 xml:space="preserve">Visit 3 </w:t>
            </w:r>
          </w:p>
        </w:tc>
        <w:tc>
          <w:tcPr>
            <w:tcW w:w="850" w:type="dxa"/>
          </w:tcPr>
          <w:p w:rsidR="00945B3A" w:rsidRPr="009B4F5E" w:rsidRDefault="00945B3A" w:rsidP="00075194">
            <w:pPr>
              <w:pStyle w:val="C-TableHeader"/>
              <w:ind w:left="-57" w:right="-57"/>
              <w:jc w:val="center"/>
            </w:pPr>
            <w:r>
              <w:rPr>
                <w:color w:val="000000"/>
                <w:szCs w:val="22"/>
                <w:lang w:eastAsia="en-AU"/>
              </w:rPr>
              <w:t>Visit 4</w:t>
            </w:r>
          </w:p>
        </w:tc>
        <w:tc>
          <w:tcPr>
            <w:tcW w:w="851" w:type="dxa"/>
          </w:tcPr>
          <w:p w:rsidR="00945B3A" w:rsidRPr="009B4F5E" w:rsidRDefault="00945B3A" w:rsidP="00075194">
            <w:pPr>
              <w:pStyle w:val="C-TableHeader"/>
              <w:ind w:left="-57" w:right="-57"/>
              <w:jc w:val="center"/>
            </w:pPr>
            <w:r>
              <w:rPr>
                <w:color w:val="000000"/>
                <w:szCs w:val="22"/>
                <w:lang w:eastAsia="en-AU"/>
              </w:rPr>
              <w:t>Visit 5</w:t>
            </w:r>
          </w:p>
        </w:tc>
        <w:tc>
          <w:tcPr>
            <w:tcW w:w="709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6</w:t>
            </w:r>
          </w:p>
        </w:tc>
        <w:tc>
          <w:tcPr>
            <w:tcW w:w="708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7</w:t>
            </w:r>
          </w:p>
        </w:tc>
        <w:tc>
          <w:tcPr>
            <w:tcW w:w="709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8</w:t>
            </w:r>
          </w:p>
        </w:tc>
        <w:tc>
          <w:tcPr>
            <w:tcW w:w="709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9</w:t>
            </w:r>
          </w:p>
        </w:tc>
        <w:tc>
          <w:tcPr>
            <w:tcW w:w="850" w:type="dxa"/>
          </w:tcPr>
          <w:p w:rsidR="00945B3A" w:rsidRPr="009B4F5E" w:rsidRDefault="00945B3A" w:rsidP="00075194">
            <w:pPr>
              <w:pStyle w:val="C-TableHeader"/>
              <w:ind w:left="-57" w:right="-57"/>
              <w:jc w:val="center"/>
            </w:pPr>
            <w:r w:rsidRPr="00147E37">
              <w:rPr>
                <w:color w:val="000000"/>
                <w:szCs w:val="22"/>
                <w:lang w:eastAsia="en-AU"/>
              </w:rPr>
              <w:t>Vis</w:t>
            </w:r>
            <w:r>
              <w:rPr>
                <w:color w:val="000000"/>
                <w:szCs w:val="22"/>
                <w:lang w:eastAsia="en-AU"/>
              </w:rPr>
              <w:t>it 10</w:t>
            </w:r>
            <w:r>
              <w:rPr>
                <w:rStyle w:val="C-TableCallout"/>
                <w:b w:val="0"/>
              </w:rPr>
              <w:t xml:space="preserve">                                                            </w:t>
            </w:r>
          </w:p>
        </w:tc>
        <w:tc>
          <w:tcPr>
            <w:tcW w:w="851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11</w:t>
            </w:r>
          </w:p>
        </w:tc>
        <w:tc>
          <w:tcPr>
            <w:tcW w:w="850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12</w:t>
            </w:r>
          </w:p>
        </w:tc>
        <w:tc>
          <w:tcPr>
            <w:tcW w:w="851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13</w:t>
            </w:r>
          </w:p>
        </w:tc>
        <w:tc>
          <w:tcPr>
            <w:tcW w:w="850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Visit 14</w:t>
            </w:r>
          </w:p>
        </w:tc>
      </w:tr>
      <w:tr w:rsidR="00945B3A" w:rsidRPr="00147E37" w:rsidTr="00075194">
        <w:trPr>
          <w:cantSplit w:val="0"/>
          <w:trHeight w:val="358"/>
          <w:tblHeader/>
        </w:trPr>
        <w:tc>
          <w:tcPr>
            <w:tcW w:w="2362" w:type="dxa"/>
            <w:vMerge/>
          </w:tcPr>
          <w:p w:rsidR="00945B3A" w:rsidRPr="00147E37" w:rsidRDefault="00945B3A" w:rsidP="00075194">
            <w:pPr>
              <w:rPr>
                <w:rFonts w:ascii="Arial" w:hAnsi="Arial"/>
                <w:color w:val="000000"/>
                <w:szCs w:val="22"/>
                <w:lang w:eastAsia="en-AU"/>
              </w:rPr>
            </w:pPr>
          </w:p>
        </w:tc>
        <w:tc>
          <w:tcPr>
            <w:tcW w:w="964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Day -46 to -73</w:t>
            </w:r>
          </w:p>
        </w:tc>
        <w:tc>
          <w:tcPr>
            <w:tcW w:w="777" w:type="dxa"/>
          </w:tcPr>
          <w:p w:rsidR="00945B3A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Day</w:t>
            </w:r>
            <w:r>
              <w:rPr>
                <w:color w:val="000000"/>
                <w:szCs w:val="22"/>
                <w:lang w:eastAsia="en-AU"/>
              </w:rPr>
              <w:t xml:space="preserve"> </w:t>
            </w:r>
          </w:p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-45</w:t>
            </w:r>
          </w:p>
        </w:tc>
        <w:tc>
          <w:tcPr>
            <w:tcW w:w="709" w:type="dxa"/>
          </w:tcPr>
          <w:p w:rsidR="00945B3A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 xml:space="preserve">Day </w:t>
            </w:r>
          </w:p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-43</w:t>
            </w:r>
          </w:p>
        </w:tc>
        <w:tc>
          <w:tcPr>
            <w:tcW w:w="850" w:type="dxa"/>
          </w:tcPr>
          <w:p w:rsidR="00945B3A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 xml:space="preserve">Day </w:t>
            </w:r>
          </w:p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-38</w:t>
            </w:r>
          </w:p>
        </w:tc>
        <w:tc>
          <w:tcPr>
            <w:tcW w:w="851" w:type="dxa"/>
          </w:tcPr>
          <w:p w:rsidR="00945B3A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Baseline</w:t>
            </w:r>
          </w:p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 </w:t>
            </w:r>
            <w:r w:rsidRPr="00147E37">
              <w:rPr>
                <w:color w:val="000000"/>
                <w:szCs w:val="22"/>
                <w:lang w:eastAsia="en-AU"/>
              </w:rPr>
              <w:t>D0</w:t>
            </w:r>
          </w:p>
        </w:tc>
        <w:tc>
          <w:tcPr>
            <w:tcW w:w="709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D7</w:t>
            </w:r>
          </w:p>
        </w:tc>
        <w:tc>
          <w:tcPr>
            <w:tcW w:w="708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D28</w:t>
            </w:r>
          </w:p>
        </w:tc>
        <w:tc>
          <w:tcPr>
            <w:tcW w:w="709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D35</w:t>
            </w:r>
          </w:p>
        </w:tc>
        <w:tc>
          <w:tcPr>
            <w:tcW w:w="709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W8</w:t>
            </w:r>
          </w:p>
        </w:tc>
        <w:tc>
          <w:tcPr>
            <w:tcW w:w="850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W8 +</w:t>
            </w:r>
            <w:r w:rsidRPr="00147E37">
              <w:rPr>
                <w:color w:val="000000"/>
                <w:szCs w:val="22"/>
                <w:lang w:eastAsia="en-AU"/>
              </w:rPr>
              <w:t>48 hours</w:t>
            </w:r>
          </w:p>
        </w:tc>
        <w:tc>
          <w:tcPr>
            <w:tcW w:w="851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W9</w:t>
            </w:r>
          </w:p>
        </w:tc>
        <w:tc>
          <w:tcPr>
            <w:tcW w:w="850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W12</w:t>
            </w:r>
          </w:p>
        </w:tc>
        <w:tc>
          <w:tcPr>
            <w:tcW w:w="851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W15</w:t>
            </w:r>
          </w:p>
        </w:tc>
        <w:tc>
          <w:tcPr>
            <w:tcW w:w="850" w:type="dxa"/>
          </w:tcPr>
          <w:p w:rsidR="00945B3A" w:rsidRPr="00147E37" w:rsidRDefault="00945B3A" w:rsidP="00075194">
            <w:pPr>
              <w:pStyle w:val="C-TableHeader"/>
              <w:ind w:left="-57" w:right="-57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W19</w:t>
            </w:r>
          </w:p>
        </w:tc>
      </w:tr>
      <w:tr w:rsidR="00945B3A" w:rsidRPr="00147E37" w:rsidTr="00075194">
        <w:trPr>
          <w:cantSplit w:val="0"/>
          <w:trHeight w:val="179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Informed consent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97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Review inclusion/exclusion criteria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75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Demographics, Medical/Surgical History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31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Physical Examination (symptom directed)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(X)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44"/>
        </w:trPr>
        <w:tc>
          <w:tcPr>
            <w:tcW w:w="2362" w:type="dxa"/>
          </w:tcPr>
          <w:p w:rsidR="00945B3A" w:rsidRPr="00BB13F9" w:rsidRDefault="00945B3A" w:rsidP="00075194">
            <w:pPr>
              <w:pStyle w:val="C-TableText"/>
            </w:pPr>
            <w:r>
              <w:rPr>
                <w:color w:val="000000"/>
                <w:szCs w:val="22"/>
                <w:lang w:eastAsia="en-AU"/>
              </w:rPr>
              <w:t>Vital signs/Body Weight/</w:t>
            </w:r>
            <w:r w:rsidRPr="00807444">
              <w:rPr>
                <w:szCs w:val="22"/>
                <w:lang w:eastAsia="en-AU"/>
              </w:rPr>
              <w:t>Height</w:t>
            </w:r>
            <w:r w:rsidRPr="00807444">
              <w:rPr>
                <w:rStyle w:val="C-TableCallout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95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Electrocardiogram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74"/>
        </w:trPr>
        <w:tc>
          <w:tcPr>
            <w:tcW w:w="2362" w:type="dxa"/>
          </w:tcPr>
          <w:p w:rsidR="00945B3A" w:rsidRPr="00BB13F9" w:rsidRDefault="00945B3A" w:rsidP="00075194">
            <w:pPr>
              <w:pStyle w:val="C-TableText"/>
            </w:pPr>
            <w:r w:rsidRPr="00147E37">
              <w:rPr>
                <w:color w:val="000000"/>
                <w:szCs w:val="22"/>
                <w:lang w:eastAsia="en-AU"/>
              </w:rPr>
              <w:t>Urine Pregnancy Test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99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Haematology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12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Chemistry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67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Coagulation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49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Urinalysis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25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Viral Serology (HIV,</w:t>
            </w:r>
            <w:r>
              <w:rPr>
                <w:color w:val="000000"/>
                <w:szCs w:val="22"/>
                <w:lang w:eastAsia="en-AU"/>
              </w:rPr>
              <w:t xml:space="preserve"> Hepatitis B and C, HSV-1 and 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32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ELISA (antibody)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32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ELIspot (</w:t>
            </w:r>
            <w:r>
              <w:rPr>
                <w:color w:val="000000"/>
                <w:szCs w:val="22"/>
                <w:lang w:eastAsia="en-AU"/>
              </w:rPr>
              <w:t>T-cell</w:t>
            </w:r>
            <w:r w:rsidRPr="00147E37">
              <w:rPr>
                <w:color w:val="000000"/>
                <w:szCs w:val="22"/>
                <w:lang w:eastAsia="en-AU"/>
              </w:rPr>
              <w:t>)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264"/>
        </w:trPr>
        <w:tc>
          <w:tcPr>
            <w:tcW w:w="2362" w:type="dxa"/>
          </w:tcPr>
          <w:p w:rsidR="00945B3A" w:rsidRPr="00BB13F9" w:rsidRDefault="00945B3A" w:rsidP="00075194">
            <w:pPr>
              <w:pStyle w:val="C-TableText"/>
            </w:pPr>
            <w:r w:rsidRPr="00147E37">
              <w:rPr>
                <w:color w:val="000000"/>
                <w:szCs w:val="22"/>
                <w:lang w:eastAsia="en-AU"/>
              </w:rPr>
              <w:lastRenderedPageBreak/>
              <w:t>Exploratory Immune assays (</w:t>
            </w:r>
            <w:r>
              <w:rPr>
                <w:color w:val="000000"/>
                <w:szCs w:val="22"/>
                <w:lang w:eastAsia="en-AU"/>
              </w:rPr>
              <w:t>T-cell</w:t>
            </w:r>
            <w:r w:rsidRPr="00147E37">
              <w:rPr>
                <w:color w:val="000000"/>
                <w:szCs w:val="22"/>
                <w:lang w:eastAsia="en-AU"/>
              </w:rPr>
              <w:t xml:space="preserve"> and/or genetic testing)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27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Randomization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 </w:t>
            </w:r>
          </w:p>
        </w:tc>
      </w:tr>
      <w:tr w:rsidR="00945B3A" w:rsidRPr="00147E37" w:rsidTr="00075194">
        <w:trPr>
          <w:cantSplit w:val="0"/>
          <w:trHeight w:val="145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b/>
                <w:caps/>
                <w:szCs w:val="22"/>
              </w:rPr>
            </w:pPr>
            <w:r w:rsidRPr="00147E37">
              <w:rPr>
                <w:szCs w:val="22"/>
              </w:rPr>
              <w:t>Phone call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  <w:r w:rsidRPr="00147E37"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  <w:r w:rsidRPr="00147E37">
              <w:rPr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  <w:r w:rsidRPr="00147E37">
              <w:rPr>
                <w:szCs w:val="22"/>
              </w:rPr>
              <w:t>X</w:t>
            </w:r>
          </w:p>
        </w:tc>
      </w:tr>
      <w:tr w:rsidR="00945B3A" w:rsidRPr="00147E37" w:rsidTr="00075194">
        <w:trPr>
          <w:cantSplit w:val="0"/>
          <w:trHeight w:val="197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Study vaccine administration and bleb check/measurement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294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Collection of daily swabs from mucocutaneous genital sites for viral shedding for 45 days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90"/>
        </w:trPr>
        <w:tc>
          <w:tcPr>
            <w:tcW w:w="2362" w:type="dxa"/>
          </w:tcPr>
          <w:p w:rsidR="00945B3A" w:rsidRPr="00BB13F9" w:rsidRDefault="00945B3A" w:rsidP="00075194">
            <w:pPr>
              <w:pStyle w:val="C-TableText"/>
            </w:pPr>
            <w:r w:rsidRPr="00147E37">
              <w:rPr>
                <w:color w:val="000000"/>
                <w:szCs w:val="22"/>
                <w:lang w:eastAsia="en-AU"/>
              </w:rPr>
              <w:t>Take photos of injection site reactions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75"/>
        </w:trPr>
        <w:tc>
          <w:tcPr>
            <w:tcW w:w="2362" w:type="dxa"/>
          </w:tcPr>
          <w:p w:rsidR="00945B3A" w:rsidRPr="00BB13F9" w:rsidRDefault="00945B3A" w:rsidP="00075194">
            <w:pPr>
              <w:pStyle w:val="C-TableText"/>
            </w:pPr>
            <w:r w:rsidRPr="00147E37">
              <w:rPr>
                <w:color w:val="000000"/>
                <w:szCs w:val="22"/>
                <w:lang w:eastAsia="en-AU"/>
              </w:rPr>
              <w:t>Issue and collect Diary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201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Review diary cards for compliance and adverse events.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55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Optional skin biopsy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945B3A" w:rsidRPr="00147E37" w:rsidTr="00075194">
        <w:trPr>
          <w:cantSplit w:val="0"/>
          <w:trHeight w:val="141"/>
        </w:trPr>
        <w:tc>
          <w:tcPr>
            <w:tcW w:w="2362" w:type="dxa"/>
          </w:tcPr>
          <w:p w:rsidR="00945B3A" w:rsidRPr="00BB13F9" w:rsidRDefault="00945B3A" w:rsidP="00075194">
            <w:pPr>
              <w:pStyle w:val="C-TableText"/>
            </w:pPr>
            <w:r w:rsidRPr="00147E37">
              <w:rPr>
                <w:szCs w:val="22"/>
              </w:rPr>
              <w:t>Patient education regarding swab collection, diary completion and outbreak management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  <w:r w:rsidRPr="00147E37">
              <w:rPr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C17DC7" w:rsidRDefault="00945B3A" w:rsidP="00075194">
            <w:pPr>
              <w:pStyle w:val="C-TableText"/>
              <w:jc w:val="center"/>
            </w:pPr>
            <w:r w:rsidRPr="00147E37"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  <w:r w:rsidRPr="00147E37">
              <w:rPr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  <w:r w:rsidRPr="00147E37"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  <w:r w:rsidRPr="00147E37">
              <w:rPr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szCs w:val="22"/>
              </w:rPr>
            </w:pPr>
          </w:p>
        </w:tc>
      </w:tr>
      <w:tr w:rsidR="00945B3A" w:rsidRPr="00147E37" w:rsidTr="00075194">
        <w:trPr>
          <w:cantSplit w:val="0"/>
          <w:trHeight w:val="264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Adverse Event and Outbreak assessment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</w:tr>
      <w:tr w:rsidR="00945B3A" w:rsidRPr="00147E37" w:rsidTr="00075194">
        <w:trPr>
          <w:cantSplit w:val="0"/>
          <w:trHeight w:val="281"/>
        </w:trPr>
        <w:tc>
          <w:tcPr>
            <w:tcW w:w="2362" w:type="dxa"/>
          </w:tcPr>
          <w:p w:rsidR="00945B3A" w:rsidRPr="00147E37" w:rsidRDefault="00945B3A" w:rsidP="00075194">
            <w:pPr>
              <w:pStyle w:val="C-TableText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Concurrent Medications</w:t>
            </w:r>
          </w:p>
        </w:tc>
        <w:tc>
          <w:tcPr>
            <w:tcW w:w="964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77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8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709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1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  <w:tc>
          <w:tcPr>
            <w:tcW w:w="850" w:type="dxa"/>
            <w:vAlign w:val="center"/>
          </w:tcPr>
          <w:p w:rsidR="00945B3A" w:rsidRPr="00147E37" w:rsidRDefault="00945B3A" w:rsidP="00075194">
            <w:pPr>
              <w:pStyle w:val="C-TableText"/>
              <w:jc w:val="center"/>
              <w:rPr>
                <w:color w:val="000000"/>
                <w:szCs w:val="22"/>
                <w:lang w:eastAsia="en-AU"/>
              </w:rPr>
            </w:pPr>
            <w:r w:rsidRPr="00147E37">
              <w:rPr>
                <w:color w:val="000000"/>
                <w:szCs w:val="22"/>
                <w:lang w:eastAsia="en-AU"/>
              </w:rPr>
              <w:t>X</w:t>
            </w:r>
          </w:p>
        </w:tc>
      </w:tr>
    </w:tbl>
    <w:tbl>
      <w:tblPr>
        <w:tblStyle w:val="C-Table"/>
        <w:tblpPr w:leftFromText="180" w:rightFromText="180" w:vertAnchor="text" w:horzAnchor="margin" w:tblpY="-1280"/>
        <w:tblW w:w="13600" w:type="dxa"/>
        <w:tblLayout w:type="fixed"/>
        <w:tblLook w:val="04A0" w:firstRow="1" w:lastRow="0" w:firstColumn="1" w:lastColumn="0" w:noHBand="0" w:noVBand="1"/>
      </w:tblPr>
      <w:tblGrid>
        <w:gridCol w:w="4670"/>
        <w:gridCol w:w="1276"/>
        <w:gridCol w:w="992"/>
        <w:gridCol w:w="992"/>
        <w:gridCol w:w="993"/>
        <w:gridCol w:w="992"/>
        <w:gridCol w:w="1134"/>
        <w:gridCol w:w="1134"/>
        <w:gridCol w:w="1417"/>
      </w:tblGrid>
      <w:tr w:rsidR="00945B3A" w:rsidRPr="004003C2" w:rsidTr="00075194">
        <w:trPr>
          <w:cantSplit w:val="0"/>
          <w:trHeight w:val="57"/>
          <w:tblHeader/>
        </w:trPr>
        <w:tc>
          <w:tcPr>
            <w:tcW w:w="4670" w:type="dxa"/>
            <w:vMerge w:val="restart"/>
          </w:tcPr>
          <w:p w:rsidR="00945B3A" w:rsidRPr="004003C2" w:rsidRDefault="00945B3A" w:rsidP="00075194">
            <w:pPr>
              <w:pStyle w:val="C-TableHead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lastRenderedPageBreak/>
              <w:t>Assessments</w:t>
            </w:r>
          </w:p>
        </w:tc>
        <w:tc>
          <w:tcPr>
            <w:tcW w:w="5245" w:type="dxa"/>
            <w:gridSpan w:val="5"/>
          </w:tcPr>
          <w:p w:rsidR="00945B3A" w:rsidRPr="004003C2" w:rsidRDefault="00945B3A" w:rsidP="00075194">
            <w:pPr>
              <w:pStyle w:val="C-TableHeader"/>
              <w:jc w:val="center"/>
            </w:pPr>
            <w:r w:rsidRPr="004003C2">
              <w:rPr>
                <w:color w:val="000000"/>
                <w:lang w:eastAsia="en-AU"/>
              </w:rPr>
              <w:t>Study Period 2</w:t>
            </w:r>
          </w:p>
        </w:tc>
        <w:tc>
          <w:tcPr>
            <w:tcW w:w="3685" w:type="dxa"/>
            <w:gridSpan w:val="3"/>
          </w:tcPr>
          <w:p w:rsidR="00945B3A" w:rsidRPr="004003C2" w:rsidRDefault="00945B3A" w:rsidP="00075194">
            <w:pPr>
              <w:pStyle w:val="C-TableHeader"/>
              <w:jc w:val="center"/>
            </w:pPr>
            <w:r w:rsidRPr="004003C2">
              <w:rPr>
                <w:color w:val="000000"/>
                <w:lang w:eastAsia="en-AU"/>
              </w:rPr>
              <w:t>Follow up</w:t>
            </w:r>
          </w:p>
        </w:tc>
      </w:tr>
      <w:tr w:rsidR="00945B3A" w:rsidRPr="004003C2" w:rsidTr="00075194">
        <w:trPr>
          <w:cantSplit w:val="0"/>
          <w:trHeight w:val="240"/>
          <w:tblHeader/>
        </w:trPr>
        <w:tc>
          <w:tcPr>
            <w:tcW w:w="4670" w:type="dxa"/>
            <w:vMerge/>
          </w:tcPr>
          <w:p w:rsidR="00945B3A" w:rsidRPr="004003C2" w:rsidRDefault="00945B3A" w:rsidP="00075194">
            <w:pPr>
              <w:rPr>
                <w:rFonts w:ascii="Arial" w:hAnsi="Arial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15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16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17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18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19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20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21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Visit 22</w:t>
            </w:r>
          </w:p>
        </w:tc>
      </w:tr>
      <w:tr w:rsidR="00945B3A" w:rsidRPr="004003C2" w:rsidTr="00075194">
        <w:trPr>
          <w:cantSplit w:val="0"/>
          <w:trHeight w:val="450"/>
          <w:tblHeader/>
        </w:trPr>
        <w:tc>
          <w:tcPr>
            <w:tcW w:w="4670" w:type="dxa"/>
            <w:vMerge/>
          </w:tcPr>
          <w:p w:rsidR="00945B3A" w:rsidRPr="004003C2" w:rsidRDefault="00945B3A" w:rsidP="00075194">
            <w:pPr>
              <w:rPr>
                <w:rFonts w:ascii="Arial" w:hAnsi="Arial"/>
                <w:color w:val="000000"/>
                <w:lang w:eastAsia="en-AU"/>
              </w:rPr>
            </w:pP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W23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W24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W25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W28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W31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W36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W42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Header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End of Study/ W48</w:t>
            </w:r>
          </w:p>
        </w:tc>
      </w:tr>
      <w:tr w:rsidR="00945B3A" w:rsidRPr="004003C2" w:rsidTr="00075194">
        <w:trPr>
          <w:cantSplit w:val="0"/>
          <w:trHeight w:val="193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Informed consent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</w:tr>
      <w:tr w:rsidR="00945B3A" w:rsidRPr="004003C2" w:rsidTr="00075194">
        <w:trPr>
          <w:cantSplit w:val="0"/>
          <w:trHeight w:val="251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Review inclusion/exclusion criteria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</w:tr>
      <w:tr w:rsidR="00945B3A" w:rsidRPr="004003C2" w:rsidTr="00075194">
        <w:trPr>
          <w:cantSplit w:val="0"/>
          <w:trHeight w:val="128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Demographics, Medical/Surgical History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</w:tr>
      <w:tr w:rsidR="00945B3A" w:rsidRPr="004003C2" w:rsidTr="00075194">
        <w:trPr>
          <w:cantSplit w:val="0"/>
          <w:trHeight w:val="215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Physical Examination (symptom directed)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(X)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(X)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(X)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(X)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(X)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(X)</w:t>
            </w:r>
          </w:p>
        </w:tc>
      </w:tr>
      <w:tr w:rsidR="00945B3A" w:rsidRPr="004003C2" w:rsidTr="00075194">
        <w:trPr>
          <w:cantSplit w:val="0"/>
          <w:trHeight w:val="133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rPr>
                <w:color w:val="000000"/>
                <w:lang w:eastAsia="en-AU"/>
              </w:rPr>
              <w:t>Vital signs/Body Weight/Height</w:t>
            </w:r>
            <w:r w:rsidRPr="004003C2">
              <w:t xml:space="preserve"> 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240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Electrocardiogram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</w:tr>
      <w:tr w:rsidR="00945B3A" w:rsidRPr="004003C2" w:rsidTr="00075194">
        <w:trPr>
          <w:cantSplit w:val="0"/>
          <w:trHeight w:val="169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rPr>
                <w:color w:val="000000"/>
                <w:lang w:eastAsia="en-AU"/>
              </w:rPr>
              <w:t>Urine Pregnancy Test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202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 xml:space="preserve">Hematology 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91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Chemistry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124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Coagulation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</w:tr>
      <w:tr w:rsidR="00945B3A" w:rsidRPr="004003C2" w:rsidTr="00075194">
        <w:trPr>
          <w:cantSplit w:val="0"/>
          <w:trHeight w:val="240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Urinalysis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112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Viral Serology (HIV, Hepatitis B and C, HSV-1 and 2)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</w:tr>
      <w:tr w:rsidR="00945B3A" w:rsidRPr="004003C2" w:rsidTr="00075194">
        <w:trPr>
          <w:cantSplit w:val="0"/>
          <w:trHeight w:val="112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Competitive Inhibition ELISA (antibody)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240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ELIspot (T cell)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240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rPr>
                <w:color w:val="000000"/>
                <w:lang w:eastAsia="en-AU"/>
              </w:rPr>
              <w:t>Exploratory Immune assays (T cell and/or genetic testing)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113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Randomization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</w:tr>
      <w:tr w:rsidR="00945B3A" w:rsidRPr="004003C2" w:rsidTr="00075194">
        <w:trPr>
          <w:cantSplit w:val="0"/>
          <w:trHeight w:val="89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>Phone call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</w:pPr>
            <w:r w:rsidRPr="004003C2">
              <w:t>X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</w:pPr>
            <w:r w:rsidRPr="004003C2">
              <w:t>X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</w:tr>
      <w:tr w:rsidR="00945B3A" w:rsidRPr="004003C2" w:rsidTr="00075194">
        <w:trPr>
          <w:cantSplit w:val="0"/>
          <w:trHeight w:val="125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Study vaccine administration and bleb check/measurement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</w:tr>
      <w:tr w:rsidR="00945B3A" w:rsidRPr="004003C2" w:rsidTr="00075194">
        <w:trPr>
          <w:cantSplit w:val="0"/>
          <w:trHeight w:val="369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Collection of daily swabs from mucocutaneous genital sites for viral shedding for 45 days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</w:tr>
      <w:tr w:rsidR="00945B3A" w:rsidRPr="004003C2" w:rsidTr="00075194">
        <w:trPr>
          <w:cantSplit w:val="0"/>
          <w:trHeight w:val="240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rPr>
                <w:color w:val="000000"/>
                <w:lang w:eastAsia="en-AU"/>
              </w:rPr>
              <w:t>Take photos of injection site (s)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</w:tr>
      <w:tr w:rsidR="00945B3A" w:rsidRPr="004003C2" w:rsidTr="00075194">
        <w:trPr>
          <w:cantSplit w:val="0"/>
          <w:trHeight w:val="105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rPr>
                <w:color w:val="000000"/>
                <w:lang w:eastAsia="en-AU"/>
              </w:rPr>
              <w:t>Issue and collect Diary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</w:tr>
      <w:tr w:rsidR="00945B3A" w:rsidRPr="004003C2" w:rsidTr="00075194">
        <w:trPr>
          <w:cantSplit w:val="0"/>
          <w:trHeight w:val="122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Review diary cards for compliance and adverse events.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 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</w:tr>
      <w:tr w:rsidR="00945B3A" w:rsidRPr="004003C2" w:rsidTr="00075194">
        <w:trPr>
          <w:cantSplit w:val="0"/>
          <w:trHeight w:val="153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lastRenderedPageBreak/>
              <w:t>Skin biopsy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</w:p>
        </w:tc>
      </w:tr>
      <w:tr w:rsidR="00945B3A" w:rsidRPr="004003C2" w:rsidTr="00075194">
        <w:trPr>
          <w:cantSplit w:val="0"/>
          <w:trHeight w:val="383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>Patient education regarding swab collection, diary completion and outbreak management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</w:pPr>
            <w:r w:rsidRPr="004003C2"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</w:pPr>
            <w:r w:rsidRPr="004003C2"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</w:pPr>
            <w:r w:rsidRPr="004003C2">
              <w:t xml:space="preserve"> </w:t>
            </w:r>
          </w:p>
        </w:tc>
      </w:tr>
      <w:tr w:rsidR="00945B3A" w:rsidRPr="004003C2" w:rsidTr="00075194">
        <w:trPr>
          <w:cantSplit w:val="0"/>
          <w:trHeight w:val="240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Adverse Event and Outbreak assessment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  <w:tr w:rsidR="00945B3A" w:rsidRPr="004003C2" w:rsidTr="00075194">
        <w:trPr>
          <w:cantSplit w:val="0"/>
          <w:trHeight w:val="255"/>
        </w:trPr>
        <w:tc>
          <w:tcPr>
            <w:tcW w:w="4670" w:type="dxa"/>
          </w:tcPr>
          <w:p w:rsidR="00945B3A" w:rsidRPr="004003C2" w:rsidRDefault="00945B3A" w:rsidP="00075194">
            <w:pPr>
              <w:pStyle w:val="C-TableText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Concurrent Medications</w:t>
            </w:r>
          </w:p>
        </w:tc>
        <w:tc>
          <w:tcPr>
            <w:tcW w:w="1276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3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992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134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  <w:tc>
          <w:tcPr>
            <w:tcW w:w="1417" w:type="dxa"/>
          </w:tcPr>
          <w:p w:rsidR="00945B3A" w:rsidRPr="004003C2" w:rsidRDefault="00945B3A" w:rsidP="00075194">
            <w:pPr>
              <w:pStyle w:val="C-TableText"/>
              <w:jc w:val="center"/>
              <w:rPr>
                <w:color w:val="000000"/>
                <w:lang w:eastAsia="en-AU"/>
              </w:rPr>
            </w:pPr>
            <w:r w:rsidRPr="004003C2">
              <w:rPr>
                <w:color w:val="000000"/>
                <w:lang w:eastAsia="en-AU"/>
              </w:rPr>
              <w:t>X</w:t>
            </w:r>
          </w:p>
        </w:tc>
      </w:tr>
    </w:tbl>
    <w:p w:rsidR="00945B3A" w:rsidRDefault="00945B3A" w:rsidP="00945B3A">
      <w:pPr>
        <w:sectPr w:rsidR="00945B3A" w:rsidSect="00832C7A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C48E2" w:rsidRDefault="00945B3A"/>
    <w:sectPr w:rsidR="002C48E2" w:rsidSect="00945B3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3A"/>
    <w:rsid w:val="00150AD3"/>
    <w:rsid w:val="00401F31"/>
    <w:rsid w:val="009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D8E8"/>
  <w15:chartTrackingRefBased/>
  <w15:docId w15:val="{FA4F0C73-26CE-4D26-A5AF-5CF89494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TableHeader">
    <w:name w:val="C-Table Header"/>
    <w:next w:val="C-TableText"/>
    <w:rsid w:val="00945B3A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-TableText">
    <w:name w:val="C-Table Text"/>
    <w:link w:val="C-TableTextChar"/>
    <w:rsid w:val="00945B3A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-TableCallout">
    <w:name w:val="C-Table Callout"/>
    <w:rsid w:val="00945B3A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table" w:customStyle="1" w:styleId="C-Table">
    <w:name w:val="C-Table"/>
    <w:basedOn w:val="TableNormal"/>
    <w:rsid w:val="00945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TextChar">
    <w:name w:val="C-Table Text Char"/>
    <w:link w:val="C-TableText"/>
    <w:rsid w:val="00945B3A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 Chandra</dc:creator>
  <cp:keywords/>
  <dc:description/>
  <cp:lastModifiedBy>Janin Chandra</cp:lastModifiedBy>
  <cp:revision>1</cp:revision>
  <dcterms:created xsi:type="dcterms:W3CDTF">2019-12-01T23:06:00Z</dcterms:created>
  <dcterms:modified xsi:type="dcterms:W3CDTF">2019-12-01T23:09:00Z</dcterms:modified>
</cp:coreProperties>
</file>