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8C" w:rsidRDefault="00DC5331" w:rsidP="001F008C">
      <w:pPr>
        <w:pStyle w:val="FigureTableNote"/>
      </w:pPr>
      <w:r>
        <w:rPr>
          <w:b/>
          <w:sz w:val="24"/>
          <w:szCs w:val="24"/>
        </w:rPr>
        <w:t xml:space="preserve">S1 </w:t>
      </w:r>
      <w:r w:rsidR="001F008C" w:rsidRPr="00103404">
        <w:rPr>
          <w:b/>
          <w:sz w:val="24"/>
          <w:szCs w:val="24"/>
        </w:rPr>
        <w:t>Table</w:t>
      </w:r>
      <w:bookmarkStart w:id="0" w:name="_GoBack"/>
      <w:bookmarkEnd w:id="0"/>
      <w:r w:rsidR="00AE0935">
        <w:rPr>
          <w:b/>
          <w:sz w:val="24"/>
          <w:szCs w:val="24"/>
        </w:rPr>
        <w:t>:</w:t>
      </w:r>
      <w:r w:rsidR="001F008C" w:rsidRPr="00103404">
        <w:rPr>
          <w:b/>
          <w:sz w:val="24"/>
          <w:szCs w:val="24"/>
        </w:rPr>
        <w:t xml:space="preserve"> Intervention impact on knowledge, self-efficacy and attitudes outcomes analyzed using ordinal regression.</w:t>
      </w:r>
      <w:r w:rsidR="001F008C" w:rsidRPr="005A221B">
        <w:rPr>
          <w:sz w:val="24"/>
          <w:szCs w:val="24"/>
          <w:vertAlign w:val="superscript"/>
        </w:rPr>
        <w:t xml:space="preserve"> </w:t>
      </w:r>
      <w:r w:rsidR="001F008C">
        <w:rPr>
          <w:sz w:val="24"/>
          <w:szCs w:val="24"/>
          <w:vertAlign w:val="superscript"/>
        </w:rPr>
        <w:t xml:space="preserve"> </w:t>
      </w:r>
      <w:r w:rsidR="001F008C">
        <w:t>All outcomes were categorized into four categories depending on their quartiles. O</w:t>
      </w:r>
      <w:r w:rsidR="001F008C" w:rsidRPr="00DE6AF6">
        <w:t>rdinal logistic regression</w:t>
      </w:r>
      <w:r w:rsidR="001F008C">
        <w:t>s</w:t>
      </w:r>
      <w:r w:rsidR="001F008C" w:rsidRPr="00DE6AF6">
        <w:t xml:space="preserve"> with standard errors allowing for intragroup correlation and adjusted for </w:t>
      </w:r>
      <w:r w:rsidR="001F008C" w:rsidRPr="00093DCE">
        <w:rPr>
          <w:i/>
        </w:rPr>
        <w:t>a priori</w:t>
      </w:r>
      <w:r w:rsidR="001F008C" w:rsidRPr="00DE6AF6">
        <w:t xml:space="preserve"> confounders (age, strata, marital status, </w:t>
      </w:r>
      <w:r w:rsidR="001F008C">
        <w:t>and</w:t>
      </w:r>
      <w:r w:rsidR="001F008C" w:rsidRPr="00DE6AF6">
        <w:t xml:space="preserve"> education)</w:t>
      </w:r>
      <w:r w:rsidR="001F008C">
        <w:t xml:space="preserve"> were fitted on all outcomes (with reference to lower quartiles) among males or females, except for modelling knowledge on HSV, STD and pregnancy prevention (indicated using 1) among females, which were modelled using multinomial logistic regression with the first quartile as reference. The 25</w:t>
      </w:r>
      <w:r w:rsidR="001F008C" w:rsidRPr="00103404">
        <w:rPr>
          <w:vertAlign w:val="superscript"/>
        </w:rPr>
        <w:t>th</w:t>
      </w:r>
      <w:r w:rsidR="001F008C">
        <w:t>, 50</w:t>
      </w:r>
      <w:r w:rsidR="001F008C" w:rsidRPr="00103404">
        <w:rPr>
          <w:vertAlign w:val="superscript"/>
        </w:rPr>
        <w:t>th</w:t>
      </w:r>
      <w:r w:rsidR="001F008C">
        <w:t>, 75</w:t>
      </w:r>
      <w:r w:rsidR="001F008C" w:rsidRPr="00103404">
        <w:rPr>
          <w:vertAlign w:val="superscript"/>
        </w:rPr>
        <w:t>th</w:t>
      </w:r>
      <w:r w:rsidR="001F008C">
        <w:t xml:space="preserve"> and 100</w:t>
      </w:r>
      <w:r w:rsidR="001F008C" w:rsidRPr="00103404">
        <w:rPr>
          <w:vertAlign w:val="superscript"/>
        </w:rPr>
        <w:t>th</w:t>
      </w:r>
      <w:r w:rsidR="001F008C">
        <w:t xml:space="preserve"> quartiles for answering seven questions on knowledge of HIV, STD and pregnancy prevention were</w:t>
      </w:r>
      <w:r w:rsidR="001F008C" w:rsidRPr="00DE6AF6">
        <w:rPr>
          <w:vertAlign w:val="superscript"/>
        </w:rPr>
        <w:t xml:space="preserve"> </w:t>
      </w:r>
      <w:r w:rsidR="001F008C" w:rsidRPr="00DE6AF6">
        <w:t>2, 4, 6</w:t>
      </w:r>
      <w:r w:rsidR="001F008C">
        <w:t>,</w:t>
      </w:r>
      <w:r w:rsidR="001F008C" w:rsidRPr="00DE6AF6">
        <w:t xml:space="preserve"> 7 </w:t>
      </w:r>
      <w:r w:rsidR="001F008C">
        <w:t>for males and 2, 4, 5, 7 for females. The 25</w:t>
      </w:r>
      <w:r w:rsidR="001F008C" w:rsidRPr="002A2B43">
        <w:rPr>
          <w:vertAlign w:val="superscript"/>
        </w:rPr>
        <w:t>th</w:t>
      </w:r>
      <w:r w:rsidR="001F008C">
        <w:t>, 50</w:t>
      </w:r>
      <w:r w:rsidR="001F008C" w:rsidRPr="002A2B43">
        <w:rPr>
          <w:vertAlign w:val="superscript"/>
        </w:rPr>
        <w:t>th</w:t>
      </w:r>
      <w:r w:rsidR="001F008C">
        <w:t>, 75</w:t>
      </w:r>
      <w:r w:rsidR="001F008C" w:rsidRPr="002A2B43">
        <w:rPr>
          <w:vertAlign w:val="superscript"/>
        </w:rPr>
        <w:t>th</w:t>
      </w:r>
      <w:r w:rsidR="001F008C">
        <w:t xml:space="preserve"> and 100</w:t>
      </w:r>
      <w:r w:rsidR="001F008C" w:rsidRPr="002A2B43">
        <w:rPr>
          <w:vertAlign w:val="superscript"/>
        </w:rPr>
        <w:t>th</w:t>
      </w:r>
      <w:r w:rsidR="001F008C">
        <w:t xml:space="preserve"> quartiles for answering eight questions on self-efficacy regarding condom use, sex refuse and testing were</w:t>
      </w:r>
      <w:r w:rsidR="001F008C" w:rsidRPr="00DE6AF6">
        <w:rPr>
          <w:vertAlign w:val="superscript"/>
        </w:rPr>
        <w:t xml:space="preserve"> </w:t>
      </w:r>
      <w:r w:rsidR="001F008C">
        <w:t>5</w:t>
      </w:r>
      <w:r w:rsidR="001F008C" w:rsidRPr="00DE6AF6">
        <w:t>, 6</w:t>
      </w:r>
      <w:r w:rsidR="001F008C">
        <w:t>,</w:t>
      </w:r>
      <w:r w:rsidR="001F008C" w:rsidRPr="00DE6AF6">
        <w:t xml:space="preserve"> 7</w:t>
      </w:r>
      <w:r w:rsidR="001F008C">
        <w:t xml:space="preserve">, </w:t>
      </w:r>
      <w:proofErr w:type="gramStart"/>
      <w:r w:rsidR="001F008C">
        <w:t>8</w:t>
      </w:r>
      <w:proofErr w:type="gramEnd"/>
      <w:r w:rsidR="001F008C" w:rsidRPr="00DE6AF6">
        <w:t xml:space="preserve"> </w:t>
      </w:r>
      <w:r w:rsidR="001F008C">
        <w:t xml:space="preserve">for both males and females. </w:t>
      </w:r>
    </w:p>
    <w:p w:rsidR="001F008C" w:rsidRDefault="001F008C" w:rsidP="001F008C">
      <w:pPr>
        <w:pStyle w:val="FigureTableNote"/>
      </w:pPr>
      <w:r>
        <w:t>The 25</w:t>
      </w:r>
      <w:r w:rsidRPr="002A2B43">
        <w:rPr>
          <w:vertAlign w:val="superscript"/>
        </w:rPr>
        <w:t>th</w:t>
      </w:r>
      <w:r>
        <w:t>, 50</w:t>
      </w:r>
      <w:r w:rsidRPr="002A2B43">
        <w:rPr>
          <w:vertAlign w:val="superscript"/>
        </w:rPr>
        <w:t>th</w:t>
      </w:r>
      <w:r>
        <w:t>, 75</w:t>
      </w:r>
      <w:r w:rsidRPr="002A2B43">
        <w:rPr>
          <w:vertAlign w:val="superscript"/>
        </w:rPr>
        <w:t>th</w:t>
      </w:r>
      <w:r>
        <w:t xml:space="preserve"> and 100</w:t>
      </w:r>
      <w:r w:rsidRPr="002A2B43">
        <w:rPr>
          <w:vertAlign w:val="superscript"/>
        </w:rPr>
        <w:t>th</w:t>
      </w:r>
      <w:r>
        <w:t xml:space="preserve"> quartiles for answering ten questions on attitudes toward control over sex were</w:t>
      </w:r>
      <w:r w:rsidRPr="00DE6AF6">
        <w:rPr>
          <w:vertAlign w:val="superscript"/>
        </w:rPr>
        <w:t xml:space="preserve"> </w:t>
      </w:r>
      <w:r>
        <w:t xml:space="preserve">5, 7, 8, </w:t>
      </w:r>
      <w:proofErr w:type="gramStart"/>
      <w:r>
        <w:t>10</w:t>
      </w:r>
      <w:proofErr w:type="gramEnd"/>
      <w:r w:rsidRPr="00DE6AF6">
        <w:t xml:space="preserve"> </w:t>
      </w:r>
      <w:r>
        <w:t>for males and for females. The 25</w:t>
      </w:r>
      <w:r w:rsidRPr="002A2B43">
        <w:rPr>
          <w:vertAlign w:val="superscript"/>
        </w:rPr>
        <w:t>th</w:t>
      </w:r>
      <w:r>
        <w:t>, 50</w:t>
      </w:r>
      <w:r w:rsidRPr="002A2B43">
        <w:rPr>
          <w:vertAlign w:val="superscript"/>
        </w:rPr>
        <w:t>th</w:t>
      </w:r>
      <w:r>
        <w:t>, 75</w:t>
      </w:r>
      <w:r w:rsidRPr="002A2B43">
        <w:rPr>
          <w:vertAlign w:val="superscript"/>
        </w:rPr>
        <w:t>th</w:t>
      </w:r>
      <w:r>
        <w:t xml:space="preserve"> and 100</w:t>
      </w:r>
      <w:r w:rsidRPr="002A2B43">
        <w:rPr>
          <w:vertAlign w:val="superscript"/>
        </w:rPr>
        <w:t>th</w:t>
      </w:r>
      <w:r>
        <w:t xml:space="preserve"> quartiles for answering eight questions on attitudes toward </w:t>
      </w:r>
      <w:proofErr w:type="spellStart"/>
      <w:r>
        <w:t>Jewkes</w:t>
      </w:r>
      <w:proofErr w:type="spellEnd"/>
      <w:r>
        <w:t xml:space="preserve"> scales were</w:t>
      </w:r>
      <w:r w:rsidRPr="00DE6AF6">
        <w:rPr>
          <w:vertAlign w:val="superscript"/>
        </w:rPr>
        <w:t xml:space="preserve"> </w:t>
      </w:r>
      <w:r>
        <w:t>2, 4, 5,</w:t>
      </w:r>
      <w:r w:rsidRPr="00DE6AF6">
        <w:t xml:space="preserve"> 7 </w:t>
      </w:r>
      <w:r>
        <w:t xml:space="preserve">for males and 2, 3, 4, 7 for females. </w:t>
      </w:r>
    </w:p>
    <w:p w:rsidR="001F008C" w:rsidRPr="00103404" w:rsidRDefault="001F008C" w:rsidP="001F008C">
      <w:pPr>
        <w:pStyle w:val="FigureTableNote"/>
        <w:rPr>
          <w:b/>
          <w:sz w:val="32"/>
          <w:szCs w:val="32"/>
          <w:lang w:val="en"/>
        </w:rPr>
      </w:pPr>
    </w:p>
    <w:tbl>
      <w:tblPr>
        <w:tblW w:w="8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037"/>
        <w:gridCol w:w="2173"/>
        <w:gridCol w:w="1890"/>
      </w:tblGrid>
      <w:tr w:rsidR="001F008C" w:rsidRPr="00F56377" w:rsidTr="00103404">
        <w:trPr>
          <w:trHeight w:val="467"/>
        </w:trPr>
        <w:tc>
          <w:tcPr>
            <w:tcW w:w="4037" w:type="dxa"/>
            <w:shd w:val="clear" w:color="auto" w:fill="auto"/>
            <w:tcMar>
              <w:top w:w="72" w:type="dxa"/>
              <w:left w:w="144" w:type="dxa"/>
              <w:bottom w:w="72" w:type="dxa"/>
              <w:right w:w="144" w:type="dxa"/>
            </w:tcMar>
            <w:hideMark/>
          </w:tcPr>
          <w:p w:rsidR="001F008C" w:rsidRPr="002A09DC" w:rsidRDefault="001F008C" w:rsidP="00103404">
            <w:pPr>
              <w:rPr>
                <w:sz w:val="20"/>
                <w:szCs w:val="20"/>
              </w:rPr>
            </w:pPr>
          </w:p>
        </w:tc>
        <w:tc>
          <w:tcPr>
            <w:tcW w:w="2173" w:type="dxa"/>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b/>
                <w:bCs/>
                <w:sz w:val="20"/>
                <w:szCs w:val="20"/>
              </w:rPr>
              <w:t>Males</w:t>
            </w:r>
          </w:p>
        </w:tc>
        <w:tc>
          <w:tcPr>
            <w:tcW w:w="1890" w:type="dxa"/>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b/>
                <w:bCs/>
                <w:sz w:val="20"/>
                <w:szCs w:val="20"/>
              </w:rPr>
              <w:t>Females</w:t>
            </w:r>
          </w:p>
        </w:tc>
      </w:tr>
      <w:tr w:rsidR="001F008C" w:rsidRPr="00F56377" w:rsidTr="00103404">
        <w:trPr>
          <w:trHeight w:val="395"/>
        </w:trPr>
        <w:tc>
          <w:tcPr>
            <w:tcW w:w="4037" w:type="dxa"/>
            <w:shd w:val="clear" w:color="auto" w:fill="auto"/>
            <w:tcMar>
              <w:top w:w="72" w:type="dxa"/>
              <w:left w:w="144" w:type="dxa"/>
              <w:bottom w:w="72" w:type="dxa"/>
              <w:right w:w="144" w:type="dxa"/>
            </w:tcMar>
            <w:hideMark/>
          </w:tcPr>
          <w:p w:rsidR="001F008C" w:rsidRPr="002A09DC" w:rsidRDefault="001F008C" w:rsidP="00103404">
            <w:pPr>
              <w:rPr>
                <w:sz w:val="20"/>
                <w:szCs w:val="20"/>
              </w:rPr>
            </w:pPr>
          </w:p>
        </w:tc>
        <w:tc>
          <w:tcPr>
            <w:tcW w:w="2173" w:type="dxa"/>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sz w:val="20"/>
                <w:szCs w:val="20"/>
              </w:rPr>
              <w:t>AOR</w:t>
            </w:r>
            <w:r>
              <w:rPr>
                <w:sz w:val="20"/>
                <w:szCs w:val="20"/>
              </w:rPr>
              <w:t xml:space="preserve"> </w:t>
            </w:r>
            <w:r w:rsidRPr="002A09DC">
              <w:rPr>
                <w:sz w:val="20"/>
                <w:szCs w:val="20"/>
              </w:rPr>
              <w:t>[95% CI]</w:t>
            </w:r>
          </w:p>
        </w:tc>
        <w:tc>
          <w:tcPr>
            <w:tcW w:w="1890" w:type="dxa"/>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sz w:val="20"/>
                <w:szCs w:val="20"/>
              </w:rPr>
              <w:t>AOR</w:t>
            </w:r>
            <w:r>
              <w:rPr>
                <w:sz w:val="20"/>
                <w:szCs w:val="20"/>
              </w:rPr>
              <w:t xml:space="preserve"> </w:t>
            </w:r>
            <w:r w:rsidRPr="002A09DC">
              <w:rPr>
                <w:sz w:val="20"/>
                <w:szCs w:val="20"/>
              </w:rPr>
              <w:t>[95% CI]</w:t>
            </w:r>
          </w:p>
        </w:tc>
      </w:tr>
      <w:tr w:rsidR="001F008C" w:rsidRPr="00F56377" w:rsidTr="00103404">
        <w:trPr>
          <w:trHeight w:val="332"/>
        </w:trPr>
        <w:tc>
          <w:tcPr>
            <w:tcW w:w="8100" w:type="dxa"/>
            <w:gridSpan w:val="3"/>
            <w:tcBorders>
              <w:bottom w:val="single" w:sz="4" w:space="0" w:color="auto"/>
            </w:tcBorders>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b/>
                <w:bCs/>
                <w:sz w:val="20"/>
                <w:szCs w:val="20"/>
              </w:rPr>
              <w:t>Knowledge and self-efficacy</w:t>
            </w:r>
          </w:p>
        </w:tc>
      </w:tr>
      <w:tr w:rsidR="001F008C" w:rsidRPr="00F56377" w:rsidTr="00103404">
        <w:trPr>
          <w:trHeight w:val="395"/>
        </w:trPr>
        <w:tc>
          <w:tcPr>
            <w:tcW w:w="4037" w:type="dxa"/>
            <w:tcBorders>
              <w:top w:val="single" w:sz="4" w:space="0" w:color="auto"/>
              <w:left w:val="single" w:sz="4" w:space="0" w:color="auto"/>
            </w:tcBorders>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sz w:val="20"/>
                <w:szCs w:val="20"/>
              </w:rPr>
              <w:t xml:space="preserve">HIV/STD &amp; </w:t>
            </w:r>
            <w:proofErr w:type="spellStart"/>
            <w:r w:rsidRPr="002A09DC">
              <w:rPr>
                <w:sz w:val="20"/>
                <w:szCs w:val="20"/>
              </w:rPr>
              <w:t>Preg</w:t>
            </w:r>
            <w:proofErr w:type="spellEnd"/>
            <w:r w:rsidRPr="002A09DC">
              <w:rPr>
                <w:sz w:val="20"/>
                <w:szCs w:val="20"/>
              </w:rPr>
              <w:t>. Prev. (7 ques.)</w:t>
            </w:r>
            <w:r w:rsidRPr="004543C6">
              <w:rPr>
                <w:rFonts w:eastAsia="Times New Roman"/>
                <w:color w:val="000000"/>
                <w:sz w:val="18"/>
                <w:szCs w:val="18"/>
                <w:vertAlign w:val="superscript"/>
              </w:rPr>
              <w:t xml:space="preserve"> </w:t>
            </w:r>
            <w:r>
              <w:rPr>
                <w:rFonts w:eastAsia="Times New Roman"/>
                <w:color w:val="000000"/>
                <w:sz w:val="18"/>
                <w:szCs w:val="18"/>
                <w:vertAlign w:val="superscript"/>
              </w:rPr>
              <w:t>2</w:t>
            </w:r>
          </w:p>
        </w:tc>
        <w:tc>
          <w:tcPr>
            <w:tcW w:w="2173" w:type="dxa"/>
            <w:tcBorders>
              <w:top w:val="single" w:sz="4" w:space="0" w:color="auto"/>
            </w:tcBorders>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sz w:val="20"/>
                <w:szCs w:val="20"/>
              </w:rPr>
              <w:t>1.49</w:t>
            </w:r>
            <w:r>
              <w:rPr>
                <w:sz w:val="20"/>
                <w:szCs w:val="20"/>
              </w:rPr>
              <w:t xml:space="preserve"> </w:t>
            </w:r>
            <w:r w:rsidRPr="002A09DC">
              <w:rPr>
                <w:sz w:val="20"/>
                <w:szCs w:val="20"/>
              </w:rPr>
              <w:t>[1.26-1.77]</w:t>
            </w:r>
          </w:p>
        </w:tc>
        <w:tc>
          <w:tcPr>
            <w:tcW w:w="1890" w:type="dxa"/>
            <w:tcBorders>
              <w:top w:val="single" w:sz="4" w:space="0" w:color="auto"/>
              <w:right w:val="single" w:sz="4" w:space="0" w:color="auto"/>
            </w:tcBorders>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sz w:val="20"/>
                <w:szCs w:val="20"/>
              </w:rPr>
              <w:t>1.64</w:t>
            </w:r>
            <w:r>
              <w:rPr>
                <w:sz w:val="20"/>
                <w:szCs w:val="20"/>
                <w:vertAlign w:val="superscript"/>
              </w:rPr>
              <w:t xml:space="preserve"> </w:t>
            </w:r>
            <w:r w:rsidRPr="002A09DC">
              <w:rPr>
                <w:sz w:val="20"/>
                <w:szCs w:val="20"/>
              </w:rPr>
              <w:t>[1.30-2.08]</w:t>
            </w:r>
            <w:r>
              <w:rPr>
                <w:sz w:val="20"/>
                <w:szCs w:val="20"/>
                <w:vertAlign w:val="superscript"/>
              </w:rPr>
              <w:t>1</w:t>
            </w:r>
          </w:p>
        </w:tc>
      </w:tr>
      <w:tr w:rsidR="001F008C" w:rsidRPr="00F56377" w:rsidTr="00103404">
        <w:trPr>
          <w:trHeight w:val="278"/>
        </w:trPr>
        <w:tc>
          <w:tcPr>
            <w:tcW w:w="4037" w:type="dxa"/>
            <w:tcBorders>
              <w:left w:val="single" w:sz="4" w:space="0" w:color="auto"/>
              <w:bottom w:val="single" w:sz="4" w:space="0" w:color="auto"/>
            </w:tcBorders>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sz w:val="20"/>
                <w:szCs w:val="20"/>
              </w:rPr>
              <w:t>Condom, sex refuse, testing (8 ques.)</w:t>
            </w:r>
            <w:r w:rsidRPr="004543C6">
              <w:rPr>
                <w:rFonts w:eastAsia="Times New Roman"/>
                <w:color w:val="000000"/>
                <w:sz w:val="18"/>
                <w:szCs w:val="18"/>
                <w:vertAlign w:val="superscript"/>
              </w:rPr>
              <w:t xml:space="preserve"> </w:t>
            </w:r>
            <w:r>
              <w:rPr>
                <w:rFonts w:eastAsia="Times New Roman"/>
                <w:color w:val="000000"/>
                <w:sz w:val="18"/>
                <w:szCs w:val="18"/>
                <w:vertAlign w:val="superscript"/>
              </w:rPr>
              <w:t>3</w:t>
            </w:r>
          </w:p>
        </w:tc>
        <w:tc>
          <w:tcPr>
            <w:tcW w:w="2173" w:type="dxa"/>
            <w:tcBorders>
              <w:bottom w:val="single" w:sz="4" w:space="0" w:color="auto"/>
            </w:tcBorders>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sz w:val="20"/>
                <w:szCs w:val="20"/>
              </w:rPr>
              <w:t>1.06</w:t>
            </w:r>
            <w:r>
              <w:rPr>
                <w:sz w:val="20"/>
                <w:szCs w:val="20"/>
              </w:rPr>
              <w:t xml:space="preserve"> </w:t>
            </w:r>
            <w:r w:rsidRPr="002A09DC">
              <w:rPr>
                <w:sz w:val="20"/>
                <w:szCs w:val="20"/>
              </w:rPr>
              <w:t>[0.89-1.28]</w:t>
            </w:r>
          </w:p>
        </w:tc>
        <w:tc>
          <w:tcPr>
            <w:tcW w:w="1890" w:type="dxa"/>
            <w:tcBorders>
              <w:bottom w:val="single" w:sz="4" w:space="0" w:color="auto"/>
              <w:right w:val="single" w:sz="4" w:space="0" w:color="auto"/>
            </w:tcBorders>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sz w:val="20"/>
                <w:szCs w:val="20"/>
              </w:rPr>
              <w:t>1.29</w:t>
            </w:r>
            <w:r>
              <w:rPr>
                <w:sz w:val="20"/>
                <w:szCs w:val="20"/>
              </w:rPr>
              <w:t xml:space="preserve"> </w:t>
            </w:r>
            <w:r w:rsidRPr="002A09DC">
              <w:rPr>
                <w:sz w:val="20"/>
                <w:szCs w:val="20"/>
              </w:rPr>
              <w:t>[1.08-1.54]</w:t>
            </w:r>
          </w:p>
        </w:tc>
      </w:tr>
      <w:tr w:rsidR="001F008C" w:rsidRPr="00F56377" w:rsidTr="00103404">
        <w:trPr>
          <w:trHeight w:val="431"/>
        </w:trPr>
        <w:tc>
          <w:tcPr>
            <w:tcW w:w="8100" w:type="dxa"/>
            <w:gridSpan w:val="3"/>
            <w:tcBorders>
              <w:top w:val="single" w:sz="4" w:space="0" w:color="auto"/>
            </w:tcBorders>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b/>
                <w:bCs/>
                <w:sz w:val="20"/>
                <w:szCs w:val="20"/>
              </w:rPr>
              <w:t>Attitudes – Control over sex</w:t>
            </w:r>
          </w:p>
        </w:tc>
      </w:tr>
      <w:tr w:rsidR="001F008C" w:rsidRPr="00F56377" w:rsidTr="00103404">
        <w:trPr>
          <w:trHeight w:val="395"/>
        </w:trPr>
        <w:tc>
          <w:tcPr>
            <w:tcW w:w="4037" w:type="dxa"/>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sz w:val="20"/>
                <w:szCs w:val="20"/>
              </w:rPr>
              <w:t>Sexual refuse &amp; safe sex (10 ques.)</w:t>
            </w:r>
            <w:r w:rsidRPr="004543C6">
              <w:rPr>
                <w:rFonts w:eastAsia="Times New Roman"/>
                <w:color w:val="000000"/>
                <w:sz w:val="18"/>
                <w:szCs w:val="18"/>
                <w:vertAlign w:val="superscript"/>
              </w:rPr>
              <w:t xml:space="preserve"> </w:t>
            </w:r>
            <w:r>
              <w:rPr>
                <w:rFonts w:eastAsia="Times New Roman"/>
                <w:color w:val="000000"/>
                <w:sz w:val="18"/>
                <w:szCs w:val="18"/>
                <w:vertAlign w:val="superscript"/>
              </w:rPr>
              <w:t>4</w:t>
            </w:r>
          </w:p>
        </w:tc>
        <w:tc>
          <w:tcPr>
            <w:tcW w:w="2173" w:type="dxa"/>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sz w:val="20"/>
                <w:szCs w:val="20"/>
              </w:rPr>
              <w:t>1.20</w:t>
            </w:r>
            <w:r>
              <w:rPr>
                <w:sz w:val="20"/>
                <w:szCs w:val="20"/>
              </w:rPr>
              <w:t xml:space="preserve"> </w:t>
            </w:r>
            <w:r w:rsidRPr="002A09DC">
              <w:rPr>
                <w:sz w:val="20"/>
                <w:szCs w:val="20"/>
              </w:rPr>
              <w:t>[1.00-1.43]</w:t>
            </w:r>
          </w:p>
        </w:tc>
        <w:tc>
          <w:tcPr>
            <w:tcW w:w="1890" w:type="dxa"/>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sz w:val="20"/>
                <w:szCs w:val="20"/>
              </w:rPr>
              <w:t>1.32</w:t>
            </w:r>
            <w:r>
              <w:rPr>
                <w:sz w:val="20"/>
                <w:szCs w:val="20"/>
              </w:rPr>
              <w:t xml:space="preserve"> </w:t>
            </w:r>
            <w:r w:rsidRPr="002A09DC">
              <w:rPr>
                <w:sz w:val="20"/>
                <w:szCs w:val="20"/>
              </w:rPr>
              <w:t>[1.10-1.58]</w:t>
            </w:r>
          </w:p>
        </w:tc>
      </w:tr>
      <w:tr w:rsidR="001F008C" w:rsidRPr="00F56377" w:rsidTr="00103404">
        <w:trPr>
          <w:trHeight w:val="386"/>
        </w:trPr>
        <w:tc>
          <w:tcPr>
            <w:tcW w:w="8100" w:type="dxa"/>
            <w:gridSpan w:val="3"/>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b/>
                <w:bCs/>
                <w:sz w:val="20"/>
                <w:szCs w:val="20"/>
              </w:rPr>
              <w:t xml:space="preserve">Attitudes – </w:t>
            </w:r>
            <w:proofErr w:type="spellStart"/>
            <w:r w:rsidRPr="002A09DC">
              <w:rPr>
                <w:b/>
                <w:bCs/>
                <w:sz w:val="20"/>
                <w:szCs w:val="20"/>
              </w:rPr>
              <w:t>Jewkes</w:t>
            </w:r>
            <w:proofErr w:type="spellEnd"/>
            <w:r w:rsidRPr="002A09DC">
              <w:rPr>
                <w:b/>
                <w:bCs/>
                <w:sz w:val="20"/>
                <w:szCs w:val="20"/>
              </w:rPr>
              <w:t xml:space="preserve"> scale: Gender empowerment</w:t>
            </w:r>
          </w:p>
        </w:tc>
      </w:tr>
      <w:tr w:rsidR="001F008C" w:rsidRPr="00F56377" w:rsidTr="00103404">
        <w:trPr>
          <w:trHeight w:val="269"/>
        </w:trPr>
        <w:tc>
          <w:tcPr>
            <w:tcW w:w="4037" w:type="dxa"/>
            <w:shd w:val="clear" w:color="auto" w:fill="auto"/>
            <w:tcMar>
              <w:top w:w="72" w:type="dxa"/>
              <w:left w:w="144" w:type="dxa"/>
              <w:bottom w:w="72" w:type="dxa"/>
              <w:right w:w="144" w:type="dxa"/>
            </w:tcMar>
            <w:hideMark/>
          </w:tcPr>
          <w:p w:rsidR="001F008C" w:rsidRPr="002A09DC" w:rsidRDefault="001F008C" w:rsidP="00103404">
            <w:pPr>
              <w:rPr>
                <w:sz w:val="20"/>
                <w:szCs w:val="20"/>
              </w:rPr>
            </w:pPr>
            <w:proofErr w:type="spellStart"/>
            <w:r w:rsidRPr="002A09DC">
              <w:rPr>
                <w:sz w:val="20"/>
                <w:szCs w:val="20"/>
              </w:rPr>
              <w:t>Jewkes</w:t>
            </w:r>
            <w:proofErr w:type="spellEnd"/>
            <w:r w:rsidRPr="002A09DC">
              <w:rPr>
                <w:sz w:val="20"/>
                <w:szCs w:val="20"/>
              </w:rPr>
              <w:t xml:space="preserve"> (8 ques.)</w:t>
            </w:r>
            <w:r w:rsidRPr="004543C6">
              <w:rPr>
                <w:rFonts w:eastAsia="Times New Roman"/>
                <w:color w:val="000000"/>
                <w:sz w:val="18"/>
                <w:szCs w:val="18"/>
                <w:vertAlign w:val="superscript"/>
              </w:rPr>
              <w:t xml:space="preserve"> </w:t>
            </w:r>
            <w:r>
              <w:rPr>
                <w:rFonts w:eastAsia="Times New Roman"/>
                <w:color w:val="000000"/>
                <w:sz w:val="18"/>
                <w:szCs w:val="18"/>
                <w:vertAlign w:val="superscript"/>
              </w:rPr>
              <w:t>5</w:t>
            </w:r>
          </w:p>
        </w:tc>
        <w:tc>
          <w:tcPr>
            <w:tcW w:w="2173" w:type="dxa"/>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sz w:val="20"/>
                <w:szCs w:val="20"/>
              </w:rPr>
              <w:t>1.27</w:t>
            </w:r>
            <w:r>
              <w:rPr>
                <w:sz w:val="20"/>
                <w:szCs w:val="20"/>
              </w:rPr>
              <w:t xml:space="preserve"> </w:t>
            </w:r>
            <w:r w:rsidRPr="002A09DC">
              <w:rPr>
                <w:sz w:val="20"/>
                <w:szCs w:val="20"/>
              </w:rPr>
              <w:t>[1.07-1.51]</w:t>
            </w:r>
          </w:p>
        </w:tc>
        <w:tc>
          <w:tcPr>
            <w:tcW w:w="1890" w:type="dxa"/>
            <w:shd w:val="clear" w:color="auto" w:fill="auto"/>
            <w:tcMar>
              <w:top w:w="72" w:type="dxa"/>
              <w:left w:w="144" w:type="dxa"/>
              <w:bottom w:w="72" w:type="dxa"/>
              <w:right w:w="144" w:type="dxa"/>
            </w:tcMar>
            <w:hideMark/>
          </w:tcPr>
          <w:p w:rsidR="001F008C" w:rsidRPr="002A09DC" w:rsidRDefault="001F008C" w:rsidP="00103404">
            <w:pPr>
              <w:rPr>
                <w:sz w:val="20"/>
                <w:szCs w:val="20"/>
              </w:rPr>
            </w:pPr>
            <w:r w:rsidRPr="002A09DC">
              <w:rPr>
                <w:sz w:val="20"/>
                <w:szCs w:val="20"/>
              </w:rPr>
              <w:t>1.28</w:t>
            </w:r>
            <w:r>
              <w:rPr>
                <w:sz w:val="20"/>
                <w:szCs w:val="20"/>
              </w:rPr>
              <w:t xml:space="preserve"> </w:t>
            </w:r>
            <w:r w:rsidRPr="002A09DC">
              <w:rPr>
                <w:sz w:val="20"/>
                <w:szCs w:val="20"/>
              </w:rPr>
              <w:t>[1.05-1.55]</w:t>
            </w:r>
          </w:p>
        </w:tc>
      </w:tr>
    </w:tbl>
    <w:p w:rsidR="001F008C" w:rsidRDefault="001F008C" w:rsidP="001F008C">
      <w:pPr>
        <w:pStyle w:val="FigureTableNote"/>
      </w:pPr>
    </w:p>
    <w:p w:rsidR="001F008C" w:rsidRPr="00DE6AF6" w:rsidRDefault="001F008C" w:rsidP="001F008C">
      <w:pPr>
        <w:pStyle w:val="FigureTableNote"/>
      </w:pPr>
    </w:p>
    <w:p w:rsidR="001F008C" w:rsidRDefault="001F008C" w:rsidP="001F008C">
      <w:pPr>
        <w:rPr>
          <w:b/>
        </w:rPr>
      </w:pPr>
      <w:bookmarkStart w:id="1" w:name="_Toc484421402"/>
    </w:p>
    <w:p w:rsidR="001F008C" w:rsidRDefault="001F008C" w:rsidP="001F008C">
      <w:pPr>
        <w:rPr>
          <w:b/>
        </w:rPr>
      </w:pPr>
    </w:p>
    <w:p w:rsidR="001F008C" w:rsidRDefault="001F008C" w:rsidP="001F008C">
      <w:pPr>
        <w:rPr>
          <w:b/>
        </w:rPr>
      </w:pPr>
    </w:p>
    <w:p w:rsidR="001F008C" w:rsidRDefault="001F008C" w:rsidP="001F008C">
      <w:pPr>
        <w:rPr>
          <w:b/>
        </w:rPr>
      </w:pPr>
    </w:p>
    <w:bookmarkEnd w:id="1"/>
    <w:p w:rsidR="002634F2" w:rsidRDefault="002634F2"/>
    <w:sectPr w:rsidR="002634F2" w:rsidSect="0029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E3FD4"/>
    <w:multiLevelType w:val="multilevel"/>
    <w:tmpl w:val="79BA6164"/>
    <w:lvl w:ilvl="0">
      <w:start w:val="1"/>
      <w:numFmt w:val="decimal"/>
      <w:pStyle w:val="Heading2"/>
      <w:lvlText w:val="%1."/>
      <w:lvlJc w:val="left"/>
      <w:pPr>
        <w:ind w:left="720" w:hanging="360"/>
      </w:pPr>
      <w:rPr>
        <w:rFonts w:hint="default"/>
      </w:rPr>
    </w:lvl>
    <w:lvl w:ilvl="1">
      <w:start w:val="1"/>
      <w:numFmt w:val="decimal"/>
      <w:pStyle w:val="SubHeading"/>
      <w:isLgl/>
      <w:lvlText w:val="%1.%2"/>
      <w:lvlJc w:val="left"/>
      <w:pPr>
        <w:ind w:left="810" w:hanging="360"/>
      </w:pPr>
      <w:rPr>
        <w:rFonts w:hint="default"/>
        <w:b/>
      </w:rPr>
    </w:lvl>
    <w:lvl w:ilvl="2">
      <w:start w:val="1"/>
      <w:numFmt w:val="decimal"/>
      <w:pStyle w:val="Subheading2"/>
      <w:isLgl/>
      <w:lvlText w:val="%1.%2.%3"/>
      <w:lvlJc w:val="left"/>
      <w:pPr>
        <w:ind w:left="1080" w:hanging="720"/>
      </w:pPr>
      <w:rPr>
        <w:rFonts w:hint="default"/>
        <w:b w:val="0"/>
        <w:i/>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8C"/>
    <w:rsid w:val="000E5684"/>
    <w:rsid w:val="001F008C"/>
    <w:rsid w:val="002634F2"/>
    <w:rsid w:val="009A1504"/>
    <w:rsid w:val="009C2025"/>
    <w:rsid w:val="00AE0935"/>
    <w:rsid w:val="00DC5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C979"/>
  <w15:chartTrackingRefBased/>
  <w15:docId w15:val="{5D234B85-0B07-4672-B1A7-CEC2592D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8C"/>
    <w:rPr>
      <w:rFonts w:ascii="Arial" w:hAnsi="Arial" w:cs="Arial"/>
      <w:sz w:val="24"/>
      <w:szCs w:val="24"/>
    </w:rPr>
  </w:style>
  <w:style w:type="paragraph" w:styleId="Heading2">
    <w:name w:val="heading 2"/>
    <w:basedOn w:val="ListParagraph"/>
    <w:next w:val="Normal"/>
    <w:link w:val="Heading2Char"/>
    <w:uiPriority w:val="9"/>
    <w:unhideWhenUsed/>
    <w:qFormat/>
    <w:rsid w:val="001F008C"/>
    <w:pPr>
      <w:keepNext/>
      <w:keepLines/>
      <w:numPr>
        <w:numId w:val="1"/>
      </w:numPr>
      <w:spacing w:after="200" w:line="276" w:lineRule="auto"/>
      <w:ind w:left="360"/>
      <w:contextualSpacing w:val="0"/>
      <w:outlineLvl w:val="1"/>
    </w:pPr>
    <w:rPr>
      <w:rFonts w:eastAsia="SimSun"/>
      <w:b/>
      <w:sz w:val="28"/>
      <w:szCs w:val="28"/>
    </w:rPr>
  </w:style>
  <w:style w:type="paragraph" w:styleId="Heading3">
    <w:name w:val="heading 3"/>
    <w:aliases w:val="Note"/>
    <w:basedOn w:val="Normal"/>
    <w:next w:val="Normal"/>
    <w:link w:val="Heading3Char"/>
    <w:uiPriority w:val="9"/>
    <w:unhideWhenUsed/>
    <w:qFormat/>
    <w:rsid w:val="001F008C"/>
    <w:pPr>
      <w:keepNext/>
      <w:keepLines/>
      <w:spacing w:before="200" w:after="0" w:line="276" w:lineRule="auto"/>
      <w:outlineLvl w:val="2"/>
    </w:pPr>
    <w:rPr>
      <w:rFonts w:eastAsiaTheme="majorEastAsia" w:cstheme="majorBidi"/>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08C"/>
    <w:rPr>
      <w:rFonts w:ascii="Arial" w:eastAsia="SimSun" w:hAnsi="Arial" w:cs="Arial"/>
      <w:b/>
      <w:sz w:val="28"/>
      <w:szCs w:val="28"/>
    </w:rPr>
  </w:style>
  <w:style w:type="character" w:customStyle="1" w:styleId="Heading3Char">
    <w:name w:val="Heading 3 Char"/>
    <w:aliases w:val="Note Char"/>
    <w:basedOn w:val="DefaultParagraphFont"/>
    <w:link w:val="Heading3"/>
    <w:uiPriority w:val="9"/>
    <w:rsid w:val="001F008C"/>
    <w:rPr>
      <w:rFonts w:ascii="Arial" w:eastAsiaTheme="majorEastAsia" w:hAnsi="Arial" w:cstheme="majorBidi"/>
      <w:bCs/>
      <w:sz w:val="20"/>
    </w:rPr>
  </w:style>
  <w:style w:type="paragraph" w:customStyle="1" w:styleId="FigureTableNote">
    <w:name w:val="Figure/Table Note"/>
    <w:next w:val="Normal"/>
    <w:qFormat/>
    <w:rsid w:val="001F008C"/>
    <w:pPr>
      <w:spacing w:after="200" w:line="276" w:lineRule="auto"/>
      <w:contextualSpacing/>
    </w:pPr>
    <w:rPr>
      <w:rFonts w:ascii="Arial" w:eastAsia="SimSun" w:hAnsi="Arial"/>
      <w:sz w:val="20"/>
    </w:rPr>
  </w:style>
  <w:style w:type="paragraph" w:customStyle="1" w:styleId="SubHeading">
    <w:name w:val="Sub Heading"/>
    <w:basedOn w:val="ListParagraph"/>
    <w:qFormat/>
    <w:rsid w:val="001F008C"/>
    <w:pPr>
      <w:keepNext/>
      <w:keepLines/>
      <w:numPr>
        <w:ilvl w:val="1"/>
        <w:numId w:val="1"/>
      </w:numPr>
      <w:tabs>
        <w:tab w:val="num" w:pos="360"/>
      </w:tabs>
      <w:spacing w:after="200" w:line="276" w:lineRule="auto"/>
      <w:ind w:left="540" w:hanging="540"/>
    </w:pPr>
    <w:rPr>
      <w:rFonts w:eastAsia="SimSun"/>
      <w:b/>
      <w:szCs w:val="22"/>
    </w:rPr>
  </w:style>
  <w:style w:type="paragraph" w:customStyle="1" w:styleId="Subheading2">
    <w:name w:val="Sub heading 2"/>
    <w:basedOn w:val="ListParagraph"/>
    <w:qFormat/>
    <w:rsid w:val="001F008C"/>
    <w:pPr>
      <w:keepNext/>
      <w:numPr>
        <w:ilvl w:val="2"/>
        <w:numId w:val="1"/>
      </w:numPr>
      <w:tabs>
        <w:tab w:val="num" w:pos="360"/>
      </w:tabs>
      <w:autoSpaceDE w:val="0"/>
      <w:autoSpaceDN w:val="0"/>
      <w:adjustRightInd w:val="0"/>
      <w:spacing w:after="0" w:line="276" w:lineRule="auto"/>
      <w:ind w:left="720" w:firstLine="0"/>
    </w:pPr>
    <w:rPr>
      <w:rFonts w:eastAsia="SimSun"/>
      <w:i/>
      <w:sz w:val="22"/>
      <w:szCs w:val="22"/>
    </w:rPr>
  </w:style>
  <w:style w:type="paragraph" w:styleId="ListParagraph">
    <w:name w:val="List Paragraph"/>
    <w:basedOn w:val="Normal"/>
    <w:uiPriority w:val="34"/>
    <w:qFormat/>
    <w:rsid w:val="001F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UNMC CoPH</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Yu</dc:creator>
  <cp:keywords/>
  <dc:description/>
  <cp:lastModifiedBy>Fang Yu</cp:lastModifiedBy>
  <cp:revision>3</cp:revision>
  <dcterms:created xsi:type="dcterms:W3CDTF">2019-12-22T06:54:00Z</dcterms:created>
  <dcterms:modified xsi:type="dcterms:W3CDTF">2019-12-22T06:55:00Z</dcterms:modified>
</cp:coreProperties>
</file>