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93" w:rsidRDefault="00701F93" w:rsidP="00701F9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499"/>
        <w:gridCol w:w="1652"/>
        <w:gridCol w:w="1652"/>
        <w:gridCol w:w="1652"/>
        <w:gridCol w:w="1652"/>
      </w:tblGrid>
      <w:tr w:rsidR="00701F93" w:rsidTr="00F57ABB">
        <w:trPr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701F93" w:rsidRDefault="00701F93" w:rsidP="00F57ABB">
            <w:r>
              <w:t>Trehalose concentration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1F93" w:rsidRDefault="00701F93" w:rsidP="00F57ABB">
            <w:r>
              <w:t>0 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1F93" w:rsidRDefault="00701F93" w:rsidP="00F57ABB">
            <w:r>
              <w:t>0.2 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1F93" w:rsidRDefault="00701F93" w:rsidP="00F57ABB">
            <w:r>
              <w:t>0.5 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1F93" w:rsidRDefault="00701F93" w:rsidP="00F57ABB">
            <w:r>
              <w:t>1.0 M</w:t>
            </w:r>
          </w:p>
        </w:tc>
      </w:tr>
      <w:tr w:rsidR="00701F93" w:rsidTr="00F57AB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701F93" w:rsidRDefault="00701F93" w:rsidP="00F57ABB">
            <w:r>
              <w:t>Water weight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1F93" w:rsidRDefault="00701F93" w:rsidP="00F57ABB">
            <w:r w:rsidRPr="008E171B">
              <w:rPr>
                <w:i/>
              </w:rPr>
              <w:t>W</w:t>
            </w:r>
            <w:r w:rsidRPr="008E171B">
              <w:rPr>
                <w:i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 w:rsidRPr="00BE5F86">
              <w:t>738.9</w:t>
            </w:r>
            <w:r>
              <w:t xml:space="preserve"> </w:t>
            </w:r>
            <w:r w:rsidRPr="00BE5F86">
              <w:t>±</w:t>
            </w:r>
            <w:r>
              <w:t xml:space="preserve"> </w:t>
            </w:r>
            <w:r w:rsidRPr="00BE5F86">
              <w:t>35.8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663.3 </w:t>
            </w:r>
            <w:r>
              <w:rPr>
                <w:rFonts w:cstheme="minorHAnsi"/>
              </w:rPr>
              <w:t>± 29.7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418.4 </w:t>
            </w:r>
            <w:r>
              <w:rPr>
                <w:rFonts w:cstheme="minorHAnsi"/>
              </w:rPr>
              <w:t>± 21.2</w:t>
            </w:r>
          </w:p>
        </w:tc>
        <w:tc>
          <w:tcPr>
            <w:tcW w:w="0" w:type="auto"/>
          </w:tcPr>
          <w:p w:rsidR="00701F93" w:rsidRDefault="00701F93" w:rsidP="00F57ABB">
            <w:r>
              <w:t xml:space="preserve">316.5 </w:t>
            </w:r>
            <w:r>
              <w:rPr>
                <w:rFonts w:cstheme="minorHAnsi"/>
              </w:rPr>
              <w:t>± 16.5</w:t>
            </w:r>
          </w:p>
        </w:tc>
      </w:tr>
      <w:tr w:rsidR="00701F93" w:rsidTr="00F57AB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01F93" w:rsidRDefault="00701F93" w:rsidP="00F57ABB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1F93" w:rsidRDefault="00701F93" w:rsidP="00F57ABB">
            <w:r w:rsidRPr="008E171B">
              <w:rPr>
                <w:i/>
              </w:rPr>
              <w:t>W</w:t>
            </w:r>
            <w:r w:rsidRPr="008E171B">
              <w:rPr>
                <w:i/>
                <w:vertAlign w:val="subscript"/>
              </w:rPr>
              <w:t>e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36.5 </w:t>
            </w:r>
            <w:r>
              <w:rPr>
                <w:rFonts w:cstheme="minorHAnsi"/>
              </w:rPr>
              <w:t>± 21.5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23.8 </w:t>
            </w:r>
            <w:r>
              <w:rPr>
                <w:rFonts w:cstheme="minorHAnsi"/>
              </w:rPr>
              <w:t>± 15.3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29.5 </w:t>
            </w:r>
            <w:r>
              <w:rPr>
                <w:rFonts w:cstheme="minorHAnsi"/>
              </w:rPr>
              <w:t>± 9.8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54.4 </w:t>
            </w:r>
            <w:r>
              <w:rPr>
                <w:rFonts w:cstheme="minorHAnsi"/>
              </w:rPr>
              <w:t>± 6.9</w:t>
            </w:r>
          </w:p>
        </w:tc>
      </w:tr>
      <w:tr w:rsidR="00701F93" w:rsidTr="00F57AB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01F93" w:rsidRDefault="00701F93" w:rsidP="00F57ABB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1F93" w:rsidRDefault="00701F93" w:rsidP="00F57ABB">
            <w:r w:rsidRPr="008E171B">
              <w:rPr>
                <w:i/>
              </w:rPr>
              <w:t>k</w:t>
            </w:r>
          </w:p>
        </w:tc>
        <w:tc>
          <w:tcPr>
            <w:tcW w:w="0" w:type="auto"/>
          </w:tcPr>
          <w:p w:rsidR="00701F93" w:rsidRDefault="00701F93" w:rsidP="00F57ABB">
            <w:r>
              <w:t xml:space="preserve">0.1309 </w:t>
            </w:r>
            <w:r>
              <w:rPr>
                <w:rFonts w:cstheme="minorHAnsi"/>
              </w:rPr>
              <w:t>± 0.0118</w:t>
            </w:r>
          </w:p>
        </w:tc>
        <w:tc>
          <w:tcPr>
            <w:tcW w:w="0" w:type="auto"/>
          </w:tcPr>
          <w:p w:rsidR="00701F93" w:rsidRDefault="00701F93" w:rsidP="00F57ABB">
            <w:r>
              <w:t xml:space="preserve">0.1622 </w:t>
            </w:r>
            <w:r>
              <w:rPr>
                <w:rFonts w:cstheme="minorHAnsi"/>
              </w:rPr>
              <w:t>± 0.0197</w:t>
            </w:r>
          </w:p>
        </w:tc>
        <w:tc>
          <w:tcPr>
            <w:tcW w:w="0" w:type="auto"/>
          </w:tcPr>
          <w:p w:rsidR="00701F93" w:rsidRDefault="00701F93" w:rsidP="00F57ABB">
            <w:r>
              <w:t xml:space="preserve">0.2053 </w:t>
            </w:r>
            <w:r>
              <w:rPr>
                <w:rFonts w:cstheme="minorHAnsi"/>
              </w:rPr>
              <w:t>± 0.03</w:t>
            </w:r>
          </w:p>
        </w:tc>
        <w:tc>
          <w:tcPr>
            <w:tcW w:w="0" w:type="auto"/>
          </w:tcPr>
          <w:p w:rsidR="00701F93" w:rsidRDefault="00701F93" w:rsidP="00F57ABB">
            <w:r>
              <w:t xml:space="preserve">0.2973 </w:t>
            </w:r>
            <w:r>
              <w:rPr>
                <w:rFonts w:cstheme="minorHAnsi"/>
              </w:rPr>
              <w:t>± 0.0582</w:t>
            </w:r>
          </w:p>
        </w:tc>
      </w:tr>
      <w:tr w:rsidR="00701F93" w:rsidTr="00F57AB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01F93" w:rsidRDefault="00701F93" w:rsidP="00F57ABB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1F93" w:rsidRDefault="00701F93" w:rsidP="00F57ABB">
            <w:r w:rsidRPr="008E171B">
              <w:rPr>
                <w:i/>
              </w:rPr>
              <w:t>R</w:t>
            </w:r>
            <w:r w:rsidRPr="008E171B">
              <w:rPr>
                <w:i/>
                <w:vertAlign w:val="superscript"/>
              </w:rPr>
              <w:t>2</w:t>
            </w:r>
          </w:p>
        </w:tc>
        <w:tc>
          <w:tcPr>
            <w:tcW w:w="0" w:type="auto"/>
          </w:tcPr>
          <w:p w:rsidR="00701F93" w:rsidRDefault="00701F93" w:rsidP="00F57ABB">
            <w:r>
              <w:t>0.865</w:t>
            </w:r>
          </w:p>
        </w:tc>
        <w:tc>
          <w:tcPr>
            <w:tcW w:w="0" w:type="auto"/>
          </w:tcPr>
          <w:p w:rsidR="00701F93" w:rsidRDefault="00701F93" w:rsidP="00F57ABB">
            <w:r>
              <w:t>0.887</w:t>
            </w:r>
          </w:p>
        </w:tc>
        <w:tc>
          <w:tcPr>
            <w:tcW w:w="0" w:type="auto"/>
          </w:tcPr>
          <w:p w:rsidR="00701F93" w:rsidRDefault="00701F93" w:rsidP="00F57ABB">
            <w:r>
              <w:t>0.851</w:t>
            </w:r>
          </w:p>
        </w:tc>
        <w:tc>
          <w:tcPr>
            <w:tcW w:w="0" w:type="auto"/>
          </w:tcPr>
          <w:p w:rsidR="00701F93" w:rsidRDefault="00701F93" w:rsidP="00F57ABB">
            <w:r>
              <w:t>0.810</w:t>
            </w:r>
          </w:p>
        </w:tc>
      </w:tr>
      <w:tr w:rsidR="00701F93" w:rsidTr="00F57ABB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701F93" w:rsidRDefault="00701F93" w:rsidP="00F57ABB">
            <w:r>
              <w:t>Water percentage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1F93" w:rsidRDefault="00701F93" w:rsidP="00F57ABB">
            <w:r w:rsidRPr="008E171B">
              <w:rPr>
                <w:i/>
              </w:rPr>
              <w:t>W</w:t>
            </w:r>
            <w:r w:rsidRPr="008E171B">
              <w:rPr>
                <w:i/>
                <w:vertAlign w:val="subscript"/>
              </w:rPr>
              <w:t>0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91.0 </w:t>
            </w:r>
            <w:r>
              <w:rPr>
                <w:rFonts w:cstheme="minorHAnsi"/>
              </w:rPr>
              <w:t>± 3.4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81.7 </w:t>
            </w:r>
            <w:r>
              <w:rPr>
                <w:rFonts w:cstheme="minorHAnsi"/>
              </w:rPr>
              <w:t>± 2.1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71.0 </w:t>
            </w:r>
            <w:r>
              <w:rPr>
                <w:rFonts w:cstheme="minorHAnsi"/>
              </w:rPr>
              <w:t>± 1.9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54.1 </w:t>
            </w:r>
            <w:r>
              <w:rPr>
                <w:rFonts w:cstheme="minorHAnsi"/>
              </w:rPr>
              <w:t>± 2.1</w:t>
            </w:r>
          </w:p>
        </w:tc>
      </w:tr>
      <w:tr w:rsidR="00701F93" w:rsidTr="00F57AB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01F93" w:rsidRDefault="00701F93" w:rsidP="00F57ABB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1F93" w:rsidRDefault="00701F93" w:rsidP="00F57ABB">
            <w:r w:rsidRPr="008E171B">
              <w:rPr>
                <w:i/>
              </w:rPr>
              <w:t>W</w:t>
            </w:r>
            <w:r w:rsidRPr="008E171B">
              <w:rPr>
                <w:i/>
                <w:vertAlign w:val="subscript"/>
              </w:rPr>
              <w:t>e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5.7 </w:t>
            </w:r>
            <w:r>
              <w:rPr>
                <w:rFonts w:cstheme="minorHAnsi"/>
              </w:rPr>
              <w:t>± 2.1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3.9 </w:t>
            </w:r>
            <w:r>
              <w:rPr>
                <w:rFonts w:cstheme="minorHAnsi"/>
              </w:rPr>
              <w:t>± 1.0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5.7 </w:t>
            </w:r>
            <w:r>
              <w:rPr>
                <w:rFonts w:cstheme="minorHAnsi"/>
              </w:rPr>
              <w:t>± 0.8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8.6 </w:t>
            </w:r>
            <w:r>
              <w:rPr>
                <w:rFonts w:cstheme="minorHAnsi"/>
              </w:rPr>
              <w:t>± 0.9</w:t>
            </w:r>
          </w:p>
        </w:tc>
      </w:tr>
      <w:tr w:rsidR="00701F93" w:rsidTr="00F57AB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01F93" w:rsidRDefault="00701F93" w:rsidP="00F57ABB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1F93" w:rsidRDefault="00701F93" w:rsidP="00F57ABB">
            <w:r w:rsidRPr="008E171B">
              <w:rPr>
                <w:i/>
              </w:rPr>
              <w:t>k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0.1279 </w:t>
            </w:r>
            <w:r>
              <w:rPr>
                <w:rFonts w:cstheme="minorHAnsi"/>
              </w:rPr>
              <w:t>± 0.0139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0.1845 </w:t>
            </w:r>
            <w:r>
              <w:rPr>
                <w:rFonts w:cstheme="minorHAnsi"/>
              </w:rPr>
              <w:t>± 0.0131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0.2637 </w:t>
            </w:r>
            <w:r>
              <w:rPr>
                <w:rFonts w:cstheme="minorHAnsi"/>
              </w:rPr>
              <w:t>± 0.7893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 xml:space="preserve">0.27 </w:t>
            </w:r>
            <w:r>
              <w:rPr>
                <w:rFonts w:cstheme="minorHAnsi"/>
              </w:rPr>
              <w:t>± 0.0366</w:t>
            </w:r>
          </w:p>
        </w:tc>
      </w:tr>
      <w:tr w:rsidR="00701F93" w:rsidTr="00F57ABB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01F93" w:rsidRDefault="00701F93" w:rsidP="00F57ABB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1F93" w:rsidRDefault="00701F93" w:rsidP="00F57ABB">
            <w:r w:rsidRPr="008E171B">
              <w:rPr>
                <w:i/>
              </w:rPr>
              <w:t>R</w:t>
            </w:r>
            <w:r w:rsidRPr="008E171B">
              <w:rPr>
                <w:i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>0.91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>0.959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>0.955</w:t>
            </w:r>
          </w:p>
        </w:tc>
        <w:tc>
          <w:tcPr>
            <w:tcW w:w="0" w:type="auto"/>
            <w:vAlign w:val="center"/>
          </w:tcPr>
          <w:p w:rsidR="00701F93" w:rsidRDefault="00701F93" w:rsidP="00F57ABB">
            <w:r>
              <w:t>0.889</w:t>
            </w:r>
          </w:p>
        </w:tc>
      </w:tr>
    </w:tbl>
    <w:p w:rsidR="00701F93" w:rsidRDefault="00701F93" w:rsidP="00701F93"/>
    <w:p w:rsidR="00701F93" w:rsidRDefault="00E945A7" w:rsidP="00CD2C0B">
      <w:r>
        <w:rPr>
          <w:b/>
        </w:rPr>
        <w:t>S1</w:t>
      </w:r>
      <w:r w:rsidR="00701F93">
        <w:rPr>
          <w:b/>
        </w:rPr>
        <w:t xml:space="preserve"> </w:t>
      </w:r>
      <w:r>
        <w:rPr>
          <w:b/>
        </w:rPr>
        <w:t>Table</w:t>
      </w:r>
      <w:r w:rsidR="00701F93" w:rsidRPr="001465A4">
        <w:rPr>
          <w:b/>
        </w:rPr>
        <w:t>.</w:t>
      </w:r>
      <w:r w:rsidR="00701F93">
        <w:t xml:space="preserve"> The value of fitting parameters in Equation (1) and goodness of fitting (R</w:t>
      </w:r>
      <w:r w:rsidR="00701F93" w:rsidRPr="001465A4">
        <w:rPr>
          <w:vertAlign w:val="superscript"/>
        </w:rPr>
        <w:t>2</w:t>
      </w:r>
      <w:r w:rsidR="00701F93">
        <w:t>).</w:t>
      </w:r>
      <w:bookmarkStart w:id="0" w:name="_GoBack"/>
      <w:bookmarkEnd w:id="0"/>
    </w:p>
    <w:sectPr w:rsidR="0070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93"/>
    <w:rsid w:val="00033265"/>
    <w:rsid w:val="000C5346"/>
    <w:rsid w:val="004D724C"/>
    <w:rsid w:val="00701F93"/>
    <w:rsid w:val="00CD2C0B"/>
    <w:rsid w:val="00D705A1"/>
    <w:rsid w:val="00E945A7"/>
    <w:rsid w:val="00F1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EC89"/>
  <w15:chartTrackingRefBased/>
  <w15:docId w15:val="{D9166629-292E-4211-8118-C2E42139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1F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Pei-Chih</dc:creator>
  <cp:keywords/>
  <dc:description/>
  <cp:lastModifiedBy>Lee, Pei-Chih</cp:lastModifiedBy>
  <cp:revision>3</cp:revision>
  <dcterms:created xsi:type="dcterms:W3CDTF">2019-07-15T15:34:00Z</dcterms:created>
  <dcterms:modified xsi:type="dcterms:W3CDTF">2019-07-15T15:34:00Z</dcterms:modified>
</cp:coreProperties>
</file>