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</w:t>
      </w:r>
      <w:r>
        <w:rPr>
          <w:rFonts w:hint="eastAsia" w:ascii="Times New Roman" w:hAnsi="Times New Roman" w:cs="Times New Roman"/>
          <w:b/>
          <w:bCs/>
          <w:sz w:val="24"/>
          <w:lang w:val="en-US" w:eastAsia="zh-CN"/>
        </w:rPr>
        <w:t>3.</w:t>
      </w:r>
      <w:r>
        <w:rPr>
          <w:rFonts w:ascii="Times New Roman" w:hAnsi="Times New Roman" w:cs="Times New Roman"/>
          <w:b/>
          <w:bCs/>
          <w:sz w:val="24"/>
        </w:rPr>
        <w:t>Table Subgroup analysis of major cardiovascular risk factors Triglyceride</w:t>
      </w:r>
    </w:p>
    <w:p>
      <w:pPr>
        <w:jc w:val="left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</w:p>
    <w:tbl>
      <w:tblPr>
        <w:tblStyle w:val="2"/>
        <w:tblW w:w="88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8"/>
        <w:gridCol w:w="1453"/>
        <w:gridCol w:w="2437"/>
        <w:gridCol w:w="2061"/>
        <w:gridCol w:w="17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6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subgroup</w:t>
            </w:r>
          </w:p>
        </w:tc>
        <w:tc>
          <w:tcPr>
            <w:tcW w:w="145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No.of studies</w:t>
            </w:r>
          </w:p>
        </w:tc>
        <w:tc>
          <w:tcPr>
            <w:tcW w:w="24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MD(95%CI)</w:t>
            </w:r>
          </w:p>
        </w:tc>
        <w:tc>
          <w:tcPr>
            <w:tcW w:w="206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P for  heterogeneity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I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vertAlign w:val="superscript"/>
                <w:lang w:bidi="ar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state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America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-0.09(-0.17,0.00)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0.34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Australia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-0.33(-0.48,-0.17)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0.69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England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-0.18(-0.57,0.20)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China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-0.43(-0.90,0.04)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Isrel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0.08(-0.04,0.20)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Age,year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＜50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-0.02(-0.10,0.06)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≥50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-0.17(-0.26,-0.09)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samples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＜100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-0.18(-0.30,-0.06)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0.57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16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≥100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-0.07(-0.14,-0.01)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73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A03F5"/>
    <w:rsid w:val="119A03F5"/>
    <w:rsid w:val="4400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2019-11-14T03:00:00Z</dcterms:created>
  <dc:creator>olivia</dc:creator>
  <cp:lastModifiedBy>olivia</cp:lastModifiedBy>
  <dcterms:modified xsi:type="dcterms:W3CDTF">2019-11-14T03:05:18Z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