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880"/>
        <w:gridCol w:w="6426"/>
        <w:gridCol w:w="3210"/>
      </w:tblGrid>
      <w:tr w:rsidR="00664218" w:rsidRPr="00321D39" w14:paraId="1F9895CB" w14:textId="77777777" w:rsidTr="0059058E">
        <w:trPr>
          <w:trHeight w:val="300"/>
        </w:trPr>
        <w:tc>
          <w:tcPr>
            <w:tcW w:w="528" w:type="pct"/>
            <w:shd w:val="clear" w:color="auto" w:fill="auto"/>
            <w:noWrap/>
            <w:vAlign w:val="center"/>
            <w:hideMark/>
          </w:tcPr>
          <w:p w14:paraId="3545763A" w14:textId="77777777" w:rsidR="00664218" w:rsidRPr="00321D39" w:rsidRDefault="00664218" w:rsidP="00321D39">
            <w:pPr>
              <w:spacing w:after="0" w:line="240" w:lineRule="auto"/>
              <w:jc w:val="center"/>
              <w:rPr>
                <w:rFonts w:ascii="Times New Roman" w:eastAsia="Times New Roman" w:hAnsi="Times New Roman" w:cs="Times New Roman"/>
                <w:b/>
                <w:color w:val="000000"/>
                <w:sz w:val="20"/>
                <w:szCs w:val="20"/>
                <w:lang w:eastAsia="en-GB"/>
              </w:rPr>
            </w:pPr>
            <w:r w:rsidRPr="00321D39">
              <w:rPr>
                <w:rFonts w:ascii="Times New Roman" w:eastAsia="Times New Roman" w:hAnsi="Times New Roman" w:cs="Times New Roman"/>
                <w:b/>
                <w:color w:val="000000"/>
                <w:sz w:val="20"/>
                <w:szCs w:val="20"/>
                <w:lang w:eastAsia="en-GB"/>
              </w:rPr>
              <w:t>Transcript ID:</w:t>
            </w:r>
          </w:p>
        </w:tc>
        <w:tc>
          <w:tcPr>
            <w:tcW w:w="1029" w:type="pct"/>
            <w:shd w:val="clear" w:color="auto" w:fill="auto"/>
            <w:noWrap/>
            <w:vAlign w:val="center"/>
            <w:hideMark/>
          </w:tcPr>
          <w:p w14:paraId="44D55F2B" w14:textId="77777777" w:rsidR="00664218" w:rsidRPr="00321D39" w:rsidRDefault="00664218" w:rsidP="00321D39">
            <w:pPr>
              <w:spacing w:after="0" w:line="240" w:lineRule="auto"/>
              <w:jc w:val="center"/>
              <w:rPr>
                <w:rFonts w:ascii="Times New Roman" w:eastAsia="Times New Roman" w:hAnsi="Times New Roman" w:cs="Times New Roman"/>
                <w:b/>
                <w:color w:val="000000"/>
                <w:sz w:val="20"/>
                <w:szCs w:val="20"/>
                <w:lang w:eastAsia="en-GB"/>
              </w:rPr>
            </w:pPr>
            <w:r w:rsidRPr="00321D39">
              <w:rPr>
                <w:rFonts w:ascii="Times New Roman" w:eastAsia="Times New Roman" w:hAnsi="Times New Roman" w:cs="Times New Roman"/>
                <w:b/>
                <w:color w:val="000000"/>
                <w:sz w:val="20"/>
                <w:szCs w:val="20"/>
                <w:lang w:eastAsia="en-GB"/>
              </w:rPr>
              <w:t>Location:</w:t>
            </w:r>
          </w:p>
        </w:tc>
        <w:tc>
          <w:tcPr>
            <w:tcW w:w="2296" w:type="pct"/>
            <w:shd w:val="clear" w:color="auto" w:fill="auto"/>
            <w:vAlign w:val="center"/>
            <w:hideMark/>
          </w:tcPr>
          <w:p w14:paraId="48B0D521" w14:textId="77777777" w:rsidR="00664218" w:rsidRPr="00321D39" w:rsidRDefault="00664218" w:rsidP="00321D39">
            <w:pPr>
              <w:spacing w:after="0" w:line="240" w:lineRule="auto"/>
              <w:jc w:val="center"/>
              <w:rPr>
                <w:rFonts w:ascii="Times New Roman" w:eastAsia="Times New Roman" w:hAnsi="Times New Roman" w:cs="Times New Roman"/>
                <w:b/>
                <w:color w:val="000000"/>
                <w:sz w:val="20"/>
                <w:szCs w:val="20"/>
                <w:lang w:eastAsia="en-GB"/>
              </w:rPr>
            </w:pPr>
            <w:r w:rsidRPr="00321D39">
              <w:rPr>
                <w:rFonts w:ascii="Times New Roman" w:eastAsia="Times New Roman" w:hAnsi="Times New Roman" w:cs="Times New Roman"/>
                <w:b/>
                <w:color w:val="000000"/>
                <w:sz w:val="20"/>
                <w:szCs w:val="20"/>
                <w:lang w:eastAsia="en-GB"/>
              </w:rPr>
              <w:t>Gene ontology</w:t>
            </w:r>
          </w:p>
        </w:tc>
        <w:tc>
          <w:tcPr>
            <w:tcW w:w="1148" w:type="pct"/>
            <w:shd w:val="clear" w:color="auto" w:fill="auto"/>
            <w:noWrap/>
            <w:vAlign w:val="center"/>
            <w:hideMark/>
          </w:tcPr>
          <w:p w14:paraId="42ED2B07" w14:textId="77777777" w:rsidR="00664218" w:rsidRPr="00321D39" w:rsidRDefault="00664218" w:rsidP="00321D39">
            <w:pPr>
              <w:spacing w:after="0" w:line="240" w:lineRule="auto"/>
              <w:jc w:val="center"/>
              <w:rPr>
                <w:rFonts w:ascii="Times New Roman" w:eastAsia="Times New Roman" w:hAnsi="Times New Roman" w:cs="Times New Roman"/>
                <w:b/>
                <w:color w:val="000000"/>
                <w:sz w:val="20"/>
                <w:szCs w:val="20"/>
                <w:lang w:eastAsia="en-GB"/>
              </w:rPr>
            </w:pPr>
            <w:r w:rsidRPr="00321D39">
              <w:rPr>
                <w:rFonts w:ascii="Times New Roman" w:eastAsia="Times New Roman" w:hAnsi="Times New Roman" w:cs="Times New Roman"/>
                <w:b/>
                <w:color w:val="000000"/>
                <w:sz w:val="20"/>
                <w:szCs w:val="20"/>
                <w:lang w:eastAsia="en-GB"/>
              </w:rPr>
              <w:t>Definition</w:t>
            </w:r>
          </w:p>
        </w:tc>
      </w:tr>
      <w:tr w:rsidR="00664218" w:rsidRPr="00321D39" w14:paraId="199AA565" w14:textId="77777777" w:rsidTr="0059058E">
        <w:trPr>
          <w:trHeight w:val="300"/>
        </w:trPr>
        <w:tc>
          <w:tcPr>
            <w:tcW w:w="528" w:type="pct"/>
            <w:shd w:val="clear" w:color="auto" w:fill="auto"/>
            <w:noWrap/>
            <w:vAlign w:val="center"/>
            <w:hideMark/>
          </w:tcPr>
          <w:p w14:paraId="3BB755F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177154</w:t>
            </w:r>
          </w:p>
        </w:tc>
        <w:tc>
          <w:tcPr>
            <w:tcW w:w="1029" w:type="pct"/>
            <w:shd w:val="clear" w:color="auto" w:fill="auto"/>
            <w:noWrap/>
            <w:vAlign w:val="center"/>
            <w:hideMark/>
          </w:tcPr>
          <w:p w14:paraId="036936E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scaffold_7:1909687-1917514 (+)</w:t>
            </w:r>
          </w:p>
        </w:tc>
        <w:tc>
          <w:tcPr>
            <w:tcW w:w="2296" w:type="pct"/>
            <w:shd w:val="clear" w:color="auto" w:fill="auto"/>
            <w:vAlign w:val="center"/>
            <w:hideMark/>
          </w:tcPr>
          <w:p w14:paraId="766B02E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025BDF8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673EBE4F" w14:textId="77777777" w:rsidTr="0059058E">
        <w:trPr>
          <w:trHeight w:val="300"/>
        </w:trPr>
        <w:tc>
          <w:tcPr>
            <w:tcW w:w="528" w:type="pct"/>
            <w:shd w:val="clear" w:color="auto" w:fill="auto"/>
            <w:noWrap/>
            <w:vAlign w:val="center"/>
            <w:hideMark/>
          </w:tcPr>
          <w:p w14:paraId="5CC7D06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177158</w:t>
            </w:r>
          </w:p>
        </w:tc>
        <w:tc>
          <w:tcPr>
            <w:tcW w:w="1029" w:type="pct"/>
            <w:shd w:val="clear" w:color="auto" w:fill="auto"/>
            <w:noWrap/>
            <w:vAlign w:val="center"/>
            <w:hideMark/>
          </w:tcPr>
          <w:p w14:paraId="7892356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scaffold_7:1938540-1939146 (-)</w:t>
            </w:r>
          </w:p>
        </w:tc>
        <w:tc>
          <w:tcPr>
            <w:tcW w:w="2296" w:type="pct"/>
            <w:shd w:val="clear" w:color="auto" w:fill="auto"/>
            <w:vAlign w:val="center"/>
            <w:hideMark/>
          </w:tcPr>
          <w:p w14:paraId="1C17057D"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3A3A3CE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091CAF3D" w14:textId="77777777" w:rsidTr="0059058E">
        <w:trPr>
          <w:trHeight w:val="300"/>
        </w:trPr>
        <w:tc>
          <w:tcPr>
            <w:tcW w:w="528" w:type="pct"/>
            <w:shd w:val="clear" w:color="auto" w:fill="auto"/>
            <w:noWrap/>
            <w:vAlign w:val="center"/>
            <w:hideMark/>
          </w:tcPr>
          <w:p w14:paraId="6D17C17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31195</w:t>
            </w:r>
          </w:p>
        </w:tc>
        <w:tc>
          <w:tcPr>
            <w:tcW w:w="1029" w:type="pct"/>
            <w:shd w:val="clear" w:color="auto" w:fill="auto"/>
            <w:noWrap/>
            <w:vAlign w:val="center"/>
            <w:hideMark/>
          </w:tcPr>
          <w:p w14:paraId="43664AEC"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scaffold_7:1967582-1967875 (+)</w:t>
            </w:r>
          </w:p>
        </w:tc>
        <w:tc>
          <w:tcPr>
            <w:tcW w:w="2296" w:type="pct"/>
            <w:shd w:val="clear" w:color="auto" w:fill="auto"/>
            <w:vAlign w:val="center"/>
            <w:hideMark/>
          </w:tcPr>
          <w:p w14:paraId="4655254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4B8359E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73DD0377" w14:textId="77777777" w:rsidTr="0059058E">
        <w:trPr>
          <w:trHeight w:val="300"/>
        </w:trPr>
        <w:tc>
          <w:tcPr>
            <w:tcW w:w="528" w:type="pct"/>
            <w:shd w:val="clear" w:color="auto" w:fill="auto"/>
            <w:vAlign w:val="center"/>
            <w:hideMark/>
          </w:tcPr>
          <w:p w14:paraId="2C7B731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31837</w:t>
            </w:r>
          </w:p>
        </w:tc>
        <w:tc>
          <w:tcPr>
            <w:tcW w:w="1029" w:type="pct"/>
            <w:shd w:val="clear" w:color="auto" w:fill="auto"/>
            <w:noWrap/>
            <w:vAlign w:val="center"/>
            <w:hideMark/>
          </w:tcPr>
          <w:p w14:paraId="16FB924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scaffold_7:1920971-1921141(+)</w:t>
            </w:r>
          </w:p>
        </w:tc>
        <w:tc>
          <w:tcPr>
            <w:tcW w:w="2296" w:type="pct"/>
            <w:shd w:val="clear" w:color="auto" w:fill="auto"/>
            <w:vAlign w:val="center"/>
            <w:hideMark/>
          </w:tcPr>
          <w:p w14:paraId="4C275B8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1CEE0FB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60FC8C67" w14:textId="77777777" w:rsidTr="0059058E">
        <w:trPr>
          <w:trHeight w:val="285"/>
        </w:trPr>
        <w:tc>
          <w:tcPr>
            <w:tcW w:w="528" w:type="pct"/>
            <w:shd w:val="clear" w:color="auto" w:fill="auto"/>
            <w:vAlign w:val="center"/>
            <w:hideMark/>
          </w:tcPr>
          <w:p w14:paraId="00DAEA57" w14:textId="77777777" w:rsidR="00664218" w:rsidRPr="00321D39" w:rsidRDefault="00664218" w:rsidP="00321D39">
            <w:pPr>
              <w:spacing w:after="0" w:line="240" w:lineRule="auto"/>
              <w:jc w:val="both"/>
              <w:rPr>
                <w:rFonts w:ascii="Times New Roman" w:eastAsia="Times New Roman" w:hAnsi="Times New Roman" w:cs="Times New Roman"/>
                <w:sz w:val="20"/>
                <w:szCs w:val="20"/>
                <w:lang w:eastAsia="en-GB"/>
              </w:rPr>
            </w:pPr>
            <w:r w:rsidRPr="00321D39">
              <w:rPr>
                <w:rFonts w:ascii="Times New Roman" w:eastAsia="Times New Roman" w:hAnsi="Times New Roman" w:cs="Times New Roman"/>
                <w:sz w:val="20"/>
                <w:szCs w:val="20"/>
                <w:lang w:eastAsia="en-GB"/>
              </w:rPr>
              <w:t>22691</w:t>
            </w:r>
          </w:p>
        </w:tc>
        <w:tc>
          <w:tcPr>
            <w:tcW w:w="1029" w:type="pct"/>
            <w:shd w:val="clear" w:color="auto" w:fill="auto"/>
            <w:noWrap/>
            <w:vAlign w:val="center"/>
            <w:hideMark/>
          </w:tcPr>
          <w:p w14:paraId="695CB3B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scaffold_7:1949446-1950451 (-)</w:t>
            </w:r>
          </w:p>
        </w:tc>
        <w:tc>
          <w:tcPr>
            <w:tcW w:w="2296" w:type="pct"/>
            <w:shd w:val="clear" w:color="auto" w:fill="auto"/>
            <w:vAlign w:val="center"/>
            <w:hideMark/>
          </w:tcPr>
          <w:p w14:paraId="24666DF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GO:0004553 hydrolase activity, </w:t>
            </w:r>
            <w:proofErr w:type="spellStart"/>
            <w:r w:rsidRPr="00321D39">
              <w:rPr>
                <w:rFonts w:ascii="Times New Roman" w:eastAsia="Times New Roman" w:hAnsi="Times New Roman" w:cs="Times New Roman"/>
                <w:color w:val="000000"/>
                <w:sz w:val="20"/>
                <w:szCs w:val="20"/>
                <w:lang w:eastAsia="en-GB"/>
              </w:rPr>
              <w:t>hydrolyzing</w:t>
            </w:r>
            <w:proofErr w:type="spellEnd"/>
            <w:r w:rsidRPr="00321D39">
              <w:rPr>
                <w:rFonts w:ascii="Times New Roman" w:eastAsia="Times New Roman" w:hAnsi="Times New Roman" w:cs="Times New Roman"/>
                <w:color w:val="000000"/>
                <w:sz w:val="20"/>
                <w:szCs w:val="20"/>
                <w:lang w:eastAsia="en-GB"/>
              </w:rPr>
              <w:t xml:space="preserve"> O-glycosyl compounds. Catalysis of the hydrolysis of any O-glycosyl bond.</w:t>
            </w:r>
          </w:p>
        </w:tc>
        <w:tc>
          <w:tcPr>
            <w:tcW w:w="1148" w:type="pct"/>
            <w:shd w:val="clear" w:color="auto" w:fill="auto"/>
            <w:noWrap/>
            <w:vAlign w:val="center"/>
            <w:hideMark/>
          </w:tcPr>
          <w:p w14:paraId="0895417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04240EFF" w14:textId="77777777" w:rsidTr="0059058E">
        <w:trPr>
          <w:trHeight w:val="270"/>
        </w:trPr>
        <w:tc>
          <w:tcPr>
            <w:tcW w:w="528" w:type="pct"/>
            <w:shd w:val="clear" w:color="auto" w:fill="auto"/>
            <w:noWrap/>
            <w:vAlign w:val="center"/>
            <w:hideMark/>
          </w:tcPr>
          <w:p w14:paraId="53A32B0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189819</w:t>
            </w:r>
          </w:p>
        </w:tc>
        <w:tc>
          <w:tcPr>
            <w:tcW w:w="1029" w:type="pct"/>
            <w:shd w:val="clear" w:color="auto" w:fill="auto"/>
            <w:noWrap/>
            <w:vAlign w:val="center"/>
            <w:hideMark/>
          </w:tcPr>
          <w:p w14:paraId="35B67CB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scaffold_7:1929097-1930398 (-)</w:t>
            </w:r>
          </w:p>
        </w:tc>
        <w:tc>
          <w:tcPr>
            <w:tcW w:w="2296" w:type="pct"/>
            <w:shd w:val="clear" w:color="auto" w:fill="auto"/>
            <w:vAlign w:val="center"/>
            <w:hideMark/>
          </w:tcPr>
          <w:p w14:paraId="34DA614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GO:0003824 catalytic activities. Catalysis of a biochemical reaction at physiological temperatures.</w:t>
            </w:r>
          </w:p>
        </w:tc>
        <w:tc>
          <w:tcPr>
            <w:tcW w:w="1148" w:type="pct"/>
            <w:shd w:val="clear" w:color="auto" w:fill="auto"/>
            <w:noWrap/>
            <w:vAlign w:val="center"/>
            <w:hideMark/>
          </w:tcPr>
          <w:p w14:paraId="38D2A58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45E60A4A" w14:textId="77777777" w:rsidTr="0059058E">
        <w:trPr>
          <w:trHeight w:val="300"/>
        </w:trPr>
        <w:tc>
          <w:tcPr>
            <w:tcW w:w="528" w:type="pct"/>
            <w:shd w:val="clear" w:color="auto" w:fill="auto"/>
            <w:noWrap/>
            <w:vAlign w:val="center"/>
            <w:hideMark/>
          </w:tcPr>
          <w:p w14:paraId="76600AE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30851</w:t>
            </w:r>
          </w:p>
        </w:tc>
        <w:tc>
          <w:tcPr>
            <w:tcW w:w="1029" w:type="pct"/>
            <w:shd w:val="clear" w:color="auto" w:fill="auto"/>
            <w:noWrap/>
            <w:vAlign w:val="center"/>
            <w:hideMark/>
          </w:tcPr>
          <w:p w14:paraId="5D8F179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scaffold_7:1959643-1961193 (-)</w:t>
            </w:r>
          </w:p>
        </w:tc>
        <w:tc>
          <w:tcPr>
            <w:tcW w:w="2296" w:type="pct"/>
            <w:shd w:val="clear" w:color="auto" w:fill="auto"/>
            <w:vAlign w:val="center"/>
            <w:hideMark/>
          </w:tcPr>
          <w:p w14:paraId="55889D0C"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74FDC11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4F71D082" w14:textId="77777777" w:rsidTr="0059058E">
        <w:trPr>
          <w:trHeight w:val="300"/>
        </w:trPr>
        <w:tc>
          <w:tcPr>
            <w:tcW w:w="528" w:type="pct"/>
            <w:shd w:val="clear" w:color="auto" w:fill="auto"/>
            <w:noWrap/>
            <w:vAlign w:val="center"/>
            <w:hideMark/>
          </w:tcPr>
          <w:p w14:paraId="25259EDD"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101452</w:t>
            </w:r>
          </w:p>
        </w:tc>
        <w:tc>
          <w:tcPr>
            <w:tcW w:w="1029" w:type="pct"/>
            <w:shd w:val="clear" w:color="auto" w:fill="auto"/>
            <w:noWrap/>
            <w:vAlign w:val="center"/>
            <w:hideMark/>
          </w:tcPr>
          <w:p w14:paraId="2F4C3FEE"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scaffold_7:1931010-1931678 (-)</w:t>
            </w:r>
          </w:p>
        </w:tc>
        <w:tc>
          <w:tcPr>
            <w:tcW w:w="2296" w:type="pct"/>
            <w:shd w:val="clear" w:color="auto" w:fill="auto"/>
            <w:vAlign w:val="center"/>
            <w:hideMark/>
          </w:tcPr>
          <w:p w14:paraId="1B3D576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1B4F621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5B5F3619" w14:textId="77777777" w:rsidTr="0059058E">
        <w:trPr>
          <w:trHeight w:val="300"/>
        </w:trPr>
        <w:tc>
          <w:tcPr>
            <w:tcW w:w="528" w:type="pct"/>
            <w:shd w:val="clear" w:color="auto" w:fill="auto"/>
            <w:noWrap/>
            <w:vAlign w:val="center"/>
            <w:hideMark/>
          </w:tcPr>
          <w:p w14:paraId="5C58FD1E"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101452</w:t>
            </w:r>
          </w:p>
        </w:tc>
        <w:tc>
          <w:tcPr>
            <w:tcW w:w="1029" w:type="pct"/>
            <w:shd w:val="clear" w:color="auto" w:fill="auto"/>
            <w:noWrap/>
            <w:vAlign w:val="center"/>
            <w:hideMark/>
          </w:tcPr>
          <w:p w14:paraId="5CF3455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scaffold_7:1931010-1931678 (-)</w:t>
            </w:r>
          </w:p>
        </w:tc>
        <w:tc>
          <w:tcPr>
            <w:tcW w:w="2296" w:type="pct"/>
            <w:shd w:val="clear" w:color="auto" w:fill="auto"/>
            <w:vAlign w:val="center"/>
            <w:hideMark/>
          </w:tcPr>
          <w:p w14:paraId="7BB7BB1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52928E0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284B5762" w14:textId="77777777" w:rsidTr="0059058E">
        <w:trPr>
          <w:trHeight w:val="1140"/>
        </w:trPr>
        <w:tc>
          <w:tcPr>
            <w:tcW w:w="528" w:type="pct"/>
            <w:shd w:val="clear" w:color="auto" w:fill="auto"/>
            <w:noWrap/>
            <w:vAlign w:val="center"/>
            <w:hideMark/>
          </w:tcPr>
          <w:p w14:paraId="6EAB469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211990</w:t>
            </w:r>
          </w:p>
        </w:tc>
        <w:tc>
          <w:tcPr>
            <w:tcW w:w="1029" w:type="pct"/>
            <w:shd w:val="clear" w:color="auto" w:fill="auto"/>
            <w:noWrap/>
            <w:vAlign w:val="center"/>
            <w:hideMark/>
          </w:tcPr>
          <w:p w14:paraId="3BBF926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scaffold_7:1943313-1944619 (-)</w:t>
            </w:r>
          </w:p>
        </w:tc>
        <w:tc>
          <w:tcPr>
            <w:tcW w:w="2296" w:type="pct"/>
            <w:shd w:val="clear" w:color="auto" w:fill="auto"/>
            <w:vAlign w:val="center"/>
            <w:hideMark/>
          </w:tcPr>
          <w:p w14:paraId="3F5F5B6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GO:0000172 ribonuclease MRP complex. A ribonucleoprotein complex that contains an RNA molecule of the snoRNA family, and cleaves the rRNA precursor as part of rRNA transcript processing. It also has other roles: In S. cerevisiae it is involved in cell cycle-regulated degradation of daughter cell-specific mRNAs, while in mammalian cells it also enters the mitochondria and processes RNAs to create RNA primers for DNA replication.</w:t>
            </w:r>
          </w:p>
        </w:tc>
        <w:tc>
          <w:tcPr>
            <w:tcW w:w="1148" w:type="pct"/>
            <w:shd w:val="clear" w:color="auto" w:fill="auto"/>
            <w:noWrap/>
            <w:vAlign w:val="center"/>
            <w:hideMark/>
          </w:tcPr>
          <w:p w14:paraId="4842087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79404C15" w14:textId="77777777" w:rsidTr="0059058E">
        <w:trPr>
          <w:trHeight w:val="300"/>
        </w:trPr>
        <w:tc>
          <w:tcPr>
            <w:tcW w:w="528" w:type="pct"/>
            <w:shd w:val="clear" w:color="auto" w:fill="auto"/>
            <w:noWrap/>
            <w:vAlign w:val="center"/>
            <w:hideMark/>
          </w:tcPr>
          <w:p w14:paraId="6D640D2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7504</w:t>
            </w:r>
          </w:p>
        </w:tc>
        <w:tc>
          <w:tcPr>
            <w:tcW w:w="1029" w:type="pct"/>
            <w:shd w:val="clear" w:color="auto" w:fill="auto"/>
            <w:noWrap/>
            <w:vAlign w:val="center"/>
            <w:hideMark/>
          </w:tcPr>
          <w:p w14:paraId="3258DCF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scaffold_7:1939638-1940268 (+)</w:t>
            </w:r>
          </w:p>
        </w:tc>
        <w:tc>
          <w:tcPr>
            <w:tcW w:w="2296" w:type="pct"/>
            <w:shd w:val="clear" w:color="auto" w:fill="auto"/>
            <w:vAlign w:val="center"/>
            <w:hideMark/>
          </w:tcPr>
          <w:p w14:paraId="1620F2AE"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090AAA9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574C7CEC" w14:textId="77777777" w:rsidTr="0059058E">
        <w:trPr>
          <w:trHeight w:val="285"/>
        </w:trPr>
        <w:tc>
          <w:tcPr>
            <w:tcW w:w="528" w:type="pct"/>
            <w:shd w:val="clear" w:color="auto" w:fill="auto"/>
            <w:noWrap/>
            <w:vAlign w:val="center"/>
            <w:hideMark/>
          </w:tcPr>
          <w:p w14:paraId="32B3B5E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77954</w:t>
            </w:r>
          </w:p>
        </w:tc>
        <w:tc>
          <w:tcPr>
            <w:tcW w:w="1029" w:type="pct"/>
            <w:shd w:val="clear" w:color="auto" w:fill="auto"/>
            <w:noWrap/>
            <w:vAlign w:val="center"/>
            <w:hideMark/>
          </w:tcPr>
          <w:p w14:paraId="3356CE9D"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scaffold_7:1945205-1946623 (-)</w:t>
            </w:r>
          </w:p>
        </w:tc>
        <w:tc>
          <w:tcPr>
            <w:tcW w:w="2296" w:type="pct"/>
            <w:shd w:val="clear" w:color="auto" w:fill="auto"/>
            <w:vAlign w:val="center"/>
            <w:hideMark/>
          </w:tcPr>
          <w:p w14:paraId="2441398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GO:0004553 hydrolase activity, </w:t>
            </w:r>
            <w:proofErr w:type="spellStart"/>
            <w:r w:rsidRPr="00321D39">
              <w:rPr>
                <w:rFonts w:ascii="Times New Roman" w:eastAsia="Times New Roman" w:hAnsi="Times New Roman" w:cs="Times New Roman"/>
                <w:color w:val="000000"/>
                <w:sz w:val="20"/>
                <w:szCs w:val="20"/>
                <w:lang w:eastAsia="en-GB"/>
              </w:rPr>
              <w:t>hydrolyzing</w:t>
            </w:r>
            <w:proofErr w:type="spellEnd"/>
            <w:r w:rsidRPr="00321D39">
              <w:rPr>
                <w:rFonts w:ascii="Times New Roman" w:eastAsia="Times New Roman" w:hAnsi="Times New Roman" w:cs="Times New Roman"/>
                <w:color w:val="000000"/>
                <w:sz w:val="20"/>
                <w:szCs w:val="20"/>
                <w:lang w:eastAsia="en-GB"/>
              </w:rPr>
              <w:t xml:space="preserve"> O-glycosyl compounds. Catalysis of the hydrolysis of any O-glycosyl bond.</w:t>
            </w:r>
          </w:p>
        </w:tc>
        <w:tc>
          <w:tcPr>
            <w:tcW w:w="1148" w:type="pct"/>
            <w:shd w:val="clear" w:color="auto" w:fill="auto"/>
            <w:noWrap/>
            <w:vAlign w:val="center"/>
            <w:hideMark/>
          </w:tcPr>
          <w:p w14:paraId="75479C8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065D7218" w14:textId="77777777" w:rsidTr="0059058E">
        <w:trPr>
          <w:trHeight w:val="615"/>
        </w:trPr>
        <w:tc>
          <w:tcPr>
            <w:tcW w:w="528" w:type="pct"/>
            <w:shd w:val="clear" w:color="auto" w:fill="auto"/>
            <w:noWrap/>
            <w:vAlign w:val="center"/>
            <w:hideMark/>
          </w:tcPr>
          <w:p w14:paraId="2C61451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31273</w:t>
            </w:r>
          </w:p>
        </w:tc>
        <w:tc>
          <w:tcPr>
            <w:tcW w:w="1029" w:type="pct"/>
            <w:shd w:val="clear" w:color="auto" w:fill="auto"/>
            <w:noWrap/>
            <w:vAlign w:val="center"/>
            <w:hideMark/>
          </w:tcPr>
          <w:p w14:paraId="2AA3AD7D"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scaffold_7:1947348-1948031 (-)</w:t>
            </w:r>
          </w:p>
        </w:tc>
        <w:tc>
          <w:tcPr>
            <w:tcW w:w="2296" w:type="pct"/>
            <w:shd w:val="clear" w:color="auto" w:fill="auto"/>
            <w:vAlign w:val="center"/>
            <w:hideMark/>
          </w:tcPr>
          <w:p w14:paraId="6443681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GO:0004733 pyridoxamine-phosphate oxidase activity. Catalysis of the reaction: pyridoxamine 5'-phosphate + H2O + O2 = pyridoxal 5'-phosphate + NH3 + hydrogen peroxide.</w:t>
            </w:r>
          </w:p>
        </w:tc>
        <w:tc>
          <w:tcPr>
            <w:tcW w:w="1148" w:type="pct"/>
            <w:shd w:val="clear" w:color="auto" w:fill="auto"/>
            <w:noWrap/>
            <w:vAlign w:val="center"/>
            <w:hideMark/>
          </w:tcPr>
          <w:p w14:paraId="08FDA988"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377894F6" w14:textId="77777777" w:rsidTr="0059058E">
        <w:trPr>
          <w:trHeight w:val="300"/>
        </w:trPr>
        <w:tc>
          <w:tcPr>
            <w:tcW w:w="528" w:type="pct"/>
            <w:shd w:val="clear" w:color="auto" w:fill="auto"/>
            <w:noWrap/>
            <w:vAlign w:val="center"/>
            <w:hideMark/>
          </w:tcPr>
          <w:p w14:paraId="49EEB239"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198484</w:t>
            </w:r>
          </w:p>
        </w:tc>
        <w:tc>
          <w:tcPr>
            <w:tcW w:w="1029" w:type="pct"/>
            <w:shd w:val="clear" w:color="auto" w:fill="auto"/>
            <w:noWrap/>
            <w:vAlign w:val="center"/>
            <w:hideMark/>
          </w:tcPr>
          <w:p w14:paraId="653814B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scaffold_7:1951727-1952825 (-)</w:t>
            </w:r>
          </w:p>
        </w:tc>
        <w:tc>
          <w:tcPr>
            <w:tcW w:w="2296" w:type="pct"/>
            <w:shd w:val="clear" w:color="auto" w:fill="auto"/>
            <w:vAlign w:val="center"/>
            <w:hideMark/>
          </w:tcPr>
          <w:p w14:paraId="337E97ED"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1A973FD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32FFA5E5" w14:textId="77777777" w:rsidTr="0059058E">
        <w:trPr>
          <w:trHeight w:val="300"/>
        </w:trPr>
        <w:tc>
          <w:tcPr>
            <w:tcW w:w="528" w:type="pct"/>
            <w:shd w:val="clear" w:color="auto" w:fill="auto"/>
            <w:noWrap/>
            <w:vAlign w:val="center"/>
            <w:hideMark/>
          </w:tcPr>
          <w:p w14:paraId="27F77F4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77958</w:t>
            </w:r>
          </w:p>
        </w:tc>
        <w:tc>
          <w:tcPr>
            <w:tcW w:w="1029" w:type="pct"/>
            <w:shd w:val="clear" w:color="auto" w:fill="auto"/>
            <w:noWrap/>
            <w:vAlign w:val="center"/>
            <w:hideMark/>
          </w:tcPr>
          <w:p w14:paraId="5CD9AAF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scaffold_7:1953723-1954161 (-)</w:t>
            </w:r>
          </w:p>
        </w:tc>
        <w:tc>
          <w:tcPr>
            <w:tcW w:w="2296" w:type="pct"/>
            <w:shd w:val="clear" w:color="auto" w:fill="auto"/>
            <w:vAlign w:val="center"/>
            <w:hideMark/>
          </w:tcPr>
          <w:p w14:paraId="257FC09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310BF69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3381174E" w14:textId="77777777" w:rsidTr="0059058E">
        <w:trPr>
          <w:trHeight w:val="300"/>
        </w:trPr>
        <w:tc>
          <w:tcPr>
            <w:tcW w:w="528" w:type="pct"/>
            <w:shd w:val="clear" w:color="auto" w:fill="auto"/>
            <w:noWrap/>
            <w:vAlign w:val="center"/>
            <w:hideMark/>
          </w:tcPr>
          <w:p w14:paraId="148C0E0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77959</w:t>
            </w:r>
          </w:p>
        </w:tc>
        <w:tc>
          <w:tcPr>
            <w:tcW w:w="1029" w:type="pct"/>
            <w:shd w:val="clear" w:color="auto" w:fill="auto"/>
            <w:noWrap/>
            <w:vAlign w:val="center"/>
            <w:hideMark/>
          </w:tcPr>
          <w:p w14:paraId="5C02A8C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scaffold_7:1954646-1955608 (+)</w:t>
            </w:r>
          </w:p>
        </w:tc>
        <w:tc>
          <w:tcPr>
            <w:tcW w:w="2296" w:type="pct"/>
            <w:shd w:val="clear" w:color="auto" w:fill="auto"/>
            <w:vAlign w:val="center"/>
            <w:hideMark/>
          </w:tcPr>
          <w:p w14:paraId="6D111D99"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44A971D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6EA5F458" w14:textId="77777777" w:rsidTr="0059058E">
        <w:trPr>
          <w:trHeight w:val="300"/>
        </w:trPr>
        <w:tc>
          <w:tcPr>
            <w:tcW w:w="528" w:type="pct"/>
            <w:shd w:val="clear" w:color="auto" w:fill="auto"/>
            <w:noWrap/>
            <w:vAlign w:val="center"/>
            <w:hideMark/>
          </w:tcPr>
          <w:p w14:paraId="7A67C8C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198487</w:t>
            </w:r>
          </w:p>
        </w:tc>
        <w:tc>
          <w:tcPr>
            <w:tcW w:w="1029" w:type="pct"/>
            <w:shd w:val="clear" w:color="auto" w:fill="auto"/>
            <w:noWrap/>
            <w:vAlign w:val="center"/>
            <w:hideMark/>
          </w:tcPr>
          <w:p w14:paraId="7A8E5208"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scaffold_7:1955999-1956492 (+)</w:t>
            </w:r>
          </w:p>
        </w:tc>
        <w:tc>
          <w:tcPr>
            <w:tcW w:w="2296" w:type="pct"/>
            <w:shd w:val="clear" w:color="auto" w:fill="auto"/>
            <w:vAlign w:val="center"/>
            <w:hideMark/>
          </w:tcPr>
          <w:p w14:paraId="40EDF1B8"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035F009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03EA62A5" w14:textId="77777777" w:rsidTr="0059058E">
        <w:trPr>
          <w:trHeight w:val="300"/>
        </w:trPr>
        <w:tc>
          <w:tcPr>
            <w:tcW w:w="528" w:type="pct"/>
            <w:shd w:val="clear" w:color="auto" w:fill="auto"/>
            <w:noWrap/>
            <w:vAlign w:val="center"/>
            <w:hideMark/>
          </w:tcPr>
          <w:p w14:paraId="6F9BD83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204493</w:t>
            </w:r>
          </w:p>
        </w:tc>
        <w:tc>
          <w:tcPr>
            <w:tcW w:w="1029" w:type="pct"/>
            <w:shd w:val="clear" w:color="auto" w:fill="auto"/>
            <w:noWrap/>
            <w:vAlign w:val="center"/>
            <w:hideMark/>
          </w:tcPr>
          <w:p w14:paraId="48C2A6B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scaffold_7:1957874-1958706 (+)</w:t>
            </w:r>
          </w:p>
        </w:tc>
        <w:tc>
          <w:tcPr>
            <w:tcW w:w="2296" w:type="pct"/>
            <w:shd w:val="clear" w:color="auto" w:fill="auto"/>
            <w:vAlign w:val="center"/>
            <w:hideMark/>
          </w:tcPr>
          <w:p w14:paraId="6E83D57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52A0F52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31DCC28E" w14:textId="77777777" w:rsidTr="0059058E">
        <w:trPr>
          <w:trHeight w:val="300"/>
        </w:trPr>
        <w:tc>
          <w:tcPr>
            <w:tcW w:w="528" w:type="pct"/>
            <w:shd w:val="clear" w:color="auto" w:fill="auto"/>
            <w:noWrap/>
            <w:vAlign w:val="center"/>
            <w:hideMark/>
          </w:tcPr>
          <w:p w14:paraId="51D6F64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77962</w:t>
            </w:r>
          </w:p>
        </w:tc>
        <w:tc>
          <w:tcPr>
            <w:tcW w:w="1029" w:type="pct"/>
            <w:shd w:val="clear" w:color="auto" w:fill="auto"/>
            <w:noWrap/>
            <w:vAlign w:val="center"/>
            <w:hideMark/>
          </w:tcPr>
          <w:p w14:paraId="3EB22329"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scaffold_7:2016030-2016929 (-)</w:t>
            </w:r>
          </w:p>
        </w:tc>
        <w:tc>
          <w:tcPr>
            <w:tcW w:w="2296" w:type="pct"/>
            <w:shd w:val="clear" w:color="auto" w:fill="auto"/>
            <w:vAlign w:val="center"/>
            <w:hideMark/>
          </w:tcPr>
          <w:p w14:paraId="52FBA5EC"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1B193A4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71BF930D" w14:textId="77777777" w:rsidTr="0059058E">
        <w:trPr>
          <w:trHeight w:val="300"/>
        </w:trPr>
        <w:tc>
          <w:tcPr>
            <w:tcW w:w="528" w:type="pct"/>
            <w:shd w:val="clear" w:color="auto" w:fill="auto"/>
            <w:noWrap/>
            <w:vAlign w:val="center"/>
            <w:hideMark/>
          </w:tcPr>
          <w:p w14:paraId="7D208D7C"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177166</w:t>
            </w:r>
          </w:p>
        </w:tc>
        <w:tc>
          <w:tcPr>
            <w:tcW w:w="1029" w:type="pct"/>
            <w:shd w:val="clear" w:color="auto" w:fill="auto"/>
            <w:noWrap/>
            <w:vAlign w:val="center"/>
            <w:hideMark/>
          </w:tcPr>
          <w:p w14:paraId="64E0CE5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scaffold_7:2021508-2023032 (+)</w:t>
            </w:r>
          </w:p>
        </w:tc>
        <w:tc>
          <w:tcPr>
            <w:tcW w:w="2296" w:type="pct"/>
            <w:shd w:val="clear" w:color="auto" w:fill="auto"/>
            <w:vAlign w:val="center"/>
            <w:hideMark/>
          </w:tcPr>
          <w:p w14:paraId="1F581EC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12A2270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1A0F607A" w14:textId="77777777" w:rsidTr="0059058E">
        <w:trPr>
          <w:trHeight w:val="300"/>
        </w:trPr>
        <w:tc>
          <w:tcPr>
            <w:tcW w:w="528" w:type="pct"/>
            <w:shd w:val="clear" w:color="auto" w:fill="auto"/>
            <w:noWrap/>
            <w:vAlign w:val="center"/>
            <w:hideMark/>
          </w:tcPr>
          <w:p w14:paraId="5D79485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lastRenderedPageBreak/>
              <w:t>177167</w:t>
            </w:r>
          </w:p>
        </w:tc>
        <w:tc>
          <w:tcPr>
            <w:tcW w:w="1029" w:type="pct"/>
            <w:shd w:val="clear" w:color="auto" w:fill="auto"/>
            <w:noWrap/>
            <w:vAlign w:val="center"/>
            <w:hideMark/>
          </w:tcPr>
          <w:p w14:paraId="10D8292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scaffold_7:2026479-2029163 (+)</w:t>
            </w:r>
          </w:p>
        </w:tc>
        <w:tc>
          <w:tcPr>
            <w:tcW w:w="2296" w:type="pct"/>
            <w:shd w:val="clear" w:color="auto" w:fill="auto"/>
            <w:vAlign w:val="center"/>
            <w:hideMark/>
          </w:tcPr>
          <w:p w14:paraId="4FAFECA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2B16859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08F121A0" w14:textId="77777777" w:rsidTr="0059058E">
        <w:trPr>
          <w:trHeight w:val="300"/>
        </w:trPr>
        <w:tc>
          <w:tcPr>
            <w:tcW w:w="528" w:type="pct"/>
            <w:shd w:val="clear" w:color="auto" w:fill="auto"/>
            <w:noWrap/>
            <w:vAlign w:val="center"/>
            <w:hideMark/>
          </w:tcPr>
          <w:p w14:paraId="5AF4D66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177169</w:t>
            </w:r>
          </w:p>
        </w:tc>
        <w:tc>
          <w:tcPr>
            <w:tcW w:w="1029" w:type="pct"/>
            <w:shd w:val="clear" w:color="auto" w:fill="auto"/>
            <w:noWrap/>
            <w:vAlign w:val="center"/>
            <w:hideMark/>
          </w:tcPr>
          <w:p w14:paraId="7DD1FC1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scaffold_7:2032413-2034139 (+)</w:t>
            </w:r>
          </w:p>
        </w:tc>
        <w:tc>
          <w:tcPr>
            <w:tcW w:w="2296" w:type="pct"/>
            <w:shd w:val="clear" w:color="auto" w:fill="auto"/>
            <w:vAlign w:val="center"/>
            <w:hideMark/>
          </w:tcPr>
          <w:p w14:paraId="7BC0F3E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345A581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5E9C481D" w14:textId="77777777" w:rsidTr="0059058E">
        <w:trPr>
          <w:trHeight w:val="300"/>
        </w:trPr>
        <w:tc>
          <w:tcPr>
            <w:tcW w:w="528" w:type="pct"/>
            <w:shd w:val="clear" w:color="auto" w:fill="auto"/>
            <w:noWrap/>
            <w:vAlign w:val="center"/>
            <w:hideMark/>
          </w:tcPr>
          <w:p w14:paraId="25A3B95D"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77963</w:t>
            </w:r>
          </w:p>
        </w:tc>
        <w:tc>
          <w:tcPr>
            <w:tcW w:w="1029" w:type="pct"/>
            <w:shd w:val="clear" w:color="auto" w:fill="auto"/>
            <w:noWrap/>
            <w:vAlign w:val="center"/>
            <w:hideMark/>
          </w:tcPr>
          <w:p w14:paraId="150AEE2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scaffold_7:2035236-2035724 (+)</w:t>
            </w:r>
          </w:p>
        </w:tc>
        <w:tc>
          <w:tcPr>
            <w:tcW w:w="2296" w:type="pct"/>
            <w:shd w:val="clear" w:color="auto" w:fill="auto"/>
            <w:vAlign w:val="center"/>
            <w:hideMark/>
          </w:tcPr>
          <w:p w14:paraId="5F5EAE3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4E4F988D"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66966B86" w14:textId="77777777" w:rsidTr="0059058E">
        <w:trPr>
          <w:trHeight w:val="300"/>
        </w:trPr>
        <w:tc>
          <w:tcPr>
            <w:tcW w:w="528" w:type="pct"/>
            <w:shd w:val="clear" w:color="auto" w:fill="auto"/>
            <w:noWrap/>
            <w:vAlign w:val="center"/>
            <w:hideMark/>
          </w:tcPr>
          <w:p w14:paraId="2C877A2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77964</w:t>
            </w:r>
          </w:p>
        </w:tc>
        <w:tc>
          <w:tcPr>
            <w:tcW w:w="1029" w:type="pct"/>
            <w:shd w:val="clear" w:color="auto" w:fill="auto"/>
            <w:noWrap/>
            <w:vAlign w:val="center"/>
            <w:hideMark/>
          </w:tcPr>
          <w:p w14:paraId="6465AFB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scaffold_7:2036475-2038341 (-)</w:t>
            </w:r>
          </w:p>
        </w:tc>
        <w:tc>
          <w:tcPr>
            <w:tcW w:w="2296" w:type="pct"/>
            <w:shd w:val="clear" w:color="auto" w:fill="auto"/>
            <w:vAlign w:val="center"/>
            <w:hideMark/>
          </w:tcPr>
          <w:p w14:paraId="2C12C3E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66F1D57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38091F20" w14:textId="77777777" w:rsidTr="0059058E">
        <w:trPr>
          <w:trHeight w:val="300"/>
        </w:trPr>
        <w:tc>
          <w:tcPr>
            <w:tcW w:w="528" w:type="pct"/>
            <w:shd w:val="clear" w:color="auto" w:fill="auto"/>
            <w:noWrap/>
            <w:vAlign w:val="center"/>
            <w:hideMark/>
          </w:tcPr>
          <w:p w14:paraId="33A7F03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208509</w:t>
            </w:r>
          </w:p>
        </w:tc>
        <w:tc>
          <w:tcPr>
            <w:tcW w:w="1029" w:type="pct"/>
            <w:shd w:val="clear" w:color="auto" w:fill="auto"/>
            <w:noWrap/>
            <w:vAlign w:val="center"/>
            <w:hideMark/>
          </w:tcPr>
          <w:p w14:paraId="4CB71D1C"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scaffold_7:2038381-2039739 (+)</w:t>
            </w:r>
          </w:p>
        </w:tc>
        <w:tc>
          <w:tcPr>
            <w:tcW w:w="2296" w:type="pct"/>
            <w:shd w:val="clear" w:color="auto" w:fill="auto"/>
            <w:vAlign w:val="center"/>
            <w:hideMark/>
          </w:tcPr>
          <w:p w14:paraId="27E49EAE"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08A8351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7915569A" w14:textId="77777777" w:rsidTr="0059058E">
        <w:trPr>
          <w:trHeight w:val="345"/>
        </w:trPr>
        <w:tc>
          <w:tcPr>
            <w:tcW w:w="528" w:type="pct"/>
            <w:shd w:val="clear" w:color="auto" w:fill="auto"/>
            <w:noWrap/>
            <w:vAlign w:val="center"/>
            <w:hideMark/>
          </w:tcPr>
          <w:p w14:paraId="50FBE6D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155993</w:t>
            </w:r>
          </w:p>
        </w:tc>
        <w:tc>
          <w:tcPr>
            <w:tcW w:w="1029" w:type="pct"/>
            <w:shd w:val="clear" w:color="auto" w:fill="auto"/>
            <w:noWrap/>
            <w:vAlign w:val="center"/>
            <w:hideMark/>
          </w:tcPr>
          <w:p w14:paraId="6AD2B1B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scaffold_7:2039032-2039971 (-)</w:t>
            </w:r>
          </w:p>
        </w:tc>
        <w:tc>
          <w:tcPr>
            <w:tcW w:w="2296" w:type="pct"/>
            <w:shd w:val="clear" w:color="auto" w:fill="auto"/>
            <w:vAlign w:val="center"/>
            <w:hideMark/>
          </w:tcPr>
          <w:p w14:paraId="2FF9D3B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GO:0003723 RNA binding. Interacting selectively and non-covalently with an RNA molecule or a portion thereof.</w:t>
            </w:r>
          </w:p>
        </w:tc>
        <w:tc>
          <w:tcPr>
            <w:tcW w:w="1148" w:type="pct"/>
            <w:shd w:val="clear" w:color="auto" w:fill="auto"/>
            <w:noWrap/>
            <w:vAlign w:val="center"/>
            <w:hideMark/>
          </w:tcPr>
          <w:p w14:paraId="1E3BD98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09FFFCAF" w14:textId="77777777" w:rsidTr="0059058E">
        <w:trPr>
          <w:trHeight w:val="885"/>
        </w:trPr>
        <w:tc>
          <w:tcPr>
            <w:tcW w:w="528" w:type="pct"/>
            <w:shd w:val="clear" w:color="auto" w:fill="auto"/>
            <w:noWrap/>
            <w:vAlign w:val="center"/>
            <w:hideMark/>
          </w:tcPr>
          <w:p w14:paraId="42A8391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49844</w:t>
            </w:r>
          </w:p>
        </w:tc>
        <w:tc>
          <w:tcPr>
            <w:tcW w:w="1029" w:type="pct"/>
            <w:shd w:val="clear" w:color="auto" w:fill="auto"/>
            <w:noWrap/>
            <w:vAlign w:val="center"/>
            <w:hideMark/>
          </w:tcPr>
          <w:p w14:paraId="4AA438B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scaffold_7:2040187-2041265 (+)</w:t>
            </w:r>
          </w:p>
        </w:tc>
        <w:tc>
          <w:tcPr>
            <w:tcW w:w="2296" w:type="pct"/>
            <w:shd w:val="clear" w:color="auto" w:fill="auto"/>
            <w:vAlign w:val="center"/>
            <w:hideMark/>
          </w:tcPr>
          <w:p w14:paraId="1921D31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GO:0004298 threonine-type endopeptidase activity. Catalysis of the hydrolysis of internal peptide bonds in a polypeptide chain by a mechanism in which the hydroxyl group of a threonine residue at the active </w:t>
            </w:r>
            <w:proofErr w:type="spellStart"/>
            <w:r w:rsidRPr="00321D39">
              <w:rPr>
                <w:rFonts w:ascii="Times New Roman" w:eastAsia="Times New Roman" w:hAnsi="Times New Roman" w:cs="Times New Roman"/>
                <w:color w:val="000000"/>
                <w:sz w:val="20"/>
                <w:szCs w:val="20"/>
                <w:lang w:eastAsia="en-GB"/>
              </w:rPr>
              <w:t>center</w:t>
            </w:r>
            <w:proofErr w:type="spellEnd"/>
            <w:r w:rsidRPr="00321D39">
              <w:rPr>
                <w:rFonts w:ascii="Times New Roman" w:eastAsia="Times New Roman" w:hAnsi="Times New Roman" w:cs="Times New Roman"/>
                <w:color w:val="000000"/>
                <w:sz w:val="20"/>
                <w:szCs w:val="20"/>
                <w:lang w:eastAsia="en-GB"/>
              </w:rPr>
              <w:t xml:space="preserve"> acts as a nucleophile.</w:t>
            </w:r>
          </w:p>
        </w:tc>
        <w:tc>
          <w:tcPr>
            <w:tcW w:w="1148" w:type="pct"/>
            <w:shd w:val="clear" w:color="auto" w:fill="auto"/>
            <w:noWrap/>
            <w:vAlign w:val="center"/>
            <w:hideMark/>
          </w:tcPr>
          <w:p w14:paraId="41AC4C8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14CF2065" w14:textId="77777777" w:rsidTr="0059058E">
        <w:trPr>
          <w:trHeight w:val="1470"/>
        </w:trPr>
        <w:tc>
          <w:tcPr>
            <w:tcW w:w="528" w:type="pct"/>
            <w:shd w:val="clear" w:color="auto" w:fill="auto"/>
            <w:noWrap/>
            <w:vAlign w:val="center"/>
            <w:hideMark/>
          </w:tcPr>
          <w:p w14:paraId="3C8D76CD"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96804</w:t>
            </w:r>
          </w:p>
        </w:tc>
        <w:tc>
          <w:tcPr>
            <w:tcW w:w="1029" w:type="pct"/>
            <w:shd w:val="clear" w:color="auto" w:fill="auto"/>
            <w:noWrap/>
            <w:vAlign w:val="center"/>
            <w:hideMark/>
          </w:tcPr>
          <w:p w14:paraId="1A137D4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scaffold_6:4257330-4259091 (-)</w:t>
            </w:r>
          </w:p>
        </w:tc>
        <w:tc>
          <w:tcPr>
            <w:tcW w:w="2296" w:type="pct"/>
            <w:shd w:val="clear" w:color="auto" w:fill="auto"/>
            <w:vAlign w:val="center"/>
            <w:hideMark/>
          </w:tcPr>
          <w:p w14:paraId="78B9C85C"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GO:0003677 DNA binding. Any molecular function by which a gene product interacts selectively with DNA (deoxyribonucleic acid). GO:0003700 sequence-specific DNA binding transcription factor activity. Interacting selectively and non-covalently with a specific DNA sequence in order to modulate transcription. The transcription factor may or may not also interact selectively with a protein or macromolecular complex. GO:0006355 regulation of transcription, DNA-dependent. Any process that modulates the frequency, rate or extent of cellular DNA-dependent transcription.</w:t>
            </w:r>
          </w:p>
        </w:tc>
        <w:tc>
          <w:tcPr>
            <w:tcW w:w="1148" w:type="pct"/>
            <w:shd w:val="clear" w:color="auto" w:fill="auto"/>
            <w:noWrap/>
            <w:vAlign w:val="center"/>
            <w:hideMark/>
          </w:tcPr>
          <w:p w14:paraId="0A485AC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7E6BB792" w14:textId="77777777" w:rsidTr="0059058E">
        <w:trPr>
          <w:trHeight w:val="645"/>
        </w:trPr>
        <w:tc>
          <w:tcPr>
            <w:tcW w:w="528" w:type="pct"/>
            <w:shd w:val="clear" w:color="auto" w:fill="auto"/>
            <w:noWrap/>
            <w:vAlign w:val="center"/>
            <w:hideMark/>
          </w:tcPr>
          <w:p w14:paraId="691A7A9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166575</w:t>
            </w:r>
          </w:p>
        </w:tc>
        <w:tc>
          <w:tcPr>
            <w:tcW w:w="1029" w:type="pct"/>
            <w:shd w:val="clear" w:color="auto" w:fill="auto"/>
            <w:noWrap/>
            <w:vAlign w:val="center"/>
            <w:hideMark/>
          </w:tcPr>
          <w:p w14:paraId="37DDB9A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scaffold_7:2042679-2044011 (+)</w:t>
            </w:r>
          </w:p>
        </w:tc>
        <w:tc>
          <w:tcPr>
            <w:tcW w:w="2296" w:type="pct"/>
            <w:shd w:val="clear" w:color="auto" w:fill="auto"/>
            <w:vAlign w:val="center"/>
            <w:hideMark/>
          </w:tcPr>
          <w:p w14:paraId="50287B2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GO:0005515 protein binding. Interacting selectively and non-covalently with any protein or protein complex (a complex of two or more proteins that may include other non-protein molecules).</w:t>
            </w:r>
          </w:p>
        </w:tc>
        <w:tc>
          <w:tcPr>
            <w:tcW w:w="1148" w:type="pct"/>
            <w:shd w:val="clear" w:color="auto" w:fill="auto"/>
            <w:noWrap/>
            <w:vAlign w:val="center"/>
            <w:hideMark/>
          </w:tcPr>
          <w:p w14:paraId="3C0A9E6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4440FFED" w14:textId="77777777" w:rsidTr="0059058E">
        <w:trPr>
          <w:trHeight w:val="300"/>
        </w:trPr>
        <w:tc>
          <w:tcPr>
            <w:tcW w:w="528" w:type="pct"/>
            <w:shd w:val="clear" w:color="auto" w:fill="auto"/>
            <w:noWrap/>
            <w:vAlign w:val="center"/>
            <w:hideMark/>
          </w:tcPr>
          <w:p w14:paraId="056E5A4C"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77971</w:t>
            </w:r>
          </w:p>
        </w:tc>
        <w:tc>
          <w:tcPr>
            <w:tcW w:w="1029" w:type="pct"/>
            <w:shd w:val="clear" w:color="auto" w:fill="auto"/>
            <w:noWrap/>
            <w:vAlign w:val="center"/>
            <w:hideMark/>
          </w:tcPr>
          <w:p w14:paraId="758ACBA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scaffold_7:2049509-2051776 (-)</w:t>
            </w:r>
          </w:p>
        </w:tc>
        <w:tc>
          <w:tcPr>
            <w:tcW w:w="2296" w:type="pct"/>
            <w:shd w:val="clear" w:color="auto" w:fill="auto"/>
            <w:vAlign w:val="center"/>
            <w:hideMark/>
          </w:tcPr>
          <w:p w14:paraId="68B2DE4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3105BD6E"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42FD3042" w14:textId="77777777" w:rsidTr="0059058E">
        <w:trPr>
          <w:trHeight w:val="1410"/>
        </w:trPr>
        <w:tc>
          <w:tcPr>
            <w:tcW w:w="528" w:type="pct"/>
            <w:shd w:val="clear" w:color="auto" w:fill="auto"/>
            <w:noWrap/>
            <w:vAlign w:val="center"/>
            <w:hideMark/>
          </w:tcPr>
          <w:p w14:paraId="0CA6EE3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31107</w:t>
            </w:r>
          </w:p>
        </w:tc>
        <w:tc>
          <w:tcPr>
            <w:tcW w:w="1029" w:type="pct"/>
            <w:shd w:val="clear" w:color="auto" w:fill="auto"/>
            <w:noWrap/>
            <w:vAlign w:val="center"/>
            <w:hideMark/>
          </w:tcPr>
          <w:p w14:paraId="7B0D293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scaffold_7:2054261-2055433 (+)</w:t>
            </w:r>
          </w:p>
        </w:tc>
        <w:tc>
          <w:tcPr>
            <w:tcW w:w="2296" w:type="pct"/>
            <w:shd w:val="clear" w:color="auto" w:fill="auto"/>
            <w:vAlign w:val="center"/>
            <w:hideMark/>
          </w:tcPr>
          <w:p w14:paraId="42F210A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GO:0003824 catalytic activity. Catalysis of a biochemical reaction at physiological temperatures. In biologically </w:t>
            </w:r>
            <w:proofErr w:type="spellStart"/>
            <w:r w:rsidRPr="00321D39">
              <w:rPr>
                <w:rFonts w:ascii="Times New Roman" w:eastAsia="Times New Roman" w:hAnsi="Times New Roman" w:cs="Times New Roman"/>
                <w:color w:val="000000"/>
                <w:sz w:val="20"/>
                <w:szCs w:val="20"/>
                <w:lang w:eastAsia="en-GB"/>
              </w:rPr>
              <w:t>catalyzed</w:t>
            </w:r>
            <w:proofErr w:type="spellEnd"/>
            <w:r w:rsidRPr="00321D39">
              <w:rPr>
                <w:rFonts w:ascii="Times New Roman" w:eastAsia="Times New Roman" w:hAnsi="Times New Roman" w:cs="Times New Roman"/>
                <w:color w:val="000000"/>
                <w:sz w:val="20"/>
                <w:szCs w:val="20"/>
                <w:lang w:eastAsia="en-GB"/>
              </w:rPr>
              <w:t xml:space="preserve"> reactions, the reactants are known as substrates, and the catalysts are naturally occurring macromolecular substances known as enzymes. Enzymes possess specific binding sites for substrates, and are usually composed wholly or largely of protein, but RNA that has catalytic activity (ribozyme) is often also regarded as enzymatic.</w:t>
            </w:r>
          </w:p>
        </w:tc>
        <w:tc>
          <w:tcPr>
            <w:tcW w:w="1148" w:type="pct"/>
            <w:shd w:val="clear" w:color="auto" w:fill="auto"/>
            <w:noWrap/>
            <w:vAlign w:val="center"/>
            <w:hideMark/>
          </w:tcPr>
          <w:p w14:paraId="5B756DA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28F75B2B" w14:textId="77777777" w:rsidTr="0059058E">
        <w:trPr>
          <w:trHeight w:val="300"/>
        </w:trPr>
        <w:tc>
          <w:tcPr>
            <w:tcW w:w="528" w:type="pct"/>
            <w:shd w:val="clear" w:color="auto" w:fill="auto"/>
            <w:noWrap/>
            <w:vAlign w:val="center"/>
            <w:hideMark/>
          </w:tcPr>
          <w:p w14:paraId="0631267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204500</w:t>
            </w:r>
          </w:p>
        </w:tc>
        <w:tc>
          <w:tcPr>
            <w:tcW w:w="1029" w:type="pct"/>
            <w:shd w:val="clear" w:color="auto" w:fill="auto"/>
            <w:noWrap/>
            <w:vAlign w:val="center"/>
            <w:hideMark/>
          </w:tcPr>
          <w:p w14:paraId="269DC94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scaffold_7:2056817-2057682 (+)</w:t>
            </w:r>
          </w:p>
        </w:tc>
        <w:tc>
          <w:tcPr>
            <w:tcW w:w="2296" w:type="pct"/>
            <w:shd w:val="clear" w:color="auto" w:fill="auto"/>
            <w:vAlign w:val="center"/>
            <w:hideMark/>
          </w:tcPr>
          <w:p w14:paraId="0E3F49B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2CFAB4D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0AF244E2" w14:textId="77777777" w:rsidTr="0059058E">
        <w:trPr>
          <w:trHeight w:val="900"/>
        </w:trPr>
        <w:tc>
          <w:tcPr>
            <w:tcW w:w="528" w:type="pct"/>
            <w:shd w:val="clear" w:color="auto" w:fill="auto"/>
            <w:noWrap/>
            <w:vAlign w:val="center"/>
            <w:hideMark/>
          </w:tcPr>
          <w:p w14:paraId="34713EA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lastRenderedPageBreak/>
              <w:t>156006</w:t>
            </w:r>
          </w:p>
        </w:tc>
        <w:tc>
          <w:tcPr>
            <w:tcW w:w="1029" w:type="pct"/>
            <w:shd w:val="clear" w:color="auto" w:fill="auto"/>
            <w:noWrap/>
            <w:vAlign w:val="center"/>
            <w:hideMark/>
          </w:tcPr>
          <w:p w14:paraId="777DC28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scaffold_7:2058401-2059893 (-)</w:t>
            </w:r>
          </w:p>
        </w:tc>
        <w:tc>
          <w:tcPr>
            <w:tcW w:w="2296" w:type="pct"/>
            <w:shd w:val="clear" w:color="auto" w:fill="auto"/>
            <w:vAlign w:val="center"/>
            <w:hideMark/>
          </w:tcPr>
          <w:p w14:paraId="2E9C3C1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GO:0000166 nucleotide binding. Interacting selectively and non-covalently with a nucleotide, any compound consisting of a nucleoside that is esterified with (ortho)phosphate or an </w:t>
            </w:r>
            <w:proofErr w:type="spellStart"/>
            <w:r w:rsidRPr="00321D39">
              <w:rPr>
                <w:rFonts w:ascii="Times New Roman" w:eastAsia="Times New Roman" w:hAnsi="Times New Roman" w:cs="Times New Roman"/>
                <w:color w:val="000000"/>
                <w:sz w:val="20"/>
                <w:szCs w:val="20"/>
                <w:lang w:eastAsia="en-GB"/>
              </w:rPr>
              <w:t>oligophosphate</w:t>
            </w:r>
            <w:proofErr w:type="spellEnd"/>
            <w:r w:rsidRPr="00321D39">
              <w:rPr>
                <w:rFonts w:ascii="Times New Roman" w:eastAsia="Times New Roman" w:hAnsi="Times New Roman" w:cs="Times New Roman"/>
                <w:color w:val="000000"/>
                <w:sz w:val="20"/>
                <w:szCs w:val="20"/>
                <w:lang w:eastAsia="en-GB"/>
              </w:rPr>
              <w:t xml:space="preserve"> at any hydroxyl group on the ribose or deoxyribose moiety.</w:t>
            </w:r>
          </w:p>
        </w:tc>
        <w:tc>
          <w:tcPr>
            <w:tcW w:w="1148" w:type="pct"/>
            <w:shd w:val="clear" w:color="auto" w:fill="auto"/>
            <w:noWrap/>
            <w:vAlign w:val="center"/>
            <w:hideMark/>
          </w:tcPr>
          <w:p w14:paraId="3AB9F4D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175FBC3A" w14:textId="77777777" w:rsidTr="0059058E">
        <w:trPr>
          <w:trHeight w:val="600"/>
        </w:trPr>
        <w:tc>
          <w:tcPr>
            <w:tcW w:w="528" w:type="pct"/>
            <w:shd w:val="clear" w:color="auto" w:fill="auto"/>
            <w:noWrap/>
            <w:vAlign w:val="center"/>
            <w:hideMark/>
          </w:tcPr>
          <w:p w14:paraId="0B4939BE"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49849</w:t>
            </w:r>
          </w:p>
        </w:tc>
        <w:tc>
          <w:tcPr>
            <w:tcW w:w="1029" w:type="pct"/>
            <w:shd w:val="clear" w:color="auto" w:fill="auto"/>
            <w:noWrap/>
            <w:vAlign w:val="center"/>
            <w:hideMark/>
          </w:tcPr>
          <w:p w14:paraId="1338E4E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scaffold_7:2060248-2062273 (+)</w:t>
            </w:r>
          </w:p>
        </w:tc>
        <w:tc>
          <w:tcPr>
            <w:tcW w:w="2296" w:type="pct"/>
            <w:shd w:val="clear" w:color="auto" w:fill="auto"/>
            <w:vAlign w:val="center"/>
            <w:hideMark/>
          </w:tcPr>
          <w:p w14:paraId="08B1175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GO:0000015 </w:t>
            </w:r>
            <w:proofErr w:type="spellStart"/>
            <w:r w:rsidRPr="00321D39">
              <w:rPr>
                <w:rFonts w:ascii="Times New Roman" w:eastAsia="Times New Roman" w:hAnsi="Times New Roman" w:cs="Times New Roman"/>
                <w:color w:val="000000"/>
                <w:sz w:val="20"/>
                <w:szCs w:val="20"/>
                <w:lang w:eastAsia="en-GB"/>
              </w:rPr>
              <w:t>phosphopyruvate</w:t>
            </w:r>
            <w:proofErr w:type="spellEnd"/>
            <w:r w:rsidRPr="00321D39">
              <w:rPr>
                <w:rFonts w:ascii="Times New Roman" w:eastAsia="Times New Roman" w:hAnsi="Times New Roman" w:cs="Times New Roman"/>
                <w:color w:val="000000"/>
                <w:sz w:val="20"/>
                <w:szCs w:val="20"/>
                <w:lang w:eastAsia="en-GB"/>
              </w:rPr>
              <w:t xml:space="preserve"> hydratase complex. A multimeric enzyme complex, usually a dimer or an octamer, that </w:t>
            </w:r>
            <w:proofErr w:type="spellStart"/>
            <w:r w:rsidRPr="00321D39">
              <w:rPr>
                <w:rFonts w:ascii="Times New Roman" w:eastAsia="Times New Roman" w:hAnsi="Times New Roman" w:cs="Times New Roman"/>
                <w:color w:val="000000"/>
                <w:sz w:val="20"/>
                <w:szCs w:val="20"/>
                <w:lang w:eastAsia="en-GB"/>
              </w:rPr>
              <w:t>catalyzes</w:t>
            </w:r>
            <w:proofErr w:type="spellEnd"/>
            <w:r w:rsidRPr="00321D39">
              <w:rPr>
                <w:rFonts w:ascii="Times New Roman" w:eastAsia="Times New Roman" w:hAnsi="Times New Roman" w:cs="Times New Roman"/>
                <w:color w:val="000000"/>
                <w:sz w:val="20"/>
                <w:szCs w:val="20"/>
                <w:lang w:eastAsia="en-GB"/>
              </w:rPr>
              <w:t xml:space="preserve"> the conversion of 2-phospho-D-glycerate to phosphoenolpyruvate and water.</w:t>
            </w:r>
          </w:p>
        </w:tc>
        <w:tc>
          <w:tcPr>
            <w:tcW w:w="1148" w:type="pct"/>
            <w:shd w:val="clear" w:color="auto" w:fill="auto"/>
            <w:noWrap/>
            <w:vAlign w:val="center"/>
            <w:hideMark/>
          </w:tcPr>
          <w:p w14:paraId="0CD9B77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30EEBA92" w14:textId="77777777" w:rsidTr="0059058E">
        <w:trPr>
          <w:trHeight w:val="300"/>
        </w:trPr>
        <w:tc>
          <w:tcPr>
            <w:tcW w:w="528" w:type="pct"/>
            <w:shd w:val="clear" w:color="auto" w:fill="auto"/>
            <w:noWrap/>
            <w:vAlign w:val="center"/>
            <w:hideMark/>
          </w:tcPr>
          <w:p w14:paraId="4EC4C3CD"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208514</w:t>
            </w:r>
          </w:p>
        </w:tc>
        <w:tc>
          <w:tcPr>
            <w:tcW w:w="1029" w:type="pct"/>
            <w:shd w:val="clear" w:color="auto" w:fill="auto"/>
            <w:noWrap/>
            <w:vAlign w:val="center"/>
            <w:hideMark/>
          </w:tcPr>
          <w:p w14:paraId="6D987B4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scaffold_7:2044371-2048954 (-)</w:t>
            </w:r>
          </w:p>
        </w:tc>
        <w:tc>
          <w:tcPr>
            <w:tcW w:w="2296" w:type="pct"/>
            <w:shd w:val="clear" w:color="auto" w:fill="auto"/>
            <w:vAlign w:val="center"/>
            <w:hideMark/>
          </w:tcPr>
          <w:p w14:paraId="0DBED4B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GO:0008060 ARF GTPase activator activity. Increases the rate of GTP hydrolysis by the GTPase ARF.</w:t>
            </w:r>
          </w:p>
        </w:tc>
        <w:tc>
          <w:tcPr>
            <w:tcW w:w="1148" w:type="pct"/>
            <w:shd w:val="clear" w:color="auto" w:fill="auto"/>
            <w:noWrap/>
            <w:vAlign w:val="center"/>
            <w:hideMark/>
          </w:tcPr>
          <w:p w14:paraId="6CF29298"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1B131E44" w14:textId="77777777" w:rsidTr="0059058E">
        <w:trPr>
          <w:trHeight w:val="300"/>
        </w:trPr>
        <w:tc>
          <w:tcPr>
            <w:tcW w:w="528" w:type="pct"/>
            <w:shd w:val="clear" w:color="auto" w:fill="auto"/>
            <w:noWrap/>
            <w:vAlign w:val="center"/>
            <w:hideMark/>
          </w:tcPr>
          <w:p w14:paraId="5178358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77972</w:t>
            </w:r>
          </w:p>
        </w:tc>
        <w:tc>
          <w:tcPr>
            <w:tcW w:w="1029" w:type="pct"/>
            <w:shd w:val="clear" w:color="auto" w:fill="auto"/>
            <w:noWrap/>
            <w:vAlign w:val="center"/>
            <w:hideMark/>
          </w:tcPr>
          <w:p w14:paraId="0BA94DC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scaffold_7:2052410-2053032 (-)</w:t>
            </w:r>
          </w:p>
        </w:tc>
        <w:tc>
          <w:tcPr>
            <w:tcW w:w="2296" w:type="pct"/>
            <w:shd w:val="clear" w:color="auto" w:fill="auto"/>
            <w:vAlign w:val="center"/>
            <w:hideMark/>
          </w:tcPr>
          <w:p w14:paraId="7918F8A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4E07C4B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3F0B4236" w14:textId="77777777" w:rsidTr="0059058E">
        <w:trPr>
          <w:trHeight w:val="1200"/>
        </w:trPr>
        <w:tc>
          <w:tcPr>
            <w:tcW w:w="528" w:type="pct"/>
            <w:shd w:val="clear" w:color="auto" w:fill="auto"/>
            <w:noWrap/>
            <w:vAlign w:val="center"/>
            <w:hideMark/>
          </w:tcPr>
          <w:p w14:paraId="477CD27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31190</w:t>
            </w:r>
          </w:p>
        </w:tc>
        <w:tc>
          <w:tcPr>
            <w:tcW w:w="1029" w:type="pct"/>
            <w:shd w:val="clear" w:color="auto" w:fill="auto"/>
            <w:noWrap/>
            <w:vAlign w:val="center"/>
            <w:hideMark/>
          </w:tcPr>
          <w:p w14:paraId="1AA42A08"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scaffold_7:2055461-2056561 (-)</w:t>
            </w:r>
          </w:p>
        </w:tc>
        <w:tc>
          <w:tcPr>
            <w:tcW w:w="2296" w:type="pct"/>
            <w:shd w:val="clear" w:color="auto" w:fill="auto"/>
            <w:vAlign w:val="center"/>
            <w:hideMark/>
          </w:tcPr>
          <w:p w14:paraId="26ED2AD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GO:0003824 catalytic activity. Catalysis of a biochemical reaction at physiological temperatures. In biologically catalysed reactions, the reactants are known as substrates, and the catalysts are naturally occurring macromolecular substances known as enzymes. Enzymes possess specific binding sites for substrates, and are usually composed wholly or largely of protein, but RNA that has catalytic activity (ribozyme) is often also regarded as enzymatic.</w:t>
            </w:r>
          </w:p>
        </w:tc>
        <w:tc>
          <w:tcPr>
            <w:tcW w:w="1148" w:type="pct"/>
            <w:shd w:val="clear" w:color="auto" w:fill="auto"/>
            <w:noWrap/>
            <w:vAlign w:val="center"/>
            <w:hideMark/>
          </w:tcPr>
          <w:p w14:paraId="7391E50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5821B4A5" w14:textId="77777777" w:rsidTr="0059058E">
        <w:trPr>
          <w:trHeight w:val="300"/>
        </w:trPr>
        <w:tc>
          <w:tcPr>
            <w:tcW w:w="528" w:type="pct"/>
            <w:shd w:val="clear" w:color="auto" w:fill="auto"/>
            <w:noWrap/>
            <w:vAlign w:val="center"/>
            <w:hideMark/>
          </w:tcPr>
          <w:p w14:paraId="2DF7EC5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211997</w:t>
            </w:r>
          </w:p>
        </w:tc>
        <w:tc>
          <w:tcPr>
            <w:tcW w:w="1029" w:type="pct"/>
            <w:shd w:val="clear" w:color="auto" w:fill="auto"/>
            <w:noWrap/>
            <w:vAlign w:val="center"/>
            <w:hideMark/>
          </w:tcPr>
          <w:p w14:paraId="1B3337A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scaffold_7:2062352-2063340 (-)</w:t>
            </w:r>
          </w:p>
        </w:tc>
        <w:tc>
          <w:tcPr>
            <w:tcW w:w="2296" w:type="pct"/>
            <w:shd w:val="clear" w:color="auto" w:fill="auto"/>
            <w:vAlign w:val="center"/>
            <w:hideMark/>
          </w:tcPr>
          <w:p w14:paraId="16E9C36E"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20FAFF5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450E5A82" w14:textId="77777777" w:rsidTr="0059058E">
        <w:trPr>
          <w:trHeight w:val="300"/>
        </w:trPr>
        <w:tc>
          <w:tcPr>
            <w:tcW w:w="528" w:type="pct"/>
            <w:shd w:val="clear" w:color="auto" w:fill="auto"/>
            <w:noWrap/>
            <w:vAlign w:val="center"/>
            <w:hideMark/>
          </w:tcPr>
          <w:p w14:paraId="201BFF3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198503</w:t>
            </w:r>
          </w:p>
        </w:tc>
        <w:tc>
          <w:tcPr>
            <w:tcW w:w="1029" w:type="pct"/>
            <w:shd w:val="clear" w:color="auto" w:fill="auto"/>
            <w:noWrap/>
            <w:vAlign w:val="center"/>
            <w:hideMark/>
          </w:tcPr>
          <w:p w14:paraId="6D1A188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scaffold_7:2063728-2064756 (+)</w:t>
            </w:r>
          </w:p>
        </w:tc>
        <w:tc>
          <w:tcPr>
            <w:tcW w:w="2296" w:type="pct"/>
            <w:shd w:val="clear" w:color="auto" w:fill="auto"/>
            <w:vAlign w:val="center"/>
            <w:hideMark/>
          </w:tcPr>
          <w:p w14:paraId="1D2BB41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30A8569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587D2466" w14:textId="77777777" w:rsidTr="0059058E">
        <w:trPr>
          <w:trHeight w:val="600"/>
        </w:trPr>
        <w:tc>
          <w:tcPr>
            <w:tcW w:w="528" w:type="pct"/>
            <w:shd w:val="clear" w:color="auto" w:fill="auto"/>
            <w:noWrap/>
            <w:vAlign w:val="center"/>
            <w:hideMark/>
          </w:tcPr>
          <w:p w14:paraId="52B318E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31199</w:t>
            </w:r>
          </w:p>
        </w:tc>
        <w:tc>
          <w:tcPr>
            <w:tcW w:w="1029" w:type="pct"/>
            <w:shd w:val="clear" w:color="auto" w:fill="auto"/>
            <w:noWrap/>
            <w:vAlign w:val="center"/>
            <w:hideMark/>
          </w:tcPr>
          <w:p w14:paraId="3BCF0A1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scaffold_7:2082954-2084195 (-)</w:t>
            </w:r>
          </w:p>
        </w:tc>
        <w:tc>
          <w:tcPr>
            <w:tcW w:w="2296" w:type="pct"/>
            <w:shd w:val="clear" w:color="auto" w:fill="auto"/>
            <w:vAlign w:val="center"/>
            <w:hideMark/>
          </w:tcPr>
          <w:p w14:paraId="10C2183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GO:0006508 proteolysis. The chemical reactions and pathways resulting in the breakdown of a protein by the destruction of the native, active configuration, with the hydrolysis of peptide bonds.</w:t>
            </w:r>
          </w:p>
        </w:tc>
        <w:tc>
          <w:tcPr>
            <w:tcW w:w="1148" w:type="pct"/>
            <w:shd w:val="clear" w:color="auto" w:fill="auto"/>
            <w:noWrap/>
            <w:vAlign w:val="center"/>
            <w:hideMark/>
          </w:tcPr>
          <w:p w14:paraId="0127373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0E29E84D" w14:textId="77777777" w:rsidTr="0059058E">
        <w:trPr>
          <w:trHeight w:val="600"/>
        </w:trPr>
        <w:tc>
          <w:tcPr>
            <w:tcW w:w="528" w:type="pct"/>
            <w:shd w:val="clear" w:color="auto" w:fill="auto"/>
            <w:noWrap/>
            <w:vAlign w:val="center"/>
            <w:hideMark/>
          </w:tcPr>
          <w:p w14:paraId="53EA2F7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156013</w:t>
            </w:r>
          </w:p>
        </w:tc>
        <w:tc>
          <w:tcPr>
            <w:tcW w:w="1029" w:type="pct"/>
            <w:shd w:val="clear" w:color="auto" w:fill="auto"/>
            <w:noWrap/>
            <w:vAlign w:val="center"/>
            <w:hideMark/>
          </w:tcPr>
          <w:p w14:paraId="5A2C392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scaffold_7:2084798-2087077 (+)</w:t>
            </w:r>
          </w:p>
        </w:tc>
        <w:tc>
          <w:tcPr>
            <w:tcW w:w="2296" w:type="pct"/>
            <w:shd w:val="clear" w:color="auto" w:fill="auto"/>
            <w:vAlign w:val="center"/>
            <w:hideMark/>
          </w:tcPr>
          <w:p w14:paraId="6D9890B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GO:0004672 protein kinase activity. Catalysis of the phosphorylation of an amino acid residue in a protein, usually according to the reaction: a protein + ATP = a phosphoprotein + ADP.</w:t>
            </w:r>
          </w:p>
        </w:tc>
        <w:tc>
          <w:tcPr>
            <w:tcW w:w="1148" w:type="pct"/>
            <w:shd w:val="clear" w:color="auto" w:fill="auto"/>
            <w:noWrap/>
            <w:vAlign w:val="center"/>
            <w:hideMark/>
          </w:tcPr>
          <w:p w14:paraId="10F47B4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6D424E32" w14:textId="77777777" w:rsidTr="0059058E">
        <w:trPr>
          <w:trHeight w:val="300"/>
        </w:trPr>
        <w:tc>
          <w:tcPr>
            <w:tcW w:w="528" w:type="pct"/>
            <w:shd w:val="clear" w:color="auto" w:fill="auto"/>
            <w:noWrap/>
            <w:vAlign w:val="center"/>
            <w:hideMark/>
          </w:tcPr>
          <w:p w14:paraId="78C18A7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77984</w:t>
            </w:r>
          </w:p>
        </w:tc>
        <w:tc>
          <w:tcPr>
            <w:tcW w:w="1029" w:type="pct"/>
            <w:shd w:val="clear" w:color="auto" w:fill="auto"/>
            <w:noWrap/>
            <w:vAlign w:val="center"/>
            <w:hideMark/>
          </w:tcPr>
          <w:p w14:paraId="33E9F5C9"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scaffold_7:2088199-2089353 (-)</w:t>
            </w:r>
          </w:p>
        </w:tc>
        <w:tc>
          <w:tcPr>
            <w:tcW w:w="2296" w:type="pct"/>
            <w:shd w:val="clear" w:color="auto" w:fill="auto"/>
            <w:vAlign w:val="center"/>
            <w:hideMark/>
          </w:tcPr>
          <w:p w14:paraId="3186F1E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20FB8C4E"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2D389703" w14:textId="77777777" w:rsidTr="0059058E">
        <w:trPr>
          <w:trHeight w:val="300"/>
        </w:trPr>
        <w:tc>
          <w:tcPr>
            <w:tcW w:w="528" w:type="pct"/>
            <w:shd w:val="clear" w:color="auto" w:fill="auto"/>
            <w:noWrap/>
            <w:vAlign w:val="center"/>
            <w:hideMark/>
          </w:tcPr>
          <w:p w14:paraId="23BEC768"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211999</w:t>
            </w:r>
          </w:p>
        </w:tc>
        <w:tc>
          <w:tcPr>
            <w:tcW w:w="1029" w:type="pct"/>
            <w:shd w:val="clear" w:color="auto" w:fill="auto"/>
            <w:noWrap/>
            <w:vAlign w:val="center"/>
            <w:hideMark/>
          </w:tcPr>
          <w:p w14:paraId="68F4A25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scaffold_7:2096114-2096935 (-)</w:t>
            </w:r>
          </w:p>
        </w:tc>
        <w:tc>
          <w:tcPr>
            <w:tcW w:w="2296" w:type="pct"/>
            <w:shd w:val="clear" w:color="auto" w:fill="auto"/>
            <w:vAlign w:val="center"/>
            <w:hideMark/>
          </w:tcPr>
          <w:p w14:paraId="0C04E15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3245722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16AB47B5" w14:textId="77777777" w:rsidTr="0059058E">
        <w:trPr>
          <w:trHeight w:val="300"/>
        </w:trPr>
        <w:tc>
          <w:tcPr>
            <w:tcW w:w="528" w:type="pct"/>
            <w:shd w:val="clear" w:color="auto" w:fill="auto"/>
            <w:noWrap/>
            <w:vAlign w:val="center"/>
            <w:hideMark/>
          </w:tcPr>
          <w:p w14:paraId="6F060FF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63438</w:t>
            </w:r>
          </w:p>
        </w:tc>
        <w:tc>
          <w:tcPr>
            <w:tcW w:w="1029" w:type="pct"/>
            <w:shd w:val="clear" w:color="auto" w:fill="auto"/>
            <w:noWrap/>
            <w:vAlign w:val="center"/>
            <w:hideMark/>
          </w:tcPr>
          <w:p w14:paraId="569ED08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scaffold_7:2122388-2122960 (+)</w:t>
            </w:r>
          </w:p>
        </w:tc>
        <w:tc>
          <w:tcPr>
            <w:tcW w:w="2296" w:type="pct"/>
            <w:shd w:val="clear" w:color="auto" w:fill="auto"/>
            <w:vAlign w:val="center"/>
            <w:hideMark/>
          </w:tcPr>
          <w:p w14:paraId="25B23FE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4249721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76EEE599" w14:textId="77777777" w:rsidTr="0059058E">
        <w:trPr>
          <w:trHeight w:val="600"/>
        </w:trPr>
        <w:tc>
          <w:tcPr>
            <w:tcW w:w="528" w:type="pct"/>
            <w:shd w:val="clear" w:color="auto" w:fill="auto"/>
            <w:noWrap/>
            <w:vAlign w:val="center"/>
            <w:hideMark/>
          </w:tcPr>
          <w:p w14:paraId="43EAB2A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104048</w:t>
            </w:r>
          </w:p>
        </w:tc>
        <w:tc>
          <w:tcPr>
            <w:tcW w:w="1029" w:type="pct"/>
            <w:shd w:val="clear" w:color="auto" w:fill="auto"/>
            <w:noWrap/>
            <w:vAlign w:val="center"/>
            <w:hideMark/>
          </w:tcPr>
          <w:p w14:paraId="1DD5CBCD"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scaffold_7:2090006-2095772 (-)</w:t>
            </w:r>
          </w:p>
        </w:tc>
        <w:tc>
          <w:tcPr>
            <w:tcW w:w="2296" w:type="pct"/>
            <w:shd w:val="clear" w:color="auto" w:fill="auto"/>
            <w:vAlign w:val="center"/>
            <w:hideMark/>
          </w:tcPr>
          <w:p w14:paraId="2DF8445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GO:0005488 binding. The selective, non-covalent, often stoichiometric, interaction of a molecule with one or more specific sites on another molecule.</w:t>
            </w:r>
          </w:p>
        </w:tc>
        <w:tc>
          <w:tcPr>
            <w:tcW w:w="1148" w:type="pct"/>
            <w:shd w:val="clear" w:color="auto" w:fill="auto"/>
            <w:noWrap/>
            <w:vAlign w:val="center"/>
            <w:hideMark/>
          </w:tcPr>
          <w:p w14:paraId="2862F21C"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021AFD8E" w14:textId="77777777" w:rsidTr="0059058E">
        <w:trPr>
          <w:trHeight w:val="300"/>
        </w:trPr>
        <w:tc>
          <w:tcPr>
            <w:tcW w:w="528" w:type="pct"/>
            <w:shd w:val="clear" w:color="auto" w:fill="auto"/>
            <w:noWrap/>
            <w:vAlign w:val="center"/>
            <w:hideMark/>
          </w:tcPr>
          <w:p w14:paraId="45EB1F1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156019</w:t>
            </w:r>
          </w:p>
        </w:tc>
        <w:tc>
          <w:tcPr>
            <w:tcW w:w="1029" w:type="pct"/>
            <w:shd w:val="clear" w:color="auto" w:fill="auto"/>
            <w:noWrap/>
            <w:vAlign w:val="center"/>
            <w:hideMark/>
          </w:tcPr>
          <w:p w14:paraId="6814563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scaffold_7:2115877-2116567 (+)</w:t>
            </w:r>
          </w:p>
        </w:tc>
        <w:tc>
          <w:tcPr>
            <w:tcW w:w="2296" w:type="pct"/>
            <w:shd w:val="clear" w:color="auto" w:fill="auto"/>
            <w:vAlign w:val="center"/>
            <w:hideMark/>
          </w:tcPr>
          <w:p w14:paraId="6F3DA51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2AF4883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453A0BDC" w14:textId="77777777" w:rsidTr="0059058E">
        <w:trPr>
          <w:trHeight w:val="300"/>
        </w:trPr>
        <w:tc>
          <w:tcPr>
            <w:tcW w:w="528" w:type="pct"/>
            <w:shd w:val="clear" w:color="auto" w:fill="auto"/>
            <w:noWrap/>
            <w:vAlign w:val="center"/>
            <w:hideMark/>
          </w:tcPr>
          <w:p w14:paraId="607DD3F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212000</w:t>
            </w:r>
          </w:p>
        </w:tc>
        <w:tc>
          <w:tcPr>
            <w:tcW w:w="1029" w:type="pct"/>
            <w:shd w:val="clear" w:color="auto" w:fill="auto"/>
            <w:noWrap/>
            <w:vAlign w:val="center"/>
            <w:hideMark/>
          </w:tcPr>
          <w:p w14:paraId="5639074A"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scaffold_7:2117112-2119076 (+)</w:t>
            </w:r>
          </w:p>
        </w:tc>
        <w:tc>
          <w:tcPr>
            <w:tcW w:w="2296" w:type="pct"/>
            <w:shd w:val="clear" w:color="auto" w:fill="auto"/>
            <w:vAlign w:val="center"/>
            <w:hideMark/>
          </w:tcPr>
          <w:p w14:paraId="64D995F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0A5A4C9E"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59E3D5BE" w14:textId="77777777" w:rsidTr="0059058E">
        <w:trPr>
          <w:trHeight w:val="300"/>
        </w:trPr>
        <w:tc>
          <w:tcPr>
            <w:tcW w:w="528" w:type="pct"/>
            <w:shd w:val="clear" w:color="auto" w:fill="auto"/>
            <w:noWrap/>
            <w:vAlign w:val="center"/>
            <w:hideMark/>
          </w:tcPr>
          <w:p w14:paraId="5EE5D52E"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lastRenderedPageBreak/>
              <w:t>204508</w:t>
            </w:r>
          </w:p>
        </w:tc>
        <w:tc>
          <w:tcPr>
            <w:tcW w:w="1029" w:type="pct"/>
            <w:shd w:val="clear" w:color="auto" w:fill="auto"/>
            <w:noWrap/>
            <w:vAlign w:val="center"/>
            <w:hideMark/>
          </w:tcPr>
          <w:p w14:paraId="323032E2"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scaffold_7:2117112-2119587 (-)</w:t>
            </w:r>
          </w:p>
        </w:tc>
        <w:tc>
          <w:tcPr>
            <w:tcW w:w="2296" w:type="pct"/>
            <w:shd w:val="clear" w:color="auto" w:fill="auto"/>
            <w:vAlign w:val="center"/>
            <w:hideMark/>
          </w:tcPr>
          <w:p w14:paraId="7E1CD48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3312236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79F86EEB" w14:textId="77777777" w:rsidTr="0059058E">
        <w:trPr>
          <w:trHeight w:val="1500"/>
        </w:trPr>
        <w:tc>
          <w:tcPr>
            <w:tcW w:w="528" w:type="pct"/>
            <w:shd w:val="clear" w:color="auto" w:fill="auto"/>
            <w:noWrap/>
            <w:vAlign w:val="center"/>
            <w:hideMark/>
          </w:tcPr>
          <w:p w14:paraId="148BB8E3"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30715</w:t>
            </w:r>
          </w:p>
        </w:tc>
        <w:tc>
          <w:tcPr>
            <w:tcW w:w="1029" w:type="pct"/>
            <w:shd w:val="clear" w:color="auto" w:fill="auto"/>
            <w:noWrap/>
            <w:vAlign w:val="center"/>
            <w:hideMark/>
          </w:tcPr>
          <w:p w14:paraId="4F408E4B"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scaffold_7:2119919-2121685 (-)</w:t>
            </w:r>
          </w:p>
        </w:tc>
        <w:tc>
          <w:tcPr>
            <w:tcW w:w="2296" w:type="pct"/>
            <w:shd w:val="clear" w:color="auto" w:fill="auto"/>
            <w:vAlign w:val="center"/>
            <w:hideMark/>
          </w:tcPr>
          <w:p w14:paraId="7A9FA51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GO:0004497 monooxygenase activity. Catalysis of the incorporation of one atom from molecular oxygen into a compound and the reduction of the other atom of oxygen to water. GO:0005506 iron ion binding. Interacting selectively and non-covalently with iron (Fe) ions. GO:0006118 electron transport. OBSOLETE. The transport of electrons from an electron donor to an electron acceptor. GO:0020037 heme binding. Interacting selectively and non-covalently with heme, any compound of iron complexed in a porphyrin (tetrapyrrole) ring.</w:t>
            </w:r>
          </w:p>
        </w:tc>
        <w:tc>
          <w:tcPr>
            <w:tcW w:w="1148" w:type="pct"/>
            <w:shd w:val="clear" w:color="auto" w:fill="auto"/>
            <w:vAlign w:val="center"/>
            <w:hideMark/>
          </w:tcPr>
          <w:p w14:paraId="598C648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Lanosterol 14α-demethylase, catalyses the C-14 demethylation of lanosterol in the ergosterol biosynthesis pathway. Target for azole fungicides (Rafael Arango, 2008-11-10). Name: CYP51 (Rafael Arango, 2008-11-10)</w:t>
            </w:r>
          </w:p>
        </w:tc>
      </w:tr>
      <w:tr w:rsidR="00664218" w:rsidRPr="00321D39" w14:paraId="2FE4C6C0" w14:textId="77777777" w:rsidTr="0059058E">
        <w:trPr>
          <w:trHeight w:val="300"/>
        </w:trPr>
        <w:tc>
          <w:tcPr>
            <w:tcW w:w="528" w:type="pct"/>
            <w:shd w:val="clear" w:color="auto" w:fill="auto"/>
            <w:noWrap/>
            <w:vAlign w:val="center"/>
            <w:hideMark/>
          </w:tcPr>
          <w:p w14:paraId="4AC4273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63438</w:t>
            </w:r>
          </w:p>
        </w:tc>
        <w:tc>
          <w:tcPr>
            <w:tcW w:w="1029" w:type="pct"/>
            <w:shd w:val="clear" w:color="auto" w:fill="auto"/>
            <w:noWrap/>
            <w:vAlign w:val="center"/>
            <w:hideMark/>
          </w:tcPr>
          <w:p w14:paraId="6220DD3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scaffold_7:2122388-2122960 (+)</w:t>
            </w:r>
          </w:p>
        </w:tc>
        <w:tc>
          <w:tcPr>
            <w:tcW w:w="2296" w:type="pct"/>
            <w:shd w:val="clear" w:color="auto" w:fill="auto"/>
            <w:vAlign w:val="center"/>
            <w:hideMark/>
          </w:tcPr>
          <w:p w14:paraId="21D3735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47FC2A0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2ED4986C" w14:textId="77777777" w:rsidTr="0059058E">
        <w:trPr>
          <w:trHeight w:val="300"/>
        </w:trPr>
        <w:tc>
          <w:tcPr>
            <w:tcW w:w="528" w:type="pct"/>
            <w:shd w:val="clear" w:color="auto" w:fill="auto"/>
            <w:noWrap/>
            <w:vAlign w:val="center"/>
            <w:hideMark/>
          </w:tcPr>
          <w:p w14:paraId="76A991C8"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212002</w:t>
            </w:r>
          </w:p>
        </w:tc>
        <w:tc>
          <w:tcPr>
            <w:tcW w:w="1029" w:type="pct"/>
            <w:shd w:val="clear" w:color="auto" w:fill="auto"/>
            <w:noWrap/>
            <w:vAlign w:val="center"/>
            <w:hideMark/>
          </w:tcPr>
          <w:p w14:paraId="624AA449"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scaffold_7:2124095-2125034 (+)</w:t>
            </w:r>
          </w:p>
        </w:tc>
        <w:tc>
          <w:tcPr>
            <w:tcW w:w="2296" w:type="pct"/>
            <w:shd w:val="clear" w:color="auto" w:fill="auto"/>
            <w:vAlign w:val="center"/>
            <w:hideMark/>
          </w:tcPr>
          <w:p w14:paraId="648D5D75"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1E4742A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1EEB33E1" w14:textId="77777777" w:rsidTr="0059058E">
        <w:trPr>
          <w:trHeight w:val="1800"/>
        </w:trPr>
        <w:tc>
          <w:tcPr>
            <w:tcW w:w="528" w:type="pct"/>
            <w:shd w:val="clear" w:color="auto" w:fill="auto"/>
            <w:noWrap/>
            <w:vAlign w:val="center"/>
            <w:hideMark/>
          </w:tcPr>
          <w:p w14:paraId="2CE830F7"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86816</w:t>
            </w:r>
          </w:p>
        </w:tc>
        <w:tc>
          <w:tcPr>
            <w:tcW w:w="1029" w:type="pct"/>
            <w:shd w:val="clear" w:color="auto" w:fill="auto"/>
            <w:noWrap/>
            <w:vAlign w:val="center"/>
            <w:hideMark/>
          </w:tcPr>
          <w:p w14:paraId="62AB4361"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scaffold_7:2125667-2128069 (+)</w:t>
            </w:r>
          </w:p>
        </w:tc>
        <w:tc>
          <w:tcPr>
            <w:tcW w:w="2296" w:type="pct"/>
            <w:shd w:val="clear" w:color="auto" w:fill="auto"/>
            <w:vAlign w:val="center"/>
            <w:hideMark/>
          </w:tcPr>
          <w:p w14:paraId="5F44BD4C"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GO:0005215 transporter activity. Enables the directed movement of substances (such as macromolecules, small molecules, ions) into, out of or within a cell, or between cells. GO:0006810 transport. The directed movement of substances (such as macromolecules, small molecules, ions) into, out of or within a cell, or between cells, or within a multicellular organism by means of some agent such as a transporter or pore. GO:0016020 membrane. Double layer of lipid molecules that encloses all cells, and, in eukaryotes, many organelles; may be a single or double lipid bilayer; also includes associated proteins.</w:t>
            </w:r>
          </w:p>
        </w:tc>
        <w:tc>
          <w:tcPr>
            <w:tcW w:w="1148" w:type="pct"/>
            <w:shd w:val="clear" w:color="auto" w:fill="auto"/>
            <w:noWrap/>
            <w:vAlign w:val="center"/>
            <w:hideMark/>
          </w:tcPr>
          <w:p w14:paraId="6B1EFD60"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r w:rsidR="00664218" w:rsidRPr="00321D39" w14:paraId="39A1A8BE" w14:textId="77777777" w:rsidTr="0059058E">
        <w:trPr>
          <w:trHeight w:val="300"/>
        </w:trPr>
        <w:tc>
          <w:tcPr>
            <w:tcW w:w="528" w:type="pct"/>
            <w:shd w:val="clear" w:color="auto" w:fill="auto"/>
            <w:noWrap/>
            <w:vAlign w:val="center"/>
            <w:hideMark/>
          </w:tcPr>
          <w:p w14:paraId="4031F6B6"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77993</w:t>
            </w:r>
          </w:p>
        </w:tc>
        <w:tc>
          <w:tcPr>
            <w:tcW w:w="1029" w:type="pct"/>
            <w:shd w:val="clear" w:color="auto" w:fill="auto"/>
            <w:noWrap/>
            <w:vAlign w:val="center"/>
            <w:hideMark/>
          </w:tcPr>
          <w:p w14:paraId="57D271E4"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scaffold_7:2128129-2130717 (-)</w:t>
            </w:r>
          </w:p>
        </w:tc>
        <w:tc>
          <w:tcPr>
            <w:tcW w:w="2296" w:type="pct"/>
            <w:shd w:val="clear" w:color="auto" w:fill="auto"/>
            <w:vAlign w:val="center"/>
            <w:hideMark/>
          </w:tcPr>
          <w:p w14:paraId="3F68267F"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Putative protein</w:t>
            </w:r>
          </w:p>
        </w:tc>
        <w:tc>
          <w:tcPr>
            <w:tcW w:w="1148" w:type="pct"/>
            <w:shd w:val="clear" w:color="auto" w:fill="auto"/>
            <w:noWrap/>
            <w:vAlign w:val="center"/>
            <w:hideMark/>
          </w:tcPr>
          <w:p w14:paraId="1999BAD8" w14:textId="77777777" w:rsidR="00664218" w:rsidRPr="00321D39" w:rsidRDefault="00664218" w:rsidP="00321D39">
            <w:pPr>
              <w:spacing w:after="0" w:line="240" w:lineRule="auto"/>
              <w:jc w:val="both"/>
              <w:rPr>
                <w:rFonts w:ascii="Times New Roman" w:eastAsia="Times New Roman" w:hAnsi="Times New Roman" w:cs="Times New Roman"/>
                <w:color w:val="000000"/>
                <w:sz w:val="20"/>
                <w:szCs w:val="20"/>
                <w:lang w:eastAsia="en-GB"/>
              </w:rPr>
            </w:pPr>
            <w:r w:rsidRPr="00321D39">
              <w:rPr>
                <w:rFonts w:ascii="Times New Roman" w:eastAsia="Times New Roman" w:hAnsi="Times New Roman" w:cs="Times New Roman"/>
                <w:color w:val="000000"/>
                <w:sz w:val="20"/>
                <w:szCs w:val="20"/>
                <w:lang w:eastAsia="en-GB"/>
              </w:rPr>
              <w:t xml:space="preserve">No annotation yet </w:t>
            </w:r>
          </w:p>
        </w:tc>
      </w:tr>
    </w:tbl>
    <w:p w14:paraId="09F48C4F" w14:textId="77777777" w:rsidR="000870BE" w:rsidRDefault="00664218" w:rsidP="00664218">
      <w:pPr>
        <w:tabs>
          <w:tab w:val="left" w:pos="1386"/>
        </w:tabs>
      </w:pPr>
      <w:bookmarkStart w:id="0" w:name="_GoBack"/>
      <w:bookmarkEnd w:id="0"/>
      <w:r>
        <w:rPr>
          <w:rFonts w:ascii="Times New Roman" w:hAnsi="Times New Roman" w:cs="Times New Roman"/>
          <w:sz w:val="24"/>
          <w:szCs w:val="24"/>
          <w:lang w:val="en-US"/>
        </w:rPr>
        <w:tab/>
      </w:r>
    </w:p>
    <w:sectPr w:rsidR="000870BE" w:rsidSect="0066421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18"/>
    <w:rsid w:val="000870BE"/>
    <w:rsid w:val="00321D39"/>
    <w:rsid w:val="0059058E"/>
    <w:rsid w:val="00664218"/>
    <w:rsid w:val="00C608F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2E0E"/>
  <w15:chartTrackingRefBased/>
  <w15:docId w15:val="{0F81D2F0-EF9E-4B77-8D09-083A1EA7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218"/>
    <w:pPr>
      <w:spacing w:after="200" w:line="276" w:lineRule="auto"/>
    </w:pPr>
    <w:rPr>
      <w:rFonts w:ascii="Verdana" w:hAnsi="Verdana"/>
      <w:sz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6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Chong</dc:creator>
  <cp:keywords/>
  <dc:description/>
  <cp:lastModifiedBy>Pablo Chong</cp:lastModifiedBy>
  <cp:revision>4</cp:revision>
  <dcterms:created xsi:type="dcterms:W3CDTF">2019-10-03T16:25:00Z</dcterms:created>
  <dcterms:modified xsi:type="dcterms:W3CDTF">2019-10-05T14:38:00Z</dcterms:modified>
</cp:coreProperties>
</file>