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FB7" w:rsidRPr="00244D23" w:rsidRDefault="00244D23" w:rsidP="00994FB7">
      <w:pPr>
        <w:pStyle w:val="Bijschrift"/>
        <w:keepNext/>
        <w:spacing w:after="0" w:line="276" w:lineRule="auto"/>
        <w:jc w:val="both"/>
        <w:rPr>
          <w:bCs/>
          <w:i w:val="0"/>
          <w:iCs w:val="0"/>
          <w:color w:val="auto"/>
          <w:sz w:val="40"/>
          <w:szCs w:val="40"/>
        </w:rPr>
      </w:pPr>
      <w:bookmarkStart w:id="0" w:name="_Hlk13142230"/>
      <w:r w:rsidRPr="00244D23">
        <w:rPr>
          <w:bCs/>
          <w:i w:val="0"/>
          <w:iCs w:val="0"/>
          <w:color w:val="auto"/>
          <w:sz w:val="40"/>
          <w:szCs w:val="40"/>
        </w:rPr>
        <w:t>S2 Table</w:t>
      </w:r>
    </w:p>
    <w:p w:rsidR="00994FB7" w:rsidRPr="00994FB7" w:rsidRDefault="00994FB7" w:rsidP="00994FB7"/>
    <w:p w:rsidR="00994FB7" w:rsidRPr="0053447C" w:rsidRDefault="00994FB7" w:rsidP="00994FB7">
      <w:pPr>
        <w:pStyle w:val="Bijschrift"/>
        <w:keepNext/>
        <w:spacing w:after="0" w:line="276" w:lineRule="auto"/>
        <w:jc w:val="both"/>
        <w:rPr>
          <w:b/>
          <w:i w:val="0"/>
          <w:iCs w:val="0"/>
        </w:rPr>
      </w:pPr>
      <w:r w:rsidRPr="0053447C">
        <w:rPr>
          <w:b/>
          <w:i w:val="0"/>
          <w:iCs w:val="0"/>
        </w:rPr>
        <w:t>Event rates for apixaban and VKA and dabigatran 110 mg, dabigatran 150 mg, rivaroxaban, and edoxaban and distributions of patients across different levels of ischaemic and haemorrhagic stroke severity.</w:t>
      </w:r>
    </w:p>
    <w:bookmarkEnd w:id="0"/>
    <w:tbl>
      <w:tblPr>
        <w:tblStyle w:val="TableGridLight1"/>
        <w:tblW w:w="5472" w:type="pct"/>
        <w:tblLayout w:type="fixed"/>
        <w:tblLook w:val="04A0" w:firstRow="1" w:lastRow="0" w:firstColumn="1" w:lastColumn="0" w:noHBand="0" w:noVBand="1"/>
      </w:tblPr>
      <w:tblGrid>
        <w:gridCol w:w="1260"/>
        <w:gridCol w:w="1278"/>
        <w:gridCol w:w="1285"/>
        <w:gridCol w:w="1269"/>
        <w:gridCol w:w="1277"/>
        <w:gridCol w:w="1277"/>
        <w:gridCol w:w="1281"/>
        <w:gridCol w:w="990"/>
      </w:tblGrid>
      <w:tr w:rsidR="00994FB7" w:rsidRPr="00733BA4" w:rsidTr="005B5147">
        <w:tc>
          <w:tcPr>
            <w:tcW w:w="635" w:type="pct"/>
          </w:tcPr>
          <w:p w:rsidR="00994FB7" w:rsidRPr="00733BA4" w:rsidRDefault="00994FB7" w:rsidP="005B5147">
            <w:pPr>
              <w:spacing w:line="276" w:lineRule="auto"/>
              <w:rPr>
                <w:b/>
                <w:sz w:val="16"/>
              </w:rPr>
            </w:pPr>
          </w:p>
        </w:tc>
        <w:tc>
          <w:tcPr>
            <w:tcW w:w="1292" w:type="pct"/>
            <w:gridSpan w:val="2"/>
          </w:tcPr>
          <w:p w:rsidR="00994FB7" w:rsidRPr="00733BA4" w:rsidRDefault="00994FB7" w:rsidP="005B5147">
            <w:pPr>
              <w:spacing w:line="276" w:lineRule="auto"/>
              <w:jc w:val="center"/>
              <w:rPr>
                <w:b/>
                <w:sz w:val="16"/>
              </w:rPr>
            </w:pPr>
            <w:r w:rsidRPr="00733BA4">
              <w:rPr>
                <w:b/>
                <w:sz w:val="16"/>
              </w:rPr>
              <w:t>Event rate per 100 PY</w:t>
            </w:r>
          </w:p>
        </w:tc>
        <w:tc>
          <w:tcPr>
            <w:tcW w:w="2573" w:type="pct"/>
            <w:gridSpan w:val="4"/>
          </w:tcPr>
          <w:p w:rsidR="00994FB7" w:rsidRPr="00733BA4" w:rsidRDefault="00994FB7" w:rsidP="005B5147">
            <w:pPr>
              <w:spacing w:line="276" w:lineRule="auto"/>
              <w:jc w:val="center"/>
              <w:rPr>
                <w:b/>
                <w:sz w:val="16"/>
              </w:rPr>
            </w:pPr>
            <w:r w:rsidRPr="00733BA4">
              <w:rPr>
                <w:b/>
                <w:sz w:val="16"/>
              </w:rPr>
              <w:t>HR other NOAC vs apixaban (95% CI)</w:t>
            </w:r>
          </w:p>
        </w:tc>
        <w:tc>
          <w:tcPr>
            <w:tcW w:w="499" w:type="pct"/>
          </w:tcPr>
          <w:p w:rsidR="00994FB7" w:rsidRPr="00733BA4" w:rsidRDefault="00994FB7" w:rsidP="005B5147">
            <w:pPr>
              <w:spacing w:line="276" w:lineRule="auto"/>
              <w:jc w:val="center"/>
              <w:rPr>
                <w:b/>
                <w:sz w:val="16"/>
              </w:rPr>
            </w:pPr>
            <w:r w:rsidRPr="00733BA4">
              <w:rPr>
                <w:b/>
                <w:sz w:val="16"/>
              </w:rPr>
              <w:t>Source</w:t>
            </w:r>
          </w:p>
        </w:tc>
      </w:tr>
      <w:tr w:rsidR="00994FB7" w:rsidRPr="00733BA4" w:rsidTr="005B5147">
        <w:tc>
          <w:tcPr>
            <w:tcW w:w="635" w:type="pct"/>
          </w:tcPr>
          <w:p w:rsidR="00994FB7" w:rsidRPr="00733BA4" w:rsidRDefault="00994FB7" w:rsidP="005B5147">
            <w:pPr>
              <w:spacing w:line="276" w:lineRule="auto"/>
              <w:rPr>
                <w:sz w:val="16"/>
              </w:rPr>
            </w:pPr>
          </w:p>
        </w:tc>
        <w:tc>
          <w:tcPr>
            <w:tcW w:w="644" w:type="pct"/>
          </w:tcPr>
          <w:p w:rsidR="00994FB7" w:rsidRPr="00733BA4" w:rsidRDefault="00994FB7" w:rsidP="005B5147">
            <w:pPr>
              <w:spacing w:line="276" w:lineRule="auto"/>
              <w:jc w:val="center"/>
              <w:rPr>
                <w:b/>
                <w:sz w:val="16"/>
              </w:rPr>
            </w:pPr>
            <w:r w:rsidRPr="00733BA4">
              <w:rPr>
                <w:b/>
                <w:sz w:val="16"/>
              </w:rPr>
              <w:t>Apixaban</w:t>
            </w:r>
          </w:p>
        </w:tc>
        <w:tc>
          <w:tcPr>
            <w:tcW w:w="648" w:type="pct"/>
          </w:tcPr>
          <w:p w:rsidR="00994FB7" w:rsidRPr="00733BA4" w:rsidRDefault="00994FB7" w:rsidP="005B5147">
            <w:pPr>
              <w:spacing w:line="276" w:lineRule="auto"/>
              <w:jc w:val="center"/>
              <w:rPr>
                <w:b/>
                <w:sz w:val="16"/>
              </w:rPr>
            </w:pPr>
            <w:r w:rsidRPr="00733BA4">
              <w:rPr>
                <w:b/>
                <w:sz w:val="16"/>
              </w:rPr>
              <w:t>VKA</w:t>
            </w:r>
          </w:p>
        </w:tc>
        <w:tc>
          <w:tcPr>
            <w:tcW w:w="640" w:type="pct"/>
          </w:tcPr>
          <w:p w:rsidR="00994FB7" w:rsidRPr="00733BA4" w:rsidRDefault="00994FB7" w:rsidP="005B5147">
            <w:pPr>
              <w:spacing w:line="276" w:lineRule="auto"/>
              <w:jc w:val="center"/>
              <w:rPr>
                <w:b/>
                <w:sz w:val="16"/>
              </w:rPr>
            </w:pPr>
            <w:r w:rsidRPr="00733BA4">
              <w:rPr>
                <w:b/>
                <w:sz w:val="16"/>
              </w:rPr>
              <w:t>Dabigatran (110 mg)</w:t>
            </w:r>
          </w:p>
        </w:tc>
        <w:tc>
          <w:tcPr>
            <w:tcW w:w="644" w:type="pct"/>
          </w:tcPr>
          <w:p w:rsidR="00994FB7" w:rsidRPr="00733BA4" w:rsidRDefault="00994FB7" w:rsidP="005B5147">
            <w:pPr>
              <w:spacing w:line="276" w:lineRule="auto"/>
              <w:jc w:val="center"/>
              <w:rPr>
                <w:b/>
                <w:sz w:val="16"/>
              </w:rPr>
            </w:pPr>
            <w:r w:rsidRPr="00733BA4">
              <w:rPr>
                <w:b/>
                <w:sz w:val="16"/>
              </w:rPr>
              <w:t>Dabigatran (150 mg)</w:t>
            </w:r>
          </w:p>
        </w:tc>
        <w:tc>
          <w:tcPr>
            <w:tcW w:w="644" w:type="pct"/>
          </w:tcPr>
          <w:p w:rsidR="00994FB7" w:rsidRPr="00733BA4" w:rsidRDefault="00994FB7" w:rsidP="005B5147">
            <w:pPr>
              <w:spacing w:line="276" w:lineRule="auto"/>
              <w:jc w:val="center"/>
              <w:rPr>
                <w:b/>
                <w:sz w:val="16"/>
              </w:rPr>
            </w:pPr>
            <w:r w:rsidRPr="00733BA4">
              <w:rPr>
                <w:b/>
                <w:sz w:val="16"/>
              </w:rPr>
              <w:t>Rivaroxaban</w:t>
            </w:r>
          </w:p>
        </w:tc>
        <w:tc>
          <w:tcPr>
            <w:tcW w:w="646" w:type="pct"/>
          </w:tcPr>
          <w:p w:rsidR="00994FB7" w:rsidRPr="00733BA4" w:rsidRDefault="00994FB7" w:rsidP="005B5147">
            <w:pPr>
              <w:spacing w:line="276" w:lineRule="auto"/>
              <w:jc w:val="center"/>
              <w:rPr>
                <w:b/>
                <w:sz w:val="16"/>
              </w:rPr>
            </w:pPr>
            <w:r w:rsidRPr="00733BA4">
              <w:rPr>
                <w:b/>
                <w:sz w:val="16"/>
              </w:rPr>
              <w:t xml:space="preserve">Edoxaban </w:t>
            </w:r>
          </w:p>
        </w:tc>
        <w:tc>
          <w:tcPr>
            <w:tcW w:w="499" w:type="pct"/>
          </w:tcPr>
          <w:p w:rsidR="00994FB7" w:rsidRPr="00733BA4" w:rsidRDefault="00994FB7" w:rsidP="005B5147">
            <w:pPr>
              <w:spacing w:line="276" w:lineRule="auto"/>
              <w:rPr>
                <w:b/>
                <w:sz w:val="16"/>
              </w:rPr>
            </w:pPr>
          </w:p>
        </w:tc>
      </w:tr>
      <w:tr w:rsidR="00994FB7" w:rsidRPr="00733BA4" w:rsidTr="005B5147">
        <w:tc>
          <w:tcPr>
            <w:tcW w:w="635" w:type="pct"/>
          </w:tcPr>
          <w:p w:rsidR="00994FB7" w:rsidRPr="00733BA4" w:rsidRDefault="00994FB7" w:rsidP="005B5147">
            <w:pPr>
              <w:spacing w:line="276" w:lineRule="auto"/>
              <w:rPr>
                <w:sz w:val="16"/>
                <w:vertAlign w:val="superscript"/>
              </w:rPr>
            </w:pPr>
            <w:r>
              <w:rPr>
                <w:sz w:val="16"/>
              </w:rPr>
              <w:t>Ischaemic stroke</w:t>
            </w:r>
            <w:r w:rsidRPr="00733BA4">
              <w:rPr>
                <w:sz w:val="16"/>
              </w:rPr>
              <w:t xml:space="preserve"> </w:t>
            </w:r>
            <w:r w:rsidRPr="00733BA4">
              <w:rPr>
                <w:sz w:val="16"/>
                <w:vertAlign w:val="superscript"/>
              </w:rPr>
              <w:t>a</w:t>
            </w:r>
          </w:p>
        </w:tc>
        <w:tc>
          <w:tcPr>
            <w:tcW w:w="644" w:type="pct"/>
            <w:vAlign w:val="center"/>
          </w:tcPr>
          <w:p w:rsidR="00994FB7" w:rsidRPr="00733BA4" w:rsidRDefault="00994FB7" w:rsidP="005B5147">
            <w:pPr>
              <w:spacing w:line="276" w:lineRule="auto"/>
              <w:jc w:val="center"/>
              <w:rPr>
                <w:sz w:val="16"/>
              </w:rPr>
            </w:pPr>
          </w:p>
        </w:tc>
        <w:tc>
          <w:tcPr>
            <w:tcW w:w="648" w:type="pct"/>
            <w:vAlign w:val="center"/>
          </w:tcPr>
          <w:p w:rsidR="00994FB7" w:rsidRPr="00733BA4" w:rsidRDefault="00994FB7" w:rsidP="005B5147">
            <w:pPr>
              <w:spacing w:line="276" w:lineRule="auto"/>
              <w:jc w:val="center"/>
              <w:rPr>
                <w:sz w:val="16"/>
              </w:rPr>
            </w:pPr>
          </w:p>
        </w:tc>
        <w:tc>
          <w:tcPr>
            <w:tcW w:w="640" w:type="pct"/>
            <w:vAlign w:val="center"/>
          </w:tcPr>
          <w:p w:rsidR="00994FB7" w:rsidRPr="00733BA4" w:rsidRDefault="00994FB7" w:rsidP="005B5147">
            <w:pPr>
              <w:spacing w:line="276" w:lineRule="auto"/>
              <w:jc w:val="center"/>
              <w:rPr>
                <w:sz w:val="16"/>
              </w:rPr>
            </w:pPr>
          </w:p>
        </w:tc>
        <w:tc>
          <w:tcPr>
            <w:tcW w:w="644" w:type="pct"/>
            <w:vAlign w:val="center"/>
          </w:tcPr>
          <w:p w:rsidR="00994FB7" w:rsidRPr="00733BA4" w:rsidRDefault="00994FB7" w:rsidP="005B5147">
            <w:pPr>
              <w:spacing w:line="276" w:lineRule="auto"/>
              <w:jc w:val="center"/>
              <w:rPr>
                <w:sz w:val="16"/>
              </w:rPr>
            </w:pPr>
          </w:p>
        </w:tc>
        <w:tc>
          <w:tcPr>
            <w:tcW w:w="644" w:type="pct"/>
            <w:vAlign w:val="center"/>
          </w:tcPr>
          <w:p w:rsidR="00994FB7" w:rsidRPr="00733BA4" w:rsidRDefault="00994FB7" w:rsidP="005B5147">
            <w:pPr>
              <w:spacing w:line="276" w:lineRule="auto"/>
              <w:jc w:val="center"/>
              <w:rPr>
                <w:sz w:val="16"/>
              </w:rPr>
            </w:pPr>
          </w:p>
        </w:tc>
        <w:tc>
          <w:tcPr>
            <w:tcW w:w="646" w:type="pct"/>
            <w:vAlign w:val="center"/>
          </w:tcPr>
          <w:p w:rsidR="00994FB7" w:rsidRPr="00733BA4" w:rsidRDefault="00994FB7" w:rsidP="005B5147">
            <w:pPr>
              <w:spacing w:line="276" w:lineRule="auto"/>
              <w:jc w:val="center"/>
              <w:rPr>
                <w:sz w:val="16"/>
              </w:rPr>
            </w:pPr>
          </w:p>
        </w:tc>
        <w:tc>
          <w:tcPr>
            <w:tcW w:w="499" w:type="pct"/>
            <w:vAlign w:val="center"/>
          </w:tcPr>
          <w:p w:rsidR="00994FB7" w:rsidRPr="00733BA4" w:rsidRDefault="00994FB7" w:rsidP="005B5147">
            <w:pPr>
              <w:spacing w:line="276" w:lineRule="auto"/>
              <w:jc w:val="center"/>
              <w:rPr>
                <w:sz w:val="16"/>
              </w:rPr>
            </w:pP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CHADS</w:t>
            </w:r>
            <w:r w:rsidRPr="00733BA4">
              <w:rPr>
                <w:sz w:val="16"/>
                <w:vertAlign w:val="subscript"/>
              </w:rPr>
              <w:t>2</w:t>
            </w:r>
            <w:r w:rsidRPr="00733BA4">
              <w:rPr>
                <w:sz w:val="16"/>
              </w:rPr>
              <w:t xml:space="preserve"> 0-1</w:t>
            </w:r>
          </w:p>
        </w:tc>
        <w:tc>
          <w:tcPr>
            <w:tcW w:w="644" w:type="pct"/>
            <w:vAlign w:val="center"/>
          </w:tcPr>
          <w:p w:rsidR="00994FB7" w:rsidRPr="00733BA4" w:rsidRDefault="00994FB7" w:rsidP="005B5147">
            <w:pPr>
              <w:spacing w:line="276" w:lineRule="auto"/>
              <w:jc w:val="center"/>
              <w:rPr>
                <w:sz w:val="16"/>
              </w:rPr>
            </w:pPr>
            <w:r w:rsidRPr="00733BA4">
              <w:rPr>
                <w:sz w:val="16"/>
              </w:rPr>
              <w:t>0.521 (0.355-0.718)</w:t>
            </w:r>
          </w:p>
        </w:tc>
        <w:tc>
          <w:tcPr>
            <w:tcW w:w="648" w:type="pct"/>
            <w:vAlign w:val="center"/>
          </w:tcPr>
          <w:p w:rsidR="00994FB7" w:rsidRPr="00733BA4" w:rsidRDefault="00994FB7" w:rsidP="005B5147">
            <w:pPr>
              <w:spacing w:line="276" w:lineRule="auto"/>
              <w:jc w:val="center"/>
              <w:rPr>
                <w:sz w:val="16"/>
              </w:rPr>
            </w:pPr>
            <w:r w:rsidRPr="00733BA4">
              <w:rPr>
                <w:sz w:val="16"/>
              </w:rPr>
              <w:t>0.458 (0.434-0.686)</w:t>
            </w:r>
          </w:p>
        </w:tc>
        <w:tc>
          <w:tcPr>
            <w:tcW w:w="640" w:type="pct"/>
            <w:vMerge w:val="restart"/>
            <w:vAlign w:val="center"/>
          </w:tcPr>
          <w:p w:rsidR="00994FB7" w:rsidRPr="00733BA4" w:rsidRDefault="00994FB7" w:rsidP="005B5147">
            <w:pPr>
              <w:spacing w:line="276" w:lineRule="auto"/>
              <w:jc w:val="center"/>
              <w:rPr>
                <w:sz w:val="16"/>
              </w:rPr>
            </w:pPr>
            <w:r w:rsidRPr="00733BA4">
              <w:rPr>
                <w:sz w:val="16"/>
              </w:rPr>
              <w:t>1.170 (0.850-1.620)</w:t>
            </w:r>
          </w:p>
        </w:tc>
        <w:tc>
          <w:tcPr>
            <w:tcW w:w="644" w:type="pct"/>
            <w:vMerge w:val="restart"/>
            <w:vAlign w:val="center"/>
          </w:tcPr>
          <w:p w:rsidR="00994FB7" w:rsidRPr="00733BA4" w:rsidRDefault="00994FB7" w:rsidP="005B5147">
            <w:pPr>
              <w:spacing w:line="276" w:lineRule="auto"/>
              <w:jc w:val="center"/>
              <w:rPr>
                <w:sz w:val="16"/>
              </w:rPr>
            </w:pPr>
            <w:r w:rsidRPr="00733BA4">
              <w:rPr>
                <w:sz w:val="16"/>
              </w:rPr>
              <w:t>0.790 (0.560-1.100)</w:t>
            </w:r>
          </w:p>
        </w:tc>
        <w:tc>
          <w:tcPr>
            <w:tcW w:w="644" w:type="pct"/>
            <w:vMerge w:val="restart"/>
            <w:vAlign w:val="center"/>
          </w:tcPr>
          <w:p w:rsidR="00994FB7" w:rsidRPr="00733BA4" w:rsidRDefault="00994FB7" w:rsidP="005B5147">
            <w:pPr>
              <w:spacing w:line="276" w:lineRule="auto"/>
              <w:jc w:val="center"/>
              <w:rPr>
                <w:sz w:val="16"/>
              </w:rPr>
            </w:pPr>
            <w:r w:rsidRPr="00733BA4">
              <w:rPr>
                <w:sz w:val="16"/>
              </w:rPr>
              <w:t>1.030 (0.770-1.380)</w:t>
            </w:r>
          </w:p>
        </w:tc>
        <w:tc>
          <w:tcPr>
            <w:tcW w:w="646" w:type="pct"/>
            <w:vMerge w:val="restart"/>
            <w:vAlign w:val="center"/>
          </w:tcPr>
          <w:p w:rsidR="00994FB7" w:rsidRPr="00733BA4" w:rsidRDefault="00994FB7" w:rsidP="005B5147">
            <w:pPr>
              <w:spacing w:line="276" w:lineRule="auto"/>
              <w:jc w:val="center"/>
              <w:rPr>
                <w:sz w:val="16"/>
              </w:rPr>
            </w:pPr>
            <w:r w:rsidRPr="00733BA4">
              <w:rPr>
                <w:sz w:val="16"/>
              </w:rPr>
              <w:t>1.040 (0.780-1.390)</w:t>
            </w:r>
          </w:p>
        </w:tc>
        <w:tc>
          <w:tcPr>
            <w:tcW w:w="499" w:type="pct"/>
            <w:vMerge w:val="restar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CHADS</w:t>
            </w:r>
            <w:r w:rsidRPr="00733BA4">
              <w:rPr>
                <w:sz w:val="16"/>
                <w:vertAlign w:val="subscript"/>
              </w:rPr>
              <w:t>2</w:t>
            </w:r>
            <w:r w:rsidRPr="00733BA4">
              <w:rPr>
                <w:sz w:val="16"/>
              </w:rPr>
              <w:t xml:space="preserve"> 2</w:t>
            </w:r>
          </w:p>
        </w:tc>
        <w:tc>
          <w:tcPr>
            <w:tcW w:w="644" w:type="pct"/>
            <w:vAlign w:val="center"/>
          </w:tcPr>
          <w:p w:rsidR="00994FB7" w:rsidRPr="00733BA4" w:rsidRDefault="00994FB7" w:rsidP="005B5147">
            <w:pPr>
              <w:spacing w:line="276" w:lineRule="auto"/>
              <w:jc w:val="center"/>
              <w:rPr>
                <w:sz w:val="16"/>
              </w:rPr>
            </w:pPr>
            <w:r w:rsidRPr="00733BA4">
              <w:rPr>
                <w:sz w:val="16"/>
              </w:rPr>
              <w:t>0.950 (0.719-1.212)</w:t>
            </w:r>
          </w:p>
        </w:tc>
        <w:tc>
          <w:tcPr>
            <w:tcW w:w="648" w:type="pct"/>
            <w:vAlign w:val="center"/>
          </w:tcPr>
          <w:p w:rsidR="00994FB7" w:rsidRPr="00733BA4" w:rsidRDefault="00994FB7" w:rsidP="005B5147">
            <w:pPr>
              <w:spacing w:line="276" w:lineRule="auto"/>
              <w:jc w:val="center"/>
              <w:rPr>
                <w:sz w:val="16"/>
              </w:rPr>
            </w:pPr>
            <w:r w:rsidRPr="00733BA4">
              <w:rPr>
                <w:sz w:val="16"/>
              </w:rPr>
              <w:t>0.950 (0.791-1.250)</w:t>
            </w:r>
          </w:p>
        </w:tc>
        <w:tc>
          <w:tcPr>
            <w:tcW w:w="640" w:type="pct"/>
            <w:vMerge/>
            <w:vAlign w:val="center"/>
          </w:tcPr>
          <w:p w:rsidR="00994FB7" w:rsidRPr="00733BA4" w:rsidRDefault="00994FB7" w:rsidP="005B5147">
            <w:pPr>
              <w:spacing w:line="276" w:lineRule="auto"/>
              <w:jc w:val="center"/>
              <w:rPr>
                <w:sz w:val="16"/>
              </w:rPr>
            </w:pPr>
          </w:p>
        </w:tc>
        <w:tc>
          <w:tcPr>
            <w:tcW w:w="644" w:type="pct"/>
            <w:vMerge/>
            <w:vAlign w:val="center"/>
          </w:tcPr>
          <w:p w:rsidR="00994FB7" w:rsidRPr="00733BA4" w:rsidRDefault="00994FB7" w:rsidP="005B5147">
            <w:pPr>
              <w:spacing w:line="276" w:lineRule="auto"/>
              <w:jc w:val="center"/>
              <w:rPr>
                <w:sz w:val="16"/>
              </w:rPr>
            </w:pPr>
          </w:p>
        </w:tc>
        <w:tc>
          <w:tcPr>
            <w:tcW w:w="644" w:type="pct"/>
            <w:vMerge/>
            <w:vAlign w:val="center"/>
          </w:tcPr>
          <w:p w:rsidR="00994FB7" w:rsidRPr="00733BA4" w:rsidRDefault="00994FB7" w:rsidP="005B5147">
            <w:pPr>
              <w:spacing w:line="276" w:lineRule="auto"/>
              <w:jc w:val="center"/>
              <w:rPr>
                <w:sz w:val="16"/>
              </w:rPr>
            </w:pPr>
          </w:p>
        </w:tc>
        <w:tc>
          <w:tcPr>
            <w:tcW w:w="646" w:type="pct"/>
            <w:vMerge/>
            <w:vAlign w:val="center"/>
          </w:tcPr>
          <w:p w:rsidR="00994FB7" w:rsidRPr="00733BA4" w:rsidRDefault="00994FB7" w:rsidP="005B5147">
            <w:pPr>
              <w:spacing w:line="276" w:lineRule="auto"/>
              <w:jc w:val="center"/>
              <w:rPr>
                <w:sz w:val="16"/>
              </w:rPr>
            </w:pPr>
          </w:p>
        </w:tc>
        <w:tc>
          <w:tcPr>
            <w:tcW w:w="499" w:type="pct"/>
            <w:vMerge/>
            <w:vAlign w:val="center"/>
          </w:tcPr>
          <w:p w:rsidR="00994FB7" w:rsidRPr="00733BA4" w:rsidRDefault="00994FB7" w:rsidP="005B5147">
            <w:pPr>
              <w:spacing w:line="276" w:lineRule="auto"/>
              <w:jc w:val="center"/>
              <w:rPr>
                <w:sz w:val="16"/>
              </w:rPr>
            </w:pP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CHADS</w:t>
            </w:r>
            <w:r w:rsidRPr="00733BA4">
              <w:rPr>
                <w:sz w:val="16"/>
                <w:vertAlign w:val="subscript"/>
              </w:rPr>
              <w:t>2</w:t>
            </w:r>
            <w:r w:rsidRPr="00733BA4">
              <w:rPr>
                <w:sz w:val="16"/>
              </w:rPr>
              <w:t xml:space="preserve"> </w:t>
            </w:r>
            <w:r w:rsidRPr="00733BA4">
              <w:rPr>
                <w:rFonts w:cstheme="minorHAnsi"/>
                <w:sz w:val="16"/>
              </w:rPr>
              <w:t>≥</w:t>
            </w:r>
            <w:r w:rsidRPr="00733BA4">
              <w:rPr>
                <w:sz w:val="16"/>
              </w:rPr>
              <w:t xml:space="preserve"> 3</w:t>
            </w:r>
          </w:p>
        </w:tc>
        <w:tc>
          <w:tcPr>
            <w:tcW w:w="644" w:type="pct"/>
            <w:vAlign w:val="center"/>
          </w:tcPr>
          <w:p w:rsidR="00994FB7" w:rsidRPr="00733BA4" w:rsidRDefault="00994FB7" w:rsidP="005B5147">
            <w:pPr>
              <w:spacing w:line="276" w:lineRule="auto"/>
              <w:jc w:val="center"/>
              <w:rPr>
                <w:sz w:val="16"/>
              </w:rPr>
            </w:pPr>
            <w:r w:rsidRPr="00733BA4">
              <w:rPr>
                <w:sz w:val="16"/>
              </w:rPr>
              <w:t>1.534 (1.205-1.902)</w:t>
            </w:r>
          </w:p>
        </w:tc>
        <w:tc>
          <w:tcPr>
            <w:tcW w:w="648" w:type="pct"/>
            <w:vAlign w:val="center"/>
          </w:tcPr>
          <w:p w:rsidR="00994FB7" w:rsidRPr="00733BA4" w:rsidRDefault="00994FB7" w:rsidP="005B5147">
            <w:pPr>
              <w:spacing w:line="276" w:lineRule="auto"/>
              <w:jc w:val="center"/>
              <w:rPr>
                <w:sz w:val="16"/>
              </w:rPr>
            </w:pPr>
            <w:r w:rsidRPr="00733BA4">
              <w:rPr>
                <w:sz w:val="16"/>
              </w:rPr>
              <w:t>1.944 (1.278-2.019)</w:t>
            </w:r>
          </w:p>
        </w:tc>
        <w:tc>
          <w:tcPr>
            <w:tcW w:w="640" w:type="pct"/>
            <w:vMerge/>
            <w:vAlign w:val="center"/>
          </w:tcPr>
          <w:p w:rsidR="00994FB7" w:rsidRPr="00733BA4" w:rsidRDefault="00994FB7" w:rsidP="005B5147">
            <w:pPr>
              <w:spacing w:line="276" w:lineRule="auto"/>
              <w:jc w:val="center"/>
              <w:rPr>
                <w:sz w:val="16"/>
              </w:rPr>
            </w:pPr>
          </w:p>
        </w:tc>
        <w:tc>
          <w:tcPr>
            <w:tcW w:w="644" w:type="pct"/>
            <w:vMerge/>
            <w:vAlign w:val="center"/>
          </w:tcPr>
          <w:p w:rsidR="00994FB7" w:rsidRPr="00733BA4" w:rsidRDefault="00994FB7" w:rsidP="005B5147">
            <w:pPr>
              <w:spacing w:line="276" w:lineRule="auto"/>
              <w:jc w:val="center"/>
              <w:rPr>
                <w:sz w:val="16"/>
              </w:rPr>
            </w:pPr>
          </w:p>
        </w:tc>
        <w:tc>
          <w:tcPr>
            <w:tcW w:w="644" w:type="pct"/>
            <w:vMerge/>
            <w:vAlign w:val="center"/>
          </w:tcPr>
          <w:p w:rsidR="00994FB7" w:rsidRPr="00733BA4" w:rsidRDefault="00994FB7" w:rsidP="005B5147">
            <w:pPr>
              <w:spacing w:line="276" w:lineRule="auto"/>
              <w:jc w:val="center"/>
              <w:rPr>
                <w:sz w:val="16"/>
              </w:rPr>
            </w:pPr>
          </w:p>
        </w:tc>
        <w:tc>
          <w:tcPr>
            <w:tcW w:w="646" w:type="pct"/>
            <w:vMerge/>
            <w:vAlign w:val="center"/>
          </w:tcPr>
          <w:p w:rsidR="00994FB7" w:rsidRPr="00733BA4" w:rsidRDefault="00994FB7" w:rsidP="005B5147">
            <w:pPr>
              <w:spacing w:line="276" w:lineRule="auto"/>
              <w:jc w:val="center"/>
              <w:rPr>
                <w:sz w:val="16"/>
              </w:rPr>
            </w:pPr>
          </w:p>
        </w:tc>
        <w:tc>
          <w:tcPr>
            <w:tcW w:w="499" w:type="pct"/>
            <w:vMerge/>
            <w:vAlign w:val="center"/>
          </w:tcPr>
          <w:p w:rsidR="00994FB7" w:rsidRPr="00733BA4" w:rsidRDefault="00994FB7" w:rsidP="005B5147">
            <w:pPr>
              <w:spacing w:line="276" w:lineRule="auto"/>
              <w:jc w:val="center"/>
              <w:rPr>
                <w:sz w:val="16"/>
              </w:rPr>
            </w:pPr>
          </w:p>
        </w:tc>
      </w:tr>
      <w:tr w:rsidR="00994FB7" w:rsidRPr="00733BA4" w:rsidTr="005B5147">
        <w:tc>
          <w:tcPr>
            <w:tcW w:w="635" w:type="pct"/>
          </w:tcPr>
          <w:p w:rsidR="00994FB7" w:rsidRPr="00733BA4" w:rsidRDefault="00994FB7" w:rsidP="005B5147">
            <w:pPr>
              <w:spacing w:line="276" w:lineRule="auto"/>
              <w:rPr>
                <w:sz w:val="16"/>
              </w:rPr>
            </w:pPr>
            <w:r w:rsidRPr="00733BA4">
              <w:rPr>
                <w:sz w:val="16"/>
              </w:rPr>
              <w:t xml:space="preserve">ICH </w:t>
            </w:r>
            <w:r w:rsidRPr="00733BA4">
              <w:rPr>
                <w:sz w:val="16"/>
                <w:vertAlign w:val="superscript"/>
              </w:rPr>
              <w:t>a</w:t>
            </w:r>
          </w:p>
        </w:tc>
        <w:tc>
          <w:tcPr>
            <w:tcW w:w="644" w:type="pct"/>
            <w:vAlign w:val="center"/>
          </w:tcPr>
          <w:p w:rsidR="00994FB7" w:rsidRPr="00733BA4" w:rsidRDefault="00994FB7" w:rsidP="005B5147">
            <w:pPr>
              <w:spacing w:line="276" w:lineRule="auto"/>
              <w:jc w:val="center"/>
              <w:rPr>
                <w:sz w:val="16"/>
              </w:rPr>
            </w:pPr>
          </w:p>
        </w:tc>
        <w:tc>
          <w:tcPr>
            <w:tcW w:w="648" w:type="pct"/>
            <w:vAlign w:val="center"/>
          </w:tcPr>
          <w:p w:rsidR="00994FB7" w:rsidRPr="00733BA4" w:rsidRDefault="00994FB7" w:rsidP="005B5147">
            <w:pPr>
              <w:spacing w:line="276" w:lineRule="auto"/>
              <w:jc w:val="center"/>
              <w:rPr>
                <w:sz w:val="16"/>
              </w:rPr>
            </w:pPr>
          </w:p>
        </w:tc>
        <w:tc>
          <w:tcPr>
            <w:tcW w:w="640" w:type="pct"/>
            <w:vAlign w:val="center"/>
          </w:tcPr>
          <w:p w:rsidR="00994FB7" w:rsidRPr="00733BA4" w:rsidRDefault="00994FB7" w:rsidP="005B5147">
            <w:pPr>
              <w:spacing w:line="276" w:lineRule="auto"/>
              <w:jc w:val="center"/>
              <w:rPr>
                <w:sz w:val="16"/>
              </w:rPr>
            </w:pPr>
          </w:p>
        </w:tc>
        <w:tc>
          <w:tcPr>
            <w:tcW w:w="644" w:type="pct"/>
            <w:vAlign w:val="center"/>
          </w:tcPr>
          <w:p w:rsidR="00994FB7" w:rsidRPr="00733BA4" w:rsidRDefault="00994FB7" w:rsidP="005B5147">
            <w:pPr>
              <w:spacing w:line="276" w:lineRule="auto"/>
              <w:jc w:val="center"/>
              <w:rPr>
                <w:sz w:val="16"/>
              </w:rPr>
            </w:pPr>
          </w:p>
        </w:tc>
        <w:tc>
          <w:tcPr>
            <w:tcW w:w="644" w:type="pct"/>
            <w:vAlign w:val="center"/>
          </w:tcPr>
          <w:p w:rsidR="00994FB7" w:rsidRPr="00733BA4" w:rsidRDefault="00994FB7" w:rsidP="005B5147">
            <w:pPr>
              <w:spacing w:line="276" w:lineRule="auto"/>
              <w:jc w:val="center"/>
              <w:rPr>
                <w:sz w:val="16"/>
              </w:rPr>
            </w:pPr>
          </w:p>
        </w:tc>
        <w:tc>
          <w:tcPr>
            <w:tcW w:w="646" w:type="pct"/>
            <w:vAlign w:val="center"/>
          </w:tcPr>
          <w:p w:rsidR="00994FB7" w:rsidRPr="00733BA4" w:rsidRDefault="00994FB7" w:rsidP="005B5147">
            <w:pPr>
              <w:spacing w:line="276" w:lineRule="auto"/>
              <w:jc w:val="center"/>
              <w:rPr>
                <w:sz w:val="16"/>
              </w:rPr>
            </w:pPr>
          </w:p>
        </w:tc>
        <w:tc>
          <w:tcPr>
            <w:tcW w:w="499" w:type="pct"/>
            <w:vAlign w:val="center"/>
          </w:tcPr>
          <w:p w:rsidR="00994FB7" w:rsidRPr="00733BA4" w:rsidRDefault="00994FB7" w:rsidP="005B5147">
            <w:pPr>
              <w:spacing w:line="276" w:lineRule="auto"/>
              <w:jc w:val="center"/>
              <w:rPr>
                <w:sz w:val="16"/>
              </w:rPr>
            </w:pP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CHADS</w:t>
            </w:r>
            <w:r w:rsidRPr="00733BA4">
              <w:rPr>
                <w:sz w:val="16"/>
                <w:vertAlign w:val="subscript"/>
              </w:rPr>
              <w:t>2</w:t>
            </w:r>
            <w:r w:rsidRPr="00733BA4">
              <w:rPr>
                <w:sz w:val="16"/>
              </w:rPr>
              <w:t xml:space="preserve"> 0-1</w:t>
            </w:r>
          </w:p>
        </w:tc>
        <w:tc>
          <w:tcPr>
            <w:tcW w:w="644" w:type="pct"/>
            <w:vAlign w:val="center"/>
          </w:tcPr>
          <w:p w:rsidR="00994FB7" w:rsidRPr="00733BA4" w:rsidRDefault="00994FB7" w:rsidP="005B5147">
            <w:pPr>
              <w:spacing w:line="276" w:lineRule="auto"/>
              <w:jc w:val="center"/>
              <w:rPr>
                <w:sz w:val="16"/>
              </w:rPr>
            </w:pPr>
            <w:r w:rsidRPr="00733BA4">
              <w:rPr>
                <w:sz w:val="16"/>
              </w:rPr>
              <w:t>0.252 (0.144-0.390)</w:t>
            </w:r>
          </w:p>
        </w:tc>
        <w:tc>
          <w:tcPr>
            <w:tcW w:w="648" w:type="pct"/>
            <w:vAlign w:val="center"/>
          </w:tcPr>
          <w:p w:rsidR="00994FB7" w:rsidRPr="00733BA4" w:rsidRDefault="00994FB7" w:rsidP="005B5147">
            <w:pPr>
              <w:spacing w:line="276" w:lineRule="auto"/>
              <w:jc w:val="center"/>
              <w:rPr>
                <w:sz w:val="16"/>
              </w:rPr>
            </w:pPr>
            <w:r w:rsidRPr="00733BA4">
              <w:rPr>
                <w:sz w:val="16"/>
              </w:rPr>
              <w:t>0.559 (0.444-0.852)</w:t>
            </w:r>
          </w:p>
        </w:tc>
        <w:tc>
          <w:tcPr>
            <w:tcW w:w="640" w:type="pct"/>
            <w:vMerge w:val="restart"/>
            <w:vAlign w:val="center"/>
          </w:tcPr>
          <w:p w:rsidR="00994FB7" w:rsidRPr="00733BA4" w:rsidRDefault="00994FB7" w:rsidP="005B5147">
            <w:pPr>
              <w:spacing w:line="276" w:lineRule="auto"/>
              <w:jc w:val="center"/>
              <w:rPr>
                <w:sz w:val="16"/>
              </w:rPr>
            </w:pPr>
            <w:r w:rsidRPr="00733BA4">
              <w:rPr>
                <w:sz w:val="16"/>
              </w:rPr>
              <w:t>0.730 (0.430-1.260)</w:t>
            </w:r>
          </w:p>
        </w:tc>
        <w:tc>
          <w:tcPr>
            <w:tcW w:w="644" w:type="pct"/>
            <w:vMerge w:val="restart"/>
            <w:vAlign w:val="center"/>
          </w:tcPr>
          <w:p w:rsidR="00994FB7" w:rsidRPr="00733BA4" w:rsidRDefault="00994FB7" w:rsidP="005B5147">
            <w:pPr>
              <w:spacing w:line="276" w:lineRule="auto"/>
              <w:jc w:val="center"/>
              <w:rPr>
                <w:sz w:val="16"/>
              </w:rPr>
            </w:pPr>
            <w:r w:rsidRPr="00733BA4">
              <w:rPr>
                <w:sz w:val="16"/>
              </w:rPr>
              <w:t>1.020 (0.620-1.680)</w:t>
            </w:r>
          </w:p>
        </w:tc>
        <w:tc>
          <w:tcPr>
            <w:tcW w:w="644" w:type="pct"/>
            <w:vMerge w:val="restart"/>
            <w:vAlign w:val="center"/>
          </w:tcPr>
          <w:p w:rsidR="00994FB7" w:rsidRPr="00733BA4" w:rsidRDefault="00994FB7" w:rsidP="005B5147">
            <w:pPr>
              <w:spacing w:line="276" w:lineRule="auto"/>
              <w:jc w:val="center"/>
              <w:rPr>
                <w:sz w:val="16"/>
              </w:rPr>
            </w:pPr>
            <w:r w:rsidRPr="00733BA4">
              <w:rPr>
                <w:sz w:val="16"/>
              </w:rPr>
              <w:t>1.730 (1.080-2.770)</w:t>
            </w:r>
          </w:p>
        </w:tc>
        <w:tc>
          <w:tcPr>
            <w:tcW w:w="646" w:type="pct"/>
            <w:vMerge w:val="restart"/>
            <w:vAlign w:val="center"/>
          </w:tcPr>
          <w:p w:rsidR="00994FB7" w:rsidRPr="00733BA4" w:rsidRDefault="00994FB7" w:rsidP="005B5147">
            <w:pPr>
              <w:spacing w:line="276" w:lineRule="auto"/>
              <w:jc w:val="center"/>
              <w:rPr>
                <w:sz w:val="16"/>
              </w:rPr>
            </w:pPr>
            <w:r w:rsidRPr="00733BA4">
              <w:rPr>
                <w:sz w:val="16"/>
              </w:rPr>
              <w:t>1.110 (0.710-1.730)</w:t>
            </w:r>
          </w:p>
        </w:tc>
        <w:tc>
          <w:tcPr>
            <w:tcW w:w="499" w:type="pct"/>
            <w:vMerge w:val="restar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CHADS</w:t>
            </w:r>
            <w:r w:rsidRPr="00733BA4">
              <w:rPr>
                <w:sz w:val="16"/>
                <w:vertAlign w:val="subscript"/>
              </w:rPr>
              <w:t>2</w:t>
            </w:r>
            <w:r w:rsidRPr="00733BA4">
              <w:rPr>
                <w:sz w:val="16"/>
              </w:rPr>
              <w:t xml:space="preserve"> 2</w:t>
            </w:r>
          </w:p>
        </w:tc>
        <w:tc>
          <w:tcPr>
            <w:tcW w:w="644" w:type="pct"/>
            <w:vAlign w:val="center"/>
          </w:tcPr>
          <w:p w:rsidR="00994FB7" w:rsidRPr="00733BA4" w:rsidRDefault="00994FB7" w:rsidP="005B5147">
            <w:pPr>
              <w:spacing w:line="276" w:lineRule="auto"/>
              <w:jc w:val="center"/>
              <w:rPr>
                <w:sz w:val="16"/>
              </w:rPr>
            </w:pPr>
            <w:r w:rsidRPr="00733BA4">
              <w:rPr>
                <w:sz w:val="16"/>
              </w:rPr>
              <w:t>0.348 (0.199-0.538)</w:t>
            </w:r>
          </w:p>
        </w:tc>
        <w:tc>
          <w:tcPr>
            <w:tcW w:w="648" w:type="pct"/>
            <w:vAlign w:val="center"/>
          </w:tcPr>
          <w:p w:rsidR="00994FB7" w:rsidRPr="00733BA4" w:rsidRDefault="00994FB7" w:rsidP="005B5147">
            <w:pPr>
              <w:spacing w:line="276" w:lineRule="auto"/>
              <w:jc w:val="center"/>
              <w:rPr>
                <w:sz w:val="16"/>
              </w:rPr>
            </w:pPr>
            <w:r w:rsidRPr="00733BA4">
              <w:rPr>
                <w:sz w:val="16"/>
              </w:rPr>
              <w:t>0.582 (0.612-1.176)</w:t>
            </w:r>
          </w:p>
        </w:tc>
        <w:tc>
          <w:tcPr>
            <w:tcW w:w="640" w:type="pct"/>
            <w:vMerge/>
            <w:vAlign w:val="center"/>
          </w:tcPr>
          <w:p w:rsidR="00994FB7" w:rsidRPr="00733BA4" w:rsidRDefault="00994FB7" w:rsidP="005B5147">
            <w:pPr>
              <w:spacing w:line="276" w:lineRule="auto"/>
              <w:jc w:val="center"/>
              <w:rPr>
                <w:sz w:val="16"/>
              </w:rPr>
            </w:pPr>
          </w:p>
        </w:tc>
        <w:tc>
          <w:tcPr>
            <w:tcW w:w="644" w:type="pct"/>
            <w:vMerge/>
            <w:vAlign w:val="center"/>
          </w:tcPr>
          <w:p w:rsidR="00994FB7" w:rsidRPr="00733BA4" w:rsidRDefault="00994FB7" w:rsidP="005B5147">
            <w:pPr>
              <w:spacing w:line="276" w:lineRule="auto"/>
              <w:jc w:val="center"/>
              <w:rPr>
                <w:sz w:val="16"/>
              </w:rPr>
            </w:pPr>
          </w:p>
        </w:tc>
        <w:tc>
          <w:tcPr>
            <w:tcW w:w="644" w:type="pct"/>
            <w:vMerge/>
            <w:vAlign w:val="center"/>
          </w:tcPr>
          <w:p w:rsidR="00994FB7" w:rsidRPr="00733BA4" w:rsidRDefault="00994FB7" w:rsidP="005B5147">
            <w:pPr>
              <w:spacing w:line="276" w:lineRule="auto"/>
              <w:jc w:val="center"/>
              <w:rPr>
                <w:sz w:val="16"/>
              </w:rPr>
            </w:pPr>
          </w:p>
        </w:tc>
        <w:tc>
          <w:tcPr>
            <w:tcW w:w="646" w:type="pct"/>
            <w:vMerge/>
            <w:vAlign w:val="center"/>
          </w:tcPr>
          <w:p w:rsidR="00994FB7" w:rsidRPr="00733BA4" w:rsidRDefault="00994FB7" w:rsidP="005B5147">
            <w:pPr>
              <w:spacing w:line="276" w:lineRule="auto"/>
              <w:jc w:val="center"/>
              <w:rPr>
                <w:sz w:val="16"/>
              </w:rPr>
            </w:pPr>
          </w:p>
        </w:tc>
        <w:tc>
          <w:tcPr>
            <w:tcW w:w="499" w:type="pct"/>
            <w:vMerge/>
            <w:vAlign w:val="center"/>
          </w:tcPr>
          <w:p w:rsidR="00994FB7" w:rsidRPr="00733BA4" w:rsidRDefault="00994FB7" w:rsidP="005B5147">
            <w:pPr>
              <w:spacing w:line="276" w:lineRule="auto"/>
              <w:jc w:val="center"/>
              <w:rPr>
                <w:sz w:val="16"/>
              </w:rPr>
            </w:pP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CHADS</w:t>
            </w:r>
            <w:r w:rsidRPr="00733BA4">
              <w:rPr>
                <w:sz w:val="16"/>
                <w:vertAlign w:val="subscript"/>
              </w:rPr>
              <w:t>2</w:t>
            </w:r>
            <w:r w:rsidRPr="00733BA4">
              <w:rPr>
                <w:sz w:val="16"/>
              </w:rPr>
              <w:t xml:space="preserve"> </w:t>
            </w:r>
            <w:r w:rsidRPr="00733BA4">
              <w:rPr>
                <w:rFonts w:cstheme="minorHAnsi"/>
                <w:sz w:val="16"/>
              </w:rPr>
              <w:t>≥</w:t>
            </w:r>
            <w:r w:rsidRPr="00733BA4">
              <w:rPr>
                <w:sz w:val="16"/>
              </w:rPr>
              <w:t xml:space="preserve"> 3</w:t>
            </w:r>
          </w:p>
        </w:tc>
        <w:tc>
          <w:tcPr>
            <w:tcW w:w="644" w:type="pct"/>
            <w:vAlign w:val="center"/>
          </w:tcPr>
          <w:p w:rsidR="00994FB7" w:rsidRPr="00733BA4" w:rsidRDefault="00994FB7" w:rsidP="005B5147">
            <w:pPr>
              <w:spacing w:line="276" w:lineRule="auto"/>
              <w:jc w:val="center"/>
              <w:rPr>
                <w:sz w:val="16"/>
              </w:rPr>
            </w:pPr>
            <w:r w:rsidRPr="00733BA4">
              <w:rPr>
                <w:sz w:val="16"/>
              </w:rPr>
              <w:t>0.328 (0.187-0.507)</w:t>
            </w:r>
          </w:p>
        </w:tc>
        <w:tc>
          <w:tcPr>
            <w:tcW w:w="648" w:type="pct"/>
            <w:vAlign w:val="center"/>
          </w:tcPr>
          <w:p w:rsidR="00994FB7" w:rsidRPr="00733BA4" w:rsidRDefault="00994FB7" w:rsidP="005B5147">
            <w:pPr>
              <w:spacing w:line="276" w:lineRule="auto"/>
              <w:jc w:val="center"/>
              <w:rPr>
                <w:sz w:val="16"/>
              </w:rPr>
            </w:pPr>
            <w:r w:rsidRPr="00733BA4">
              <w:rPr>
                <w:sz w:val="16"/>
              </w:rPr>
              <w:t>1.127 (0.577-1.109)</w:t>
            </w:r>
          </w:p>
        </w:tc>
        <w:tc>
          <w:tcPr>
            <w:tcW w:w="640" w:type="pct"/>
            <w:vMerge/>
            <w:vAlign w:val="center"/>
          </w:tcPr>
          <w:p w:rsidR="00994FB7" w:rsidRPr="00733BA4" w:rsidRDefault="00994FB7" w:rsidP="005B5147">
            <w:pPr>
              <w:spacing w:line="276" w:lineRule="auto"/>
              <w:jc w:val="center"/>
              <w:rPr>
                <w:sz w:val="16"/>
              </w:rPr>
            </w:pPr>
          </w:p>
        </w:tc>
        <w:tc>
          <w:tcPr>
            <w:tcW w:w="644" w:type="pct"/>
            <w:vMerge/>
            <w:vAlign w:val="center"/>
          </w:tcPr>
          <w:p w:rsidR="00994FB7" w:rsidRPr="00733BA4" w:rsidRDefault="00994FB7" w:rsidP="005B5147">
            <w:pPr>
              <w:spacing w:line="276" w:lineRule="auto"/>
              <w:jc w:val="center"/>
              <w:rPr>
                <w:sz w:val="16"/>
              </w:rPr>
            </w:pPr>
          </w:p>
        </w:tc>
        <w:tc>
          <w:tcPr>
            <w:tcW w:w="644" w:type="pct"/>
            <w:vMerge/>
            <w:vAlign w:val="center"/>
          </w:tcPr>
          <w:p w:rsidR="00994FB7" w:rsidRPr="00733BA4" w:rsidRDefault="00994FB7" w:rsidP="005B5147">
            <w:pPr>
              <w:spacing w:line="276" w:lineRule="auto"/>
              <w:jc w:val="center"/>
              <w:rPr>
                <w:sz w:val="16"/>
              </w:rPr>
            </w:pPr>
          </w:p>
        </w:tc>
        <w:tc>
          <w:tcPr>
            <w:tcW w:w="646" w:type="pct"/>
            <w:vMerge/>
            <w:vAlign w:val="center"/>
          </w:tcPr>
          <w:p w:rsidR="00994FB7" w:rsidRPr="00733BA4" w:rsidRDefault="00994FB7" w:rsidP="005B5147">
            <w:pPr>
              <w:spacing w:line="276" w:lineRule="auto"/>
              <w:jc w:val="center"/>
              <w:rPr>
                <w:sz w:val="16"/>
              </w:rPr>
            </w:pPr>
          </w:p>
        </w:tc>
        <w:tc>
          <w:tcPr>
            <w:tcW w:w="499" w:type="pct"/>
            <w:vMerge/>
            <w:vAlign w:val="center"/>
          </w:tcPr>
          <w:p w:rsidR="00994FB7" w:rsidRPr="00733BA4" w:rsidRDefault="00994FB7" w:rsidP="005B5147">
            <w:pPr>
              <w:spacing w:line="276" w:lineRule="auto"/>
              <w:jc w:val="center"/>
              <w:rPr>
                <w:sz w:val="16"/>
              </w:rPr>
            </w:pPr>
          </w:p>
        </w:tc>
      </w:tr>
      <w:tr w:rsidR="00994FB7" w:rsidRPr="00733BA4" w:rsidTr="005B5147">
        <w:tc>
          <w:tcPr>
            <w:tcW w:w="635" w:type="pct"/>
          </w:tcPr>
          <w:p w:rsidR="00994FB7" w:rsidRPr="00733BA4" w:rsidRDefault="00994FB7" w:rsidP="005B5147">
            <w:pPr>
              <w:spacing w:line="276" w:lineRule="auto"/>
              <w:rPr>
                <w:sz w:val="16"/>
              </w:rPr>
            </w:pPr>
            <w:r w:rsidRPr="00733BA4">
              <w:rPr>
                <w:sz w:val="16"/>
              </w:rPr>
              <w:t xml:space="preserve">Other MB </w:t>
            </w:r>
            <w:r w:rsidRPr="00733BA4">
              <w:rPr>
                <w:sz w:val="16"/>
                <w:vertAlign w:val="superscript"/>
              </w:rPr>
              <w:t>a</w:t>
            </w:r>
          </w:p>
        </w:tc>
        <w:tc>
          <w:tcPr>
            <w:tcW w:w="644" w:type="pct"/>
            <w:vAlign w:val="center"/>
          </w:tcPr>
          <w:p w:rsidR="00994FB7" w:rsidRPr="00733BA4" w:rsidRDefault="00994FB7" w:rsidP="005B5147">
            <w:pPr>
              <w:spacing w:line="276" w:lineRule="auto"/>
              <w:jc w:val="center"/>
              <w:rPr>
                <w:sz w:val="16"/>
              </w:rPr>
            </w:pPr>
          </w:p>
        </w:tc>
        <w:tc>
          <w:tcPr>
            <w:tcW w:w="648" w:type="pct"/>
            <w:vAlign w:val="center"/>
          </w:tcPr>
          <w:p w:rsidR="00994FB7" w:rsidRPr="00733BA4" w:rsidRDefault="00994FB7" w:rsidP="005B5147">
            <w:pPr>
              <w:spacing w:line="276" w:lineRule="auto"/>
              <w:jc w:val="center"/>
              <w:rPr>
                <w:sz w:val="16"/>
              </w:rPr>
            </w:pPr>
          </w:p>
        </w:tc>
        <w:tc>
          <w:tcPr>
            <w:tcW w:w="640" w:type="pct"/>
            <w:vAlign w:val="center"/>
          </w:tcPr>
          <w:p w:rsidR="00994FB7" w:rsidRPr="00733BA4" w:rsidRDefault="00994FB7" w:rsidP="005B5147">
            <w:pPr>
              <w:spacing w:line="276" w:lineRule="auto"/>
              <w:jc w:val="center"/>
              <w:rPr>
                <w:sz w:val="16"/>
              </w:rPr>
            </w:pPr>
          </w:p>
        </w:tc>
        <w:tc>
          <w:tcPr>
            <w:tcW w:w="644" w:type="pct"/>
            <w:vAlign w:val="center"/>
          </w:tcPr>
          <w:p w:rsidR="00994FB7" w:rsidRPr="00733BA4" w:rsidRDefault="00994FB7" w:rsidP="005B5147">
            <w:pPr>
              <w:spacing w:line="276" w:lineRule="auto"/>
              <w:jc w:val="center"/>
              <w:rPr>
                <w:sz w:val="16"/>
              </w:rPr>
            </w:pPr>
          </w:p>
        </w:tc>
        <w:tc>
          <w:tcPr>
            <w:tcW w:w="644" w:type="pct"/>
            <w:vAlign w:val="center"/>
          </w:tcPr>
          <w:p w:rsidR="00994FB7" w:rsidRPr="00733BA4" w:rsidRDefault="00994FB7" w:rsidP="005B5147">
            <w:pPr>
              <w:spacing w:line="276" w:lineRule="auto"/>
              <w:jc w:val="center"/>
              <w:rPr>
                <w:sz w:val="16"/>
              </w:rPr>
            </w:pPr>
          </w:p>
        </w:tc>
        <w:tc>
          <w:tcPr>
            <w:tcW w:w="646" w:type="pct"/>
            <w:vAlign w:val="center"/>
          </w:tcPr>
          <w:p w:rsidR="00994FB7" w:rsidRPr="00733BA4" w:rsidRDefault="00994FB7" w:rsidP="005B5147">
            <w:pPr>
              <w:spacing w:line="276" w:lineRule="auto"/>
              <w:jc w:val="center"/>
              <w:rPr>
                <w:sz w:val="16"/>
              </w:rPr>
            </w:pPr>
          </w:p>
        </w:tc>
        <w:tc>
          <w:tcPr>
            <w:tcW w:w="499" w:type="pct"/>
            <w:vAlign w:val="center"/>
          </w:tcPr>
          <w:p w:rsidR="00994FB7" w:rsidRPr="00733BA4" w:rsidRDefault="00994FB7" w:rsidP="005B5147">
            <w:pPr>
              <w:spacing w:line="276" w:lineRule="auto"/>
              <w:jc w:val="center"/>
              <w:rPr>
                <w:sz w:val="16"/>
              </w:rPr>
            </w:pP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CHADS</w:t>
            </w:r>
            <w:r w:rsidRPr="00733BA4">
              <w:rPr>
                <w:sz w:val="16"/>
                <w:vertAlign w:val="subscript"/>
              </w:rPr>
              <w:t>2</w:t>
            </w:r>
            <w:r w:rsidRPr="00733BA4">
              <w:rPr>
                <w:sz w:val="16"/>
              </w:rPr>
              <w:t xml:space="preserve"> 0-1</w:t>
            </w:r>
          </w:p>
        </w:tc>
        <w:tc>
          <w:tcPr>
            <w:tcW w:w="644" w:type="pct"/>
            <w:vAlign w:val="center"/>
          </w:tcPr>
          <w:p w:rsidR="00994FB7" w:rsidRPr="00733BA4" w:rsidRDefault="00994FB7" w:rsidP="005B5147">
            <w:pPr>
              <w:spacing w:line="276" w:lineRule="auto"/>
              <w:jc w:val="center"/>
              <w:rPr>
                <w:sz w:val="16"/>
              </w:rPr>
            </w:pPr>
            <w:r w:rsidRPr="00733BA4">
              <w:rPr>
                <w:sz w:val="16"/>
              </w:rPr>
              <w:t>1.103 (0.630-1.706)</w:t>
            </w:r>
          </w:p>
        </w:tc>
        <w:tc>
          <w:tcPr>
            <w:tcW w:w="648" w:type="pct"/>
            <w:vAlign w:val="center"/>
          </w:tcPr>
          <w:p w:rsidR="00994FB7" w:rsidRPr="00733BA4" w:rsidRDefault="00994FB7" w:rsidP="005B5147">
            <w:pPr>
              <w:spacing w:line="276" w:lineRule="auto"/>
              <w:jc w:val="center"/>
              <w:rPr>
                <w:sz w:val="16"/>
              </w:rPr>
            </w:pPr>
            <w:r w:rsidRPr="00733BA4">
              <w:rPr>
                <w:sz w:val="16"/>
              </w:rPr>
              <w:t>1.714 (0.980-2.502)</w:t>
            </w:r>
          </w:p>
        </w:tc>
        <w:tc>
          <w:tcPr>
            <w:tcW w:w="640" w:type="pct"/>
            <w:vMerge w:val="restart"/>
            <w:vAlign w:val="center"/>
          </w:tcPr>
          <w:p w:rsidR="00994FB7" w:rsidRPr="00733BA4" w:rsidRDefault="00994FB7" w:rsidP="005B5147">
            <w:pPr>
              <w:spacing w:line="276" w:lineRule="auto"/>
              <w:jc w:val="center"/>
              <w:rPr>
                <w:sz w:val="16"/>
              </w:rPr>
            </w:pPr>
            <w:r w:rsidRPr="00733BA4">
              <w:rPr>
                <w:sz w:val="16"/>
              </w:rPr>
              <w:t>1.180 (0.940-1.470)</w:t>
            </w:r>
          </w:p>
        </w:tc>
        <w:tc>
          <w:tcPr>
            <w:tcW w:w="644" w:type="pct"/>
            <w:vMerge w:val="restart"/>
            <w:vAlign w:val="center"/>
          </w:tcPr>
          <w:p w:rsidR="00994FB7" w:rsidRPr="00733BA4" w:rsidRDefault="00994FB7" w:rsidP="005B5147">
            <w:pPr>
              <w:spacing w:line="276" w:lineRule="auto"/>
              <w:jc w:val="center"/>
              <w:rPr>
                <w:sz w:val="16"/>
              </w:rPr>
            </w:pPr>
            <w:r w:rsidRPr="00733BA4">
              <w:rPr>
                <w:sz w:val="16"/>
              </w:rPr>
              <w:t>1.340 (1.080-1.670)</w:t>
            </w:r>
          </w:p>
        </w:tc>
        <w:tc>
          <w:tcPr>
            <w:tcW w:w="644" w:type="pct"/>
            <w:vMerge w:val="restart"/>
            <w:vAlign w:val="center"/>
          </w:tcPr>
          <w:p w:rsidR="00994FB7" w:rsidRPr="00733BA4" w:rsidRDefault="00994FB7" w:rsidP="005B5147">
            <w:pPr>
              <w:spacing w:line="276" w:lineRule="auto"/>
              <w:jc w:val="center"/>
              <w:rPr>
                <w:sz w:val="16"/>
              </w:rPr>
            </w:pPr>
            <w:r w:rsidRPr="00733BA4">
              <w:rPr>
                <w:sz w:val="16"/>
              </w:rPr>
              <w:t>1.410 (1.130-1.750)</w:t>
            </w:r>
          </w:p>
        </w:tc>
        <w:tc>
          <w:tcPr>
            <w:tcW w:w="646" w:type="pct"/>
            <w:vMerge w:val="restart"/>
            <w:vAlign w:val="center"/>
          </w:tcPr>
          <w:p w:rsidR="00994FB7" w:rsidRPr="00733BA4" w:rsidRDefault="00994FB7" w:rsidP="005B5147">
            <w:pPr>
              <w:spacing w:line="276" w:lineRule="auto"/>
              <w:jc w:val="center"/>
              <w:rPr>
                <w:sz w:val="16"/>
              </w:rPr>
            </w:pPr>
            <w:r w:rsidRPr="00733BA4">
              <w:rPr>
                <w:sz w:val="16"/>
              </w:rPr>
              <w:t>1.130 (0.910-1.390)</w:t>
            </w:r>
          </w:p>
        </w:tc>
        <w:tc>
          <w:tcPr>
            <w:tcW w:w="499" w:type="pct"/>
            <w:vMerge w:val="restar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CHADS</w:t>
            </w:r>
            <w:r w:rsidRPr="00733BA4">
              <w:rPr>
                <w:sz w:val="16"/>
                <w:vertAlign w:val="subscript"/>
              </w:rPr>
              <w:t>2</w:t>
            </w:r>
            <w:r w:rsidRPr="00733BA4">
              <w:rPr>
                <w:sz w:val="16"/>
              </w:rPr>
              <w:t xml:space="preserve"> 2</w:t>
            </w:r>
          </w:p>
        </w:tc>
        <w:tc>
          <w:tcPr>
            <w:tcW w:w="644" w:type="pct"/>
            <w:vAlign w:val="center"/>
          </w:tcPr>
          <w:p w:rsidR="00994FB7" w:rsidRPr="00733BA4" w:rsidRDefault="00994FB7" w:rsidP="005B5147">
            <w:pPr>
              <w:spacing w:line="276" w:lineRule="auto"/>
              <w:jc w:val="center"/>
              <w:rPr>
                <w:sz w:val="16"/>
              </w:rPr>
            </w:pPr>
            <w:r w:rsidRPr="00733BA4">
              <w:rPr>
                <w:sz w:val="16"/>
              </w:rPr>
              <w:t>1.898 (1.085-2.935)</w:t>
            </w:r>
          </w:p>
        </w:tc>
        <w:tc>
          <w:tcPr>
            <w:tcW w:w="648" w:type="pct"/>
            <w:vAlign w:val="center"/>
          </w:tcPr>
          <w:p w:rsidR="00994FB7" w:rsidRPr="00733BA4" w:rsidRDefault="00994FB7" w:rsidP="005B5147">
            <w:pPr>
              <w:spacing w:line="276" w:lineRule="auto"/>
              <w:jc w:val="center"/>
              <w:rPr>
                <w:sz w:val="16"/>
              </w:rPr>
            </w:pPr>
            <w:r w:rsidRPr="00733BA4">
              <w:rPr>
                <w:sz w:val="16"/>
              </w:rPr>
              <w:t>2.360 (1.349-3.446)</w:t>
            </w:r>
          </w:p>
        </w:tc>
        <w:tc>
          <w:tcPr>
            <w:tcW w:w="640" w:type="pct"/>
            <w:vMerge/>
            <w:vAlign w:val="center"/>
          </w:tcPr>
          <w:p w:rsidR="00994FB7" w:rsidRPr="00733BA4" w:rsidRDefault="00994FB7" w:rsidP="005B5147">
            <w:pPr>
              <w:spacing w:line="276" w:lineRule="auto"/>
              <w:jc w:val="center"/>
              <w:rPr>
                <w:sz w:val="16"/>
              </w:rPr>
            </w:pPr>
          </w:p>
        </w:tc>
        <w:tc>
          <w:tcPr>
            <w:tcW w:w="644" w:type="pct"/>
            <w:vMerge/>
            <w:vAlign w:val="center"/>
          </w:tcPr>
          <w:p w:rsidR="00994FB7" w:rsidRPr="00733BA4" w:rsidRDefault="00994FB7" w:rsidP="005B5147">
            <w:pPr>
              <w:spacing w:line="276" w:lineRule="auto"/>
              <w:jc w:val="center"/>
              <w:rPr>
                <w:sz w:val="16"/>
              </w:rPr>
            </w:pPr>
          </w:p>
        </w:tc>
        <w:tc>
          <w:tcPr>
            <w:tcW w:w="644" w:type="pct"/>
            <w:vMerge/>
            <w:vAlign w:val="center"/>
          </w:tcPr>
          <w:p w:rsidR="00994FB7" w:rsidRPr="00733BA4" w:rsidRDefault="00994FB7" w:rsidP="005B5147">
            <w:pPr>
              <w:spacing w:line="276" w:lineRule="auto"/>
              <w:jc w:val="center"/>
              <w:rPr>
                <w:sz w:val="16"/>
              </w:rPr>
            </w:pPr>
          </w:p>
        </w:tc>
        <w:tc>
          <w:tcPr>
            <w:tcW w:w="646" w:type="pct"/>
            <w:vMerge/>
            <w:vAlign w:val="center"/>
          </w:tcPr>
          <w:p w:rsidR="00994FB7" w:rsidRPr="00733BA4" w:rsidRDefault="00994FB7" w:rsidP="005B5147">
            <w:pPr>
              <w:spacing w:line="276" w:lineRule="auto"/>
              <w:jc w:val="center"/>
              <w:rPr>
                <w:sz w:val="16"/>
              </w:rPr>
            </w:pPr>
          </w:p>
        </w:tc>
        <w:tc>
          <w:tcPr>
            <w:tcW w:w="499" w:type="pct"/>
            <w:vMerge/>
            <w:vAlign w:val="center"/>
          </w:tcPr>
          <w:p w:rsidR="00994FB7" w:rsidRPr="00733BA4" w:rsidRDefault="00994FB7" w:rsidP="005B5147">
            <w:pPr>
              <w:spacing w:line="276" w:lineRule="auto"/>
              <w:jc w:val="center"/>
              <w:rPr>
                <w:sz w:val="16"/>
              </w:rPr>
            </w:pP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CHADS</w:t>
            </w:r>
            <w:r w:rsidRPr="00733BA4">
              <w:rPr>
                <w:sz w:val="16"/>
                <w:vertAlign w:val="subscript"/>
              </w:rPr>
              <w:t>2</w:t>
            </w:r>
            <w:r w:rsidRPr="00733BA4">
              <w:rPr>
                <w:sz w:val="16"/>
              </w:rPr>
              <w:t xml:space="preserve"> </w:t>
            </w:r>
            <w:r w:rsidRPr="00733BA4">
              <w:rPr>
                <w:rFonts w:cstheme="minorHAnsi"/>
                <w:sz w:val="16"/>
              </w:rPr>
              <w:t>≥</w:t>
            </w:r>
            <w:r w:rsidRPr="00733BA4">
              <w:rPr>
                <w:sz w:val="16"/>
              </w:rPr>
              <w:t xml:space="preserve"> 3</w:t>
            </w:r>
          </w:p>
        </w:tc>
        <w:tc>
          <w:tcPr>
            <w:tcW w:w="644" w:type="pct"/>
            <w:vAlign w:val="center"/>
          </w:tcPr>
          <w:p w:rsidR="00994FB7" w:rsidRPr="00733BA4" w:rsidRDefault="00994FB7" w:rsidP="005B5147">
            <w:pPr>
              <w:spacing w:line="276" w:lineRule="auto"/>
              <w:jc w:val="center"/>
              <w:rPr>
                <w:sz w:val="16"/>
              </w:rPr>
            </w:pPr>
            <w:r w:rsidRPr="00733BA4">
              <w:rPr>
                <w:sz w:val="16"/>
              </w:rPr>
              <w:t>2.500 (1.429-3.866)</w:t>
            </w:r>
          </w:p>
        </w:tc>
        <w:tc>
          <w:tcPr>
            <w:tcW w:w="648" w:type="pct"/>
            <w:vAlign w:val="center"/>
          </w:tcPr>
          <w:p w:rsidR="00994FB7" w:rsidRPr="00733BA4" w:rsidRDefault="00994FB7" w:rsidP="005B5147">
            <w:pPr>
              <w:spacing w:line="276" w:lineRule="auto"/>
              <w:jc w:val="center"/>
              <w:rPr>
                <w:sz w:val="16"/>
              </w:rPr>
            </w:pPr>
            <w:r w:rsidRPr="00733BA4">
              <w:rPr>
                <w:sz w:val="16"/>
              </w:rPr>
              <w:t>2.821 (1.612-4.119)</w:t>
            </w:r>
          </w:p>
        </w:tc>
        <w:tc>
          <w:tcPr>
            <w:tcW w:w="640" w:type="pct"/>
            <w:vMerge/>
            <w:vAlign w:val="center"/>
          </w:tcPr>
          <w:p w:rsidR="00994FB7" w:rsidRPr="00733BA4" w:rsidRDefault="00994FB7" w:rsidP="005B5147">
            <w:pPr>
              <w:spacing w:line="276" w:lineRule="auto"/>
              <w:jc w:val="center"/>
              <w:rPr>
                <w:sz w:val="16"/>
              </w:rPr>
            </w:pPr>
          </w:p>
        </w:tc>
        <w:tc>
          <w:tcPr>
            <w:tcW w:w="644" w:type="pct"/>
            <w:vMerge/>
            <w:vAlign w:val="center"/>
          </w:tcPr>
          <w:p w:rsidR="00994FB7" w:rsidRPr="00733BA4" w:rsidRDefault="00994FB7" w:rsidP="005B5147">
            <w:pPr>
              <w:spacing w:line="276" w:lineRule="auto"/>
              <w:jc w:val="center"/>
              <w:rPr>
                <w:sz w:val="16"/>
              </w:rPr>
            </w:pPr>
          </w:p>
        </w:tc>
        <w:tc>
          <w:tcPr>
            <w:tcW w:w="644" w:type="pct"/>
            <w:vMerge/>
            <w:vAlign w:val="center"/>
          </w:tcPr>
          <w:p w:rsidR="00994FB7" w:rsidRPr="00733BA4" w:rsidRDefault="00994FB7" w:rsidP="005B5147">
            <w:pPr>
              <w:spacing w:line="276" w:lineRule="auto"/>
              <w:jc w:val="center"/>
              <w:rPr>
                <w:sz w:val="16"/>
              </w:rPr>
            </w:pPr>
          </w:p>
        </w:tc>
        <w:tc>
          <w:tcPr>
            <w:tcW w:w="646" w:type="pct"/>
            <w:vMerge/>
            <w:vAlign w:val="center"/>
          </w:tcPr>
          <w:p w:rsidR="00994FB7" w:rsidRPr="00733BA4" w:rsidRDefault="00994FB7" w:rsidP="005B5147">
            <w:pPr>
              <w:spacing w:line="276" w:lineRule="auto"/>
              <w:jc w:val="center"/>
              <w:rPr>
                <w:sz w:val="16"/>
              </w:rPr>
            </w:pPr>
          </w:p>
        </w:tc>
        <w:tc>
          <w:tcPr>
            <w:tcW w:w="499" w:type="pct"/>
            <w:vMerge/>
            <w:vAlign w:val="center"/>
          </w:tcPr>
          <w:p w:rsidR="00994FB7" w:rsidRPr="00733BA4" w:rsidRDefault="00994FB7" w:rsidP="005B5147">
            <w:pPr>
              <w:spacing w:line="276" w:lineRule="auto"/>
              <w:jc w:val="center"/>
              <w:rPr>
                <w:sz w:val="16"/>
              </w:rPr>
            </w:pPr>
          </w:p>
        </w:tc>
      </w:tr>
      <w:tr w:rsidR="00994FB7" w:rsidRPr="00733BA4" w:rsidTr="005B5147">
        <w:tc>
          <w:tcPr>
            <w:tcW w:w="635" w:type="pct"/>
          </w:tcPr>
          <w:p w:rsidR="00994FB7" w:rsidRPr="00733BA4" w:rsidRDefault="00994FB7" w:rsidP="005B5147">
            <w:pPr>
              <w:spacing w:line="276" w:lineRule="auto"/>
              <w:rPr>
                <w:sz w:val="16"/>
              </w:rPr>
            </w:pPr>
            <w:r w:rsidRPr="00733BA4">
              <w:rPr>
                <w:sz w:val="16"/>
              </w:rPr>
              <w:t>CRNMB</w:t>
            </w:r>
          </w:p>
        </w:tc>
        <w:tc>
          <w:tcPr>
            <w:tcW w:w="644" w:type="pct"/>
            <w:vAlign w:val="center"/>
          </w:tcPr>
          <w:p w:rsidR="00994FB7" w:rsidRPr="00733BA4" w:rsidRDefault="00994FB7" w:rsidP="005B5147">
            <w:pPr>
              <w:spacing w:line="276" w:lineRule="auto"/>
              <w:jc w:val="center"/>
              <w:rPr>
                <w:sz w:val="16"/>
              </w:rPr>
            </w:pPr>
            <w:r w:rsidRPr="00733BA4">
              <w:rPr>
                <w:sz w:val="16"/>
              </w:rPr>
              <w:t>2.083 (1.191-3.221)</w:t>
            </w:r>
          </w:p>
        </w:tc>
        <w:tc>
          <w:tcPr>
            <w:tcW w:w="648" w:type="pct"/>
            <w:vAlign w:val="center"/>
          </w:tcPr>
          <w:p w:rsidR="00994FB7" w:rsidRPr="00733BA4" w:rsidRDefault="00994FB7" w:rsidP="005B5147">
            <w:pPr>
              <w:spacing w:line="276" w:lineRule="auto"/>
              <w:jc w:val="center"/>
              <w:rPr>
                <w:sz w:val="16"/>
              </w:rPr>
            </w:pPr>
            <w:r w:rsidRPr="00733BA4">
              <w:rPr>
                <w:sz w:val="16"/>
              </w:rPr>
              <w:t>2.995 (2.625-3.562)</w:t>
            </w:r>
          </w:p>
        </w:tc>
        <w:tc>
          <w:tcPr>
            <w:tcW w:w="640" w:type="pct"/>
            <w:vAlign w:val="center"/>
          </w:tcPr>
          <w:p w:rsidR="00994FB7" w:rsidRPr="00733BA4" w:rsidRDefault="00994FB7" w:rsidP="005B5147">
            <w:pPr>
              <w:spacing w:line="276" w:lineRule="auto"/>
              <w:jc w:val="center"/>
              <w:rPr>
                <w:sz w:val="16"/>
              </w:rPr>
            </w:pPr>
            <w:r w:rsidRPr="00733BA4">
              <w:rPr>
                <w:sz w:val="16"/>
              </w:rPr>
              <w:t>1.000 (0.900-1.100)</w:t>
            </w:r>
          </w:p>
        </w:tc>
        <w:tc>
          <w:tcPr>
            <w:tcW w:w="644" w:type="pct"/>
            <w:vAlign w:val="center"/>
          </w:tcPr>
          <w:p w:rsidR="00994FB7" w:rsidRPr="00733BA4" w:rsidRDefault="00994FB7" w:rsidP="005B5147">
            <w:pPr>
              <w:spacing w:line="276" w:lineRule="auto"/>
              <w:jc w:val="center"/>
              <w:rPr>
                <w:sz w:val="16"/>
              </w:rPr>
            </w:pPr>
            <w:r w:rsidRPr="00733BA4">
              <w:rPr>
                <w:sz w:val="16"/>
              </w:rPr>
              <w:t>1.000 (0.900-1.100)</w:t>
            </w:r>
          </w:p>
        </w:tc>
        <w:tc>
          <w:tcPr>
            <w:tcW w:w="644" w:type="pct"/>
            <w:vAlign w:val="center"/>
          </w:tcPr>
          <w:p w:rsidR="00994FB7" w:rsidRPr="00733BA4" w:rsidRDefault="00994FB7" w:rsidP="005B5147">
            <w:pPr>
              <w:spacing w:line="276" w:lineRule="auto"/>
              <w:jc w:val="center"/>
              <w:rPr>
                <w:sz w:val="16"/>
              </w:rPr>
            </w:pPr>
            <w:r w:rsidRPr="00733BA4">
              <w:rPr>
                <w:sz w:val="16"/>
              </w:rPr>
              <w:t>1.520 (1.280-10)</w:t>
            </w:r>
          </w:p>
        </w:tc>
        <w:tc>
          <w:tcPr>
            <w:tcW w:w="646" w:type="pct"/>
            <w:vAlign w:val="center"/>
          </w:tcPr>
          <w:p w:rsidR="00994FB7" w:rsidRPr="00733BA4" w:rsidRDefault="00994FB7" w:rsidP="005B5147">
            <w:pPr>
              <w:spacing w:line="276" w:lineRule="auto"/>
              <w:jc w:val="center"/>
              <w:rPr>
                <w:sz w:val="16"/>
              </w:rPr>
            </w:pPr>
            <w:r w:rsidRPr="00733BA4">
              <w:rPr>
                <w:sz w:val="16"/>
              </w:rPr>
              <w:t>1.250 (1.060-1.480)</w:t>
            </w:r>
          </w:p>
        </w:tc>
        <w:tc>
          <w:tcPr>
            <w:tcW w:w="499" w:type="pc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tcPr>
          <w:p w:rsidR="00994FB7" w:rsidRPr="00733BA4" w:rsidRDefault="00994FB7" w:rsidP="005B5147">
            <w:pPr>
              <w:spacing w:line="276" w:lineRule="auto"/>
              <w:rPr>
                <w:sz w:val="16"/>
              </w:rPr>
            </w:pPr>
            <w:r w:rsidRPr="00733BA4">
              <w:rPr>
                <w:sz w:val="16"/>
              </w:rPr>
              <w:t>MI</w:t>
            </w:r>
          </w:p>
        </w:tc>
        <w:tc>
          <w:tcPr>
            <w:tcW w:w="644" w:type="pct"/>
            <w:vAlign w:val="center"/>
          </w:tcPr>
          <w:p w:rsidR="00994FB7" w:rsidRPr="00733BA4" w:rsidRDefault="00994FB7" w:rsidP="005B5147">
            <w:pPr>
              <w:spacing w:line="276" w:lineRule="auto"/>
              <w:jc w:val="center"/>
              <w:rPr>
                <w:sz w:val="16"/>
              </w:rPr>
            </w:pPr>
            <w:r w:rsidRPr="00733BA4">
              <w:rPr>
                <w:sz w:val="16"/>
              </w:rPr>
              <w:t>0.530 (0.303-0.820)</w:t>
            </w:r>
          </w:p>
        </w:tc>
        <w:tc>
          <w:tcPr>
            <w:tcW w:w="648" w:type="pct"/>
            <w:vAlign w:val="center"/>
          </w:tcPr>
          <w:p w:rsidR="00994FB7" w:rsidRPr="00733BA4" w:rsidRDefault="00994FB7" w:rsidP="005B5147">
            <w:pPr>
              <w:spacing w:line="276" w:lineRule="auto"/>
              <w:jc w:val="center"/>
              <w:rPr>
                <w:sz w:val="16"/>
              </w:rPr>
            </w:pPr>
            <w:r w:rsidRPr="00733BA4">
              <w:rPr>
                <w:sz w:val="16"/>
              </w:rPr>
              <w:t>0.610 (0.461-0.811)</w:t>
            </w:r>
          </w:p>
        </w:tc>
        <w:tc>
          <w:tcPr>
            <w:tcW w:w="640" w:type="pct"/>
            <w:vAlign w:val="center"/>
          </w:tcPr>
          <w:p w:rsidR="00994FB7" w:rsidRPr="00733BA4" w:rsidRDefault="00994FB7" w:rsidP="005B5147">
            <w:pPr>
              <w:spacing w:line="276" w:lineRule="auto"/>
              <w:jc w:val="center"/>
              <w:rPr>
                <w:sz w:val="16"/>
              </w:rPr>
            </w:pPr>
            <w:r w:rsidRPr="00733BA4">
              <w:rPr>
                <w:sz w:val="16"/>
              </w:rPr>
              <w:t>1.470 (0.980-2.230)</w:t>
            </w:r>
          </w:p>
        </w:tc>
        <w:tc>
          <w:tcPr>
            <w:tcW w:w="644" w:type="pct"/>
            <w:vAlign w:val="center"/>
          </w:tcPr>
          <w:p w:rsidR="00994FB7" w:rsidRPr="00733BA4" w:rsidRDefault="00994FB7" w:rsidP="005B5147">
            <w:pPr>
              <w:spacing w:line="276" w:lineRule="auto"/>
              <w:jc w:val="center"/>
              <w:rPr>
                <w:sz w:val="16"/>
              </w:rPr>
            </w:pPr>
            <w:r w:rsidRPr="00733BA4">
              <w:rPr>
                <w:sz w:val="16"/>
              </w:rPr>
              <w:t>1.460 (0.960-2.200)</w:t>
            </w:r>
          </w:p>
        </w:tc>
        <w:tc>
          <w:tcPr>
            <w:tcW w:w="644" w:type="pct"/>
            <w:vAlign w:val="center"/>
          </w:tcPr>
          <w:p w:rsidR="00994FB7" w:rsidRPr="00733BA4" w:rsidRDefault="00994FB7" w:rsidP="005B5147">
            <w:pPr>
              <w:spacing w:line="276" w:lineRule="auto"/>
              <w:jc w:val="center"/>
              <w:rPr>
                <w:sz w:val="16"/>
              </w:rPr>
            </w:pPr>
            <w:r w:rsidRPr="00733BA4">
              <w:rPr>
                <w:sz w:val="16"/>
              </w:rPr>
              <w:t>1.060 (0.730-1.520)</w:t>
            </w:r>
          </w:p>
        </w:tc>
        <w:tc>
          <w:tcPr>
            <w:tcW w:w="646" w:type="pct"/>
            <w:vAlign w:val="center"/>
          </w:tcPr>
          <w:p w:rsidR="00994FB7" w:rsidRPr="00733BA4" w:rsidRDefault="00994FB7" w:rsidP="005B5147">
            <w:pPr>
              <w:spacing w:line="276" w:lineRule="auto"/>
              <w:jc w:val="center"/>
              <w:rPr>
                <w:sz w:val="16"/>
              </w:rPr>
            </w:pPr>
            <w:r w:rsidRPr="00733BA4">
              <w:rPr>
                <w:sz w:val="16"/>
              </w:rPr>
              <w:t>1.070 (0.740-1.550)</w:t>
            </w:r>
          </w:p>
        </w:tc>
        <w:tc>
          <w:tcPr>
            <w:tcW w:w="499" w:type="pc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tcPr>
          <w:p w:rsidR="00994FB7" w:rsidRPr="00733BA4" w:rsidRDefault="00994FB7" w:rsidP="005B5147">
            <w:pPr>
              <w:spacing w:line="276" w:lineRule="auto"/>
              <w:rPr>
                <w:sz w:val="16"/>
              </w:rPr>
            </w:pPr>
            <w:r w:rsidRPr="00733BA4">
              <w:rPr>
                <w:sz w:val="16"/>
              </w:rPr>
              <w:t>SE</w:t>
            </w:r>
          </w:p>
        </w:tc>
        <w:tc>
          <w:tcPr>
            <w:tcW w:w="644" w:type="pct"/>
            <w:vAlign w:val="center"/>
          </w:tcPr>
          <w:p w:rsidR="00994FB7" w:rsidRPr="00733BA4" w:rsidRDefault="00994FB7" w:rsidP="005B5147">
            <w:pPr>
              <w:spacing w:line="276" w:lineRule="auto"/>
              <w:jc w:val="center"/>
              <w:rPr>
                <w:sz w:val="16"/>
              </w:rPr>
            </w:pPr>
            <w:r w:rsidRPr="00733BA4">
              <w:rPr>
                <w:sz w:val="16"/>
              </w:rPr>
              <w:t>0.090 (0.051-0.139)</w:t>
            </w:r>
          </w:p>
        </w:tc>
        <w:tc>
          <w:tcPr>
            <w:tcW w:w="648" w:type="pct"/>
            <w:vAlign w:val="center"/>
          </w:tcPr>
          <w:p w:rsidR="00994FB7" w:rsidRPr="00733BA4" w:rsidRDefault="00994FB7" w:rsidP="005B5147">
            <w:pPr>
              <w:spacing w:line="276" w:lineRule="auto"/>
              <w:jc w:val="center"/>
              <w:rPr>
                <w:sz w:val="16"/>
              </w:rPr>
            </w:pPr>
            <w:r w:rsidRPr="00733BA4">
              <w:rPr>
                <w:sz w:val="16"/>
              </w:rPr>
              <w:t>0.100 (0.057-0.155)</w:t>
            </w:r>
          </w:p>
        </w:tc>
        <w:tc>
          <w:tcPr>
            <w:tcW w:w="640" w:type="pct"/>
            <w:vAlign w:val="center"/>
          </w:tcPr>
          <w:p w:rsidR="00994FB7" w:rsidRPr="00733BA4" w:rsidRDefault="00994FB7" w:rsidP="005B5147">
            <w:pPr>
              <w:spacing w:line="276" w:lineRule="auto"/>
              <w:jc w:val="center"/>
              <w:rPr>
                <w:sz w:val="16"/>
              </w:rPr>
            </w:pPr>
            <w:r w:rsidRPr="00733BA4">
              <w:rPr>
                <w:sz w:val="16"/>
              </w:rPr>
              <w:t>0.780 (0.300-2.050)</w:t>
            </w:r>
          </w:p>
        </w:tc>
        <w:tc>
          <w:tcPr>
            <w:tcW w:w="644" w:type="pct"/>
            <w:vAlign w:val="center"/>
          </w:tcPr>
          <w:p w:rsidR="00994FB7" w:rsidRPr="00733BA4" w:rsidRDefault="00994FB7" w:rsidP="005B5147">
            <w:pPr>
              <w:spacing w:line="276" w:lineRule="auto"/>
              <w:jc w:val="center"/>
              <w:rPr>
                <w:sz w:val="16"/>
              </w:rPr>
            </w:pPr>
            <w:r w:rsidRPr="00733BA4">
              <w:rPr>
                <w:sz w:val="16"/>
              </w:rPr>
              <w:t>0.720 (0.270-1.920)</w:t>
            </w:r>
          </w:p>
        </w:tc>
        <w:tc>
          <w:tcPr>
            <w:tcW w:w="644" w:type="pct"/>
            <w:vAlign w:val="center"/>
          </w:tcPr>
          <w:p w:rsidR="00994FB7" w:rsidRPr="00733BA4" w:rsidRDefault="00994FB7" w:rsidP="005B5147">
            <w:pPr>
              <w:spacing w:line="276" w:lineRule="auto"/>
              <w:jc w:val="center"/>
              <w:rPr>
                <w:sz w:val="16"/>
              </w:rPr>
            </w:pPr>
            <w:r w:rsidRPr="00733BA4">
              <w:rPr>
                <w:sz w:val="16"/>
              </w:rPr>
              <w:t>0.850 (0.350-2.060)</w:t>
            </w:r>
          </w:p>
        </w:tc>
        <w:tc>
          <w:tcPr>
            <w:tcW w:w="646" w:type="pct"/>
            <w:vAlign w:val="center"/>
          </w:tcPr>
          <w:p w:rsidR="00994FB7" w:rsidRPr="00733BA4" w:rsidRDefault="00994FB7" w:rsidP="005B5147">
            <w:pPr>
              <w:spacing w:line="276" w:lineRule="auto"/>
              <w:jc w:val="center"/>
              <w:rPr>
                <w:sz w:val="16"/>
              </w:rPr>
            </w:pPr>
            <w:r w:rsidRPr="00733BA4">
              <w:rPr>
                <w:sz w:val="16"/>
              </w:rPr>
              <w:t>0.740 (0.290-1.920)</w:t>
            </w:r>
          </w:p>
        </w:tc>
        <w:tc>
          <w:tcPr>
            <w:tcW w:w="499" w:type="pc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tcPr>
          <w:p w:rsidR="00994FB7" w:rsidRPr="00733BA4" w:rsidRDefault="00994FB7" w:rsidP="005B5147">
            <w:pPr>
              <w:spacing w:line="276" w:lineRule="auto"/>
              <w:rPr>
                <w:sz w:val="16"/>
              </w:rPr>
            </w:pPr>
            <w:r w:rsidRPr="00733BA4">
              <w:rPr>
                <w:sz w:val="16"/>
              </w:rPr>
              <w:t>Other CV hospitalization</w:t>
            </w:r>
          </w:p>
        </w:tc>
        <w:tc>
          <w:tcPr>
            <w:tcW w:w="644" w:type="pct"/>
            <w:vAlign w:val="center"/>
          </w:tcPr>
          <w:p w:rsidR="00994FB7" w:rsidRPr="00733BA4" w:rsidRDefault="00994FB7" w:rsidP="005B5147">
            <w:pPr>
              <w:spacing w:line="276" w:lineRule="auto"/>
              <w:jc w:val="center"/>
              <w:rPr>
                <w:sz w:val="16"/>
              </w:rPr>
            </w:pPr>
            <w:r w:rsidRPr="00733BA4">
              <w:rPr>
                <w:sz w:val="16"/>
              </w:rPr>
              <w:t>10.460 (5.979-16.174)</w:t>
            </w:r>
          </w:p>
        </w:tc>
        <w:tc>
          <w:tcPr>
            <w:tcW w:w="648" w:type="pct"/>
            <w:vAlign w:val="center"/>
          </w:tcPr>
          <w:p w:rsidR="00994FB7" w:rsidRPr="00733BA4" w:rsidRDefault="00994FB7" w:rsidP="005B5147">
            <w:pPr>
              <w:spacing w:line="276" w:lineRule="auto"/>
              <w:jc w:val="center"/>
              <w:rPr>
                <w:sz w:val="16"/>
              </w:rPr>
            </w:pPr>
            <w:r w:rsidRPr="00733BA4">
              <w:rPr>
                <w:sz w:val="16"/>
              </w:rPr>
              <w:t>10.460 (5.979-16.174)</w:t>
            </w:r>
          </w:p>
        </w:tc>
        <w:tc>
          <w:tcPr>
            <w:tcW w:w="640" w:type="pct"/>
            <w:vAlign w:val="center"/>
          </w:tcPr>
          <w:p w:rsidR="00994FB7" w:rsidRPr="00733BA4" w:rsidRDefault="00994FB7" w:rsidP="005B5147">
            <w:pPr>
              <w:spacing w:line="276" w:lineRule="auto"/>
              <w:jc w:val="center"/>
              <w:rPr>
                <w:sz w:val="16"/>
              </w:rPr>
            </w:pPr>
            <w:r w:rsidRPr="00733BA4">
              <w:rPr>
                <w:sz w:val="16"/>
              </w:rPr>
              <w:t>1.000 (0.900-1.100)</w:t>
            </w:r>
          </w:p>
        </w:tc>
        <w:tc>
          <w:tcPr>
            <w:tcW w:w="644" w:type="pct"/>
            <w:vAlign w:val="center"/>
          </w:tcPr>
          <w:p w:rsidR="00994FB7" w:rsidRPr="00733BA4" w:rsidRDefault="00994FB7" w:rsidP="005B5147">
            <w:pPr>
              <w:spacing w:line="276" w:lineRule="auto"/>
              <w:jc w:val="center"/>
              <w:rPr>
                <w:sz w:val="16"/>
              </w:rPr>
            </w:pPr>
            <w:r w:rsidRPr="00733BA4">
              <w:rPr>
                <w:sz w:val="16"/>
              </w:rPr>
              <w:t>1.000 (0.900-1.100)</w:t>
            </w:r>
          </w:p>
        </w:tc>
        <w:tc>
          <w:tcPr>
            <w:tcW w:w="644" w:type="pct"/>
            <w:vAlign w:val="center"/>
          </w:tcPr>
          <w:p w:rsidR="00994FB7" w:rsidRPr="00733BA4" w:rsidRDefault="00994FB7" w:rsidP="005B5147">
            <w:pPr>
              <w:spacing w:line="276" w:lineRule="auto"/>
              <w:jc w:val="center"/>
              <w:rPr>
                <w:sz w:val="16"/>
              </w:rPr>
            </w:pPr>
            <w:r w:rsidRPr="00733BA4">
              <w:rPr>
                <w:sz w:val="16"/>
              </w:rPr>
              <w:t>1.000 (0.900-1.100)</w:t>
            </w:r>
          </w:p>
        </w:tc>
        <w:tc>
          <w:tcPr>
            <w:tcW w:w="646" w:type="pct"/>
            <w:vAlign w:val="center"/>
          </w:tcPr>
          <w:p w:rsidR="00994FB7" w:rsidRPr="00733BA4" w:rsidRDefault="00994FB7" w:rsidP="005B5147">
            <w:pPr>
              <w:spacing w:line="276" w:lineRule="auto"/>
              <w:jc w:val="center"/>
              <w:rPr>
                <w:sz w:val="16"/>
              </w:rPr>
            </w:pPr>
            <w:r w:rsidRPr="00733BA4">
              <w:rPr>
                <w:sz w:val="16"/>
              </w:rPr>
              <w:t>1.000 (0.900-1.100)</w:t>
            </w:r>
          </w:p>
        </w:tc>
        <w:tc>
          <w:tcPr>
            <w:tcW w:w="499" w:type="pct"/>
            <w:vAlign w:val="center"/>
          </w:tcPr>
          <w:p w:rsidR="00994FB7" w:rsidRPr="00733BA4" w:rsidRDefault="00994FB7" w:rsidP="005B5147">
            <w:pPr>
              <w:spacing w:line="276" w:lineRule="auto"/>
              <w:jc w:val="center"/>
              <w:rPr>
                <w:sz w:val="16"/>
              </w:rPr>
            </w:pPr>
            <w:r w:rsidRPr="00733BA4">
              <w:rPr>
                <w:sz w:val="16"/>
              </w:rPr>
              <w:fldChar w:fldCharType="begin" w:fldLock="1"/>
            </w:r>
            <w:r>
              <w:rPr>
                <w:sz w:val="16"/>
              </w:rPr>
              <w:instrText>ADDIN CSL_CITATION {"citationItems":[{"id":"ITEM-1","itemData":{"abstract":"BACKGROUND Vitamin K antagonists have been shown to prevent stroke in patients with atrial fibrillation. However, many patients are not suitable candidates for or are unwilling to receive vitamin K antagonist therapy, and these patients have a high risk of stroke. Apixaban, a novel factor Xa inhibitor, may be an alternative treatment for such patients. METHODS In a double-blind study, we randomly assigned 5599 patients with atrial fibrillation who were at increased risk for stroke and for whom vitamin K antagonist therapy was unsuitable to receive apixaban (at a dose of 5 mg twice daily) or aspirin (81 to 324 mg per day), to determine whether apixaban was superior. The mean follow up period was 1.1 years. The primary outcome was the occurrence of stroke or systemic embolism. RESULTS Before enrollment, 40% of the patients had used a vitamin K antagonist. The data and safety monitoring board recommended early termination of the study because of a clear benefit in favor of apixaban. There were 51 primary outcome events (1.6% per year) among patients assigned to apixaban and 113 (3.7% per year) among those assigned to aspirin (hazard ratio with apixaban, 0.45; 95% confidence interval [CI], 0.32 to 0.62; P&lt;0.001). The rates of death were 3.5% per year in the apixaban group and 4.4% per year in the aspirin group (hazard ratio, 0.79; 95% CI, 0.62 to 1.02; P=0.07). There were 44 cases of major bleeding (1.4% per year) in the apixaban group and 39 (1.2% per year) in the aspirin group (hazard ratio with apixaban, 1.13; 95% CI, 0.74 to 1.75; P=0.57); there were 11 cases of intracranial bleeding with apixaban and 13 with aspirin. The risk of a first hospitalization for cardiovascular causes was reduced with apixaban as compared with aspirin (12.6% per year vs. 15.9% per year, P&lt;0.001). The treatment effects were consistent among important subgroups. CONCLUSIONS In patients with atrial fibrillation for whom vitamin K antagonist therapy was unsuitable, apixaban reduced the risk of stroke or systemic embolism without significantly increasing the risk of major bleeding or intracranial hemorrhage. (Funded by Bristol-Myers Squibb and Pfizer; ClinicalTrials.gov number, NCT00496769.).","author":[{"dropping-particle":"","family":"Connolly","given":"Stuart J.","non-dropping-particle":"","parse-names":false,"suffix":""},{"dropping-particle":"","family":"Eikelboom","given":"John","non-dropping-particle":"","parse-names":false,"suffix":""},{"dropping-particle":"","family":"Joyner","given":"Campbell","non-dropping-particle":"","parse-names":false,"suffix":""},{"dropping-particle":"","family":"Diener","given":"Hans-Christoph","non-dropping-particle":"","parse-names":false,"suffix":""},{"dropping-particle":"","family":"Hart","given":"Robert","non-dropping-particle":"","parse-names":false,"suffix":""},{"dropping-particle":"","family":"Golitsyn","given":"Sergey","non-dropping-particle":"","parse-names":false,"suffix":""},{"dropping-particle":"","family":"Flaker","given":"Greg","non-dropping-particle":"","parse-names":false,"suffix":""},{"dropping-particle":"","family":"Avezum","given":"Alvaro","non-dropping-particle":"","parse-names":false,"suffix":""},{"dropping-particle":"","family":"Hohnloser","given":"Stefan H.","non-dropping-particle":"","parse-names":false,"suffix":""},{"dropping-particle":"","family":"Diaz","given":"Rafael","non-dropping-particle":"","parse-names":false,"suffix":""},{"dropping-particle":"","family":"Talajic","given":"Mario","non-dropping-particle":"","parse-names":false,"suffix":""},{"dropping-particle":"","family":"Zhu","given":"Jun","non-dropping-particle":"","parse-names":false,"suffix":""},{"dropping-particle":"","family":"Pais","given":"Prem","non-dropping-particle":"","parse-names":false,"suffix":""},{"dropping-particle":"","family":"Budaj","given":"Andrzej","non-dropping-particle":"","parse-names":false,"suffix":""},{"dropping-particle":"","family":"Parkhomenko","given":"Alexander","non-dropping-particle":"","parse-names":false,"suffix":""},{"dropping-particle":"","family":"Jansky","given":"Petr","non-dropping-particle":"","parse-names":false,"suffix":""},{"dropping-particle":"","family":"Commerford","given":"Patrick","non-dropping-particle":"","parse-names":false,"suffix":""},{"dropping-particle":"","family":"Tan","given":"Ru San","non-dropping-particle":"","parse-names":false,"suffix":""},{"dropping-particle":"","family":"Sim","given":"Kui-Hian","non-dropping-particle":"","parse-names":false,"suffix":""},{"dropping-particle":"","family":"Lewis","given":"Basil S.","non-dropping-particle":"","parse-names":false,"suffix":""},{"dropping-particle":"","family":"Mieghem","given":"Walter","non-dropping-particle":"Van","parse-names":false,"suffix":""},{"dropping-particle":"","family":"Lip","given":"Gregory Y.H.","non-dropping-particle":"","parse-names":false,"suffix":""},{"dropping-particle":"","family":"Kim","given":"Jae Hyung","non-dropping-particle":"","parse-names":false,"suffix":""},{"dropping-particle":"","family":"Lanas-Zanetti","given":"Fernando","non-dropping-particle":"","parse-names":false,"suffix":""},{"dropping-particle":"","family":"Gonzalez-Hermosillo","given":"Antonio","non-dropping-particle":"","parse-names":false,"suffix":""},{"dropping-particle":"","family":"Dans","given":"Antonio L.","non-dropping-particle":"","parse-names":false,"suffix":""},{"dropping-particle":"","family":"Munawar","given":"Muhammad","non-dropping-particle":"","parse-names":false,"suffix":""},{"dropping-particle":"","family":"O'Donnell","given":"Martin","non-dropping-particle":"","parse-names":false,"suffix":""},{"dropping-particle":"","family":"Lawrence","given":"John","non-dropping-particle":"","parse-names":false,"suffix":""},{"dropping-particle":"","family":"Lewis","given":"Gayle","non-dropping-particle":"","parse-names":false,"suffix":""},{"dropping-particle":"","family":"Afzal","given":"Rizwan","non-dropping-particle":"","parse-names":false,"suffix":""},{"dropping-particle":"","family":"Yusuf","given":"Salim","non-dropping-particle":"","parse-names":false,"suffix":""},{"dropping-particle":"","family":"AVERROES Steering Committee and Investigators","given":"","non-dropping-particle":"","parse-names":false,"suffix":""}],"container-title":"New England Journal of Medicine","id":"ITEM-1","issue":"9","issued":{"date-parts":[["2011"]]},"page":"806-817","title":"Apixaban in Patients with Atrial Fibrillation","type":"article-journal","volume":"364"},"uris":["http://www.mendeley.com/documents/?uuid=c6892c76-0385-331d-9c78-f994a915c684"]}],"mendeley":{"formattedCitation":"[11]","plainTextFormattedCitation":"[11]","previouslyFormattedCitation":"[11]"},"properties":{"noteIndex":0},"schema":"https://github.com/citation-style-language/schema/raw/master/csl-citation.json"}</w:instrText>
            </w:r>
            <w:r w:rsidRPr="00733BA4">
              <w:rPr>
                <w:sz w:val="16"/>
              </w:rPr>
              <w:fldChar w:fldCharType="separate"/>
            </w:r>
            <w:r w:rsidRPr="00FE59A1">
              <w:rPr>
                <w:noProof/>
                <w:sz w:val="16"/>
              </w:rPr>
              <w:t>[11]</w:t>
            </w:r>
            <w:r w:rsidRPr="00733BA4">
              <w:rPr>
                <w:sz w:val="16"/>
              </w:rPr>
              <w:fldChar w:fldCharType="end"/>
            </w:r>
          </w:p>
        </w:tc>
      </w:tr>
      <w:tr w:rsidR="00994FB7" w:rsidRPr="00733BA4" w:rsidTr="005B5147">
        <w:tc>
          <w:tcPr>
            <w:tcW w:w="635" w:type="pct"/>
          </w:tcPr>
          <w:p w:rsidR="00994FB7" w:rsidRPr="00733BA4" w:rsidRDefault="00994FB7" w:rsidP="005B5147">
            <w:pPr>
              <w:spacing w:line="276" w:lineRule="auto"/>
              <w:rPr>
                <w:sz w:val="16"/>
              </w:rPr>
            </w:pPr>
            <w:r>
              <w:rPr>
                <w:sz w:val="16"/>
              </w:rPr>
              <w:t>Event unrelated AC</w:t>
            </w:r>
            <w:r w:rsidRPr="00733BA4">
              <w:rPr>
                <w:sz w:val="16"/>
              </w:rPr>
              <w:t xml:space="preserve"> discontinuation</w:t>
            </w:r>
          </w:p>
        </w:tc>
        <w:tc>
          <w:tcPr>
            <w:tcW w:w="644" w:type="pct"/>
            <w:vAlign w:val="center"/>
          </w:tcPr>
          <w:p w:rsidR="00994FB7" w:rsidRPr="00733BA4" w:rsidRDefault="00994FB7" w:rsidP="005B5147">
            <w:pPr>
              <w:spacing w:line="276" w:lineRule="auto"/>
              <w:jc w:val="center"/>
              <w:rPr>
                <w:sz w:val="16"/>
              </w:rPr>
            </w:pPr>
            <w:r w:rsidRPr="00733BA4">
              <w:rPr>
                <w:sz w:val="16"/>
              </w:rPr>
              <w:t>13.177 (7.532-20.375)</w:t>
            </w:r>
          </w:p>
        </w:tc>
        <w:tc>
          <w:tcPr>
            <w:tcW w:w="648" w:type="pct"/>
            <w:vAlign w:val="center"/>
          </w:tcPr>
          <w:p w:rsidR="00994FB7" w:rsidRPr="00733BA4" w:rsidRDefault="00994FB7" w:rsidP="005B5147">
            <w:pPr>
              <w:spacing w:line="276" w:lineRule="auto"/>
              <w:jc w:val="center"/>
              <w:rPr>
                <w:sz w:val="16"/>
              </w:rPr>
            </w:pPr>
            <w:r w:rsidRPr="00733BA4">
              <w:rPr>
                <w:sz w:val="16"/>
              </w:rPr>
              <w:t>14.405 (8.234-22.274)</w:t>
            </w:r>
          </w:p>
        </w:tc>
        <w:tc>
          <w:tcPr>
            <w:tcW w:w="640" w:type="pct"/>
            <w:vAlign w:val="center"/>
          </w:tcPr>
          <w:p w:rsidR="00994FB7" w:rsidRPr="00733BA4" w:rsidRDefault="00994FB7" w:rsidP="005B5147">
            <w:pPr>
              <w:spacing w:line="276" w:lineRule="auto"/>
              <w:jc w:val="center"/>
              <w:rPr>
                <w:sz w:val="16"/>
              </w:rPr>
            </w:pPr>
            <w:r w:rsidRPr="00733BA4">
              <w:rPr>
                <w:sz w:val="16"/>
              </w:rPr>
              <w:t>1.450 (1.310-1.610)</w:t>
            </w:r>
          </w:p>
        </w:tc>
        <w:tc>
          <w:tcPr>
            <w:tcW w:w="644" w:type="pct"/>
            <w:vAlign w:val="center"/>
          </w:tcPr>
          <w:p w:rsidR="00994FB7" w:rsidRPr="00733BA4" w:rsidRDefault="00994FB7" w:rsidP="005B5147">
            <w:pPr>
              <w:spacing w:line="276" w:lineRule="auto"/>
              <w:jc w:val="center"/>
              <w:rPr>
                <w:sz w:val="16"/>
              </w:rPr>
            </w:pPr>
            <w:r w:rsidRPr="00733BA4">
              <w:rPr>
                <w:sz w:val="16"/>
              </w:rPr>
              <w:t>1.500 (1.360-1.670)</w:t>
            </w:r>
          </w:p>
        </w:tc>
        <w:tc>
          <w:tcPr>
            <w:tcW w:w="644" w:type="pct"/>
            <w:vAlign w:val="center"/>
          </w:tcPr>
          <w:p w:rsidR="00994FB7" w:rsidRPr="00733BA4" w:rsidRDefault="00994FB7" w:rsidP="005B5147">
            <w:pPr>
              <w:tabs>
                <w:tab w:val="left" w:pos="765"/>
              </w:tabs>
              <w:spacing w:line="276" w:lineRule="auto"/>
              <w:jc w:val="center"/>
              <w:rPr>
                <w:sz w:val="16"/>
              </w:rPr>
            </w:pPr>
            <w:r w:rsidRPr="00733BA4">
              <w:rPr>
                <w:sz w:val="16"/>
              </w:rPr>
              <w:t>1.180 (1.080-1.290)</w:t>
            </w:r>
          </w:p>
        </w:tc>
        <w:tc>
          <w:tcPr>
            <w:tcW w:w="646" w:type="pct"/>
            <w:vAlign w:val="center"/>
          </w:tcPr>
          <w:p w:rsidR="00994FB7" w:rsidRPr="00733BA4" w:rsidRDefault="00994FB7" w:rsidP="005B5147">
            <w:pPr>
              <w:spacing w:line="276" w:lineRule="auto"/>
              <w:jc w:val="center"/>
              <w:rPr>
                <w:sz w:val="16"/>
              </w:rPr>
            </w:pPr>
            <w:r w:rsidRPr="00733BA4">
              <w:rPr>
                <w:sz w:val="16"/>
              </w:rPr>
              <w:t>1.100 (1.010-1.190)</w:t>
            </w:r>
          </w:p>
        </w:tc>
        <w:tc>
          <w:tcPr>
            <w:tcW w:w="499" w:type="pc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tcPr>
          <w:p w:rsidR="00994FB7" w:rsidRPr="00733BA4" w:rsidRDefault="00994FB7" w:rsidP="005B5147">
            <w:pPr>
              <w:spacing w:line="276" w:lineRule="auto"/>
              <w:rPr>
                <w:sz w:val="16"/>
              </w:rPr>
            </w:pPr>
          </w:p>
        </w:tc>
        <w:tc>
          <w:tcPr>
            <w:tcW w:w="4365" w:type="pct"/>
            <w:gridSpan w:val="7"/>
            <w:vAlign w:val="center"/>
          </w:tcPr>
          <w:p w:rsidR="00994FB7" w:rsidRPr="00733BA4" w:rsidRDefault="00994FB7" w:rsidP="005B5147">
            <w:pPr>
              <w:spacing w:line="276" w:lineRule="auto"/>
              <w:jc w:val="center"/>
              <w:rPr>
                <w:b/>
                <w:sz w:val="16"/>
              </w:rPr>
            </w:pPr>
            <w:r w:rsidRPr="00733BA4">
              <w:rPr>
                <w:b/>
                <w:sz w:val="16"/>
              </w:rPr>
              <w:t>Distribution of severity or origin of event (% of patients)</w:t>
            </w:r>
          </w:p>
        </w:tc>
      </w:tr>
      <w:tr w:rsidR="00994FB7" w:rsidRPr="00733BA4" w:rsidTr="005B5147">
        <w:tc>
          <w:tcPr>
            <w:tcW w:w="635" w:type="pct"/>
          </w:tcPr>
          <w:p w:rsidR="00994FB7" w:rsidRPr="00733BA4" w:rsidRDefault="00994FB7" w:rsidP="005B5147">
            <w:pPr>
              <w:spacing w:line="276" w:lineRule="auto"/>
              <w:rPr>
                <w:sz w:val="16"/>
              </w:rPr>
            </w:pPr>
          </w:p>
        </w:tc>
        <w:tc>
          <w:tcPr>
            <w:tcW w:w="644" w:type="pct"/>
            <w:vAlign w:val="center"/>
          </w:tcPr>
          <w:p w:rsidR="00994FB7" w:rsidRPr="00733BA4" w:rsidRDefault="00994FB7" w:rsidP="005B5147">
            <w:pPr>
              <w:spacing w:line="276" w:lineRule="auto"/>
              <w:jc w:val="center"/>
              <w:rPr>
                <w:b/>
                <w:sz w:val="16"/>
              </w:rPr>
            </w:pPr>
            <w:r w:rsidRPr="00733BA4">
              <w:rPr>
                <w:b/>
                <w:sz w:val="16"/>
              </w:rPr>
              <w:t>Apixaban</w:t>
            </w:r>
          </w:p>
        </w:tc>
        <w:tc>
          <w:tcPr>
            <w:tcW w:w="648" w:type="pct"/>
            <w:vAlign w:val="center"/>
          </w:tcPr>
          <w:p w:rsidR="00994FB7" w:rsidRPr="00733BA4" w:rsidRDefault="00994FB7" w:rsidP="005B5147">
            <w:pPr>
              <w:spacing w:line="276" w:lineRule="auto"/>
              <w:jc w:val="center"/>
              <w:rPr>
                <w:b/>
                <w:sz w:val="16"/>
              </w:rPr>
            </w:pPr>
            <w:r w:rsidRPr="00733BA4">
              <w:rPr>
                <w:b/>
                <w:sz w:val="16"/>
              </w:rPr>
              <w:t>VKA</w:t>
            </w:r>
          </w:p>
        </w:tc>
        <w:tc>
          <w:tcPr>
            <w:tcW w:w="640" w:type="pct"/>
            <w:vAlign w:val="center"/>
          </w:tcPr>
          <w:p w:rsidR="00994FB7" w:rsidRPr="00733BA4" w:rsidRDefault="00994FB7" w:rsidP="005B5147">
            <w:pPr>
              <w:spacing w:line="276" w:lineRule="auto"/>
              <w:jc w:val="center"/>
              <w:rPr>
                <w:b/>
                <w:sz w:val="16"/>
              </w:rPr>
            </w:pPr>
            <w:r w:rsidRPr="00733BA4">
              <w:rPr>
                <w:b/>
                <w:sz w:val="16"/>
              </w:rPr>
              <w:t>Dabigatran (110 mg)</w:t>
            </w:r>
          </w:p>
        </w:tc>
        <w:tc>
          <w:tcPr>
            <w:tcW w:w="644" w:type="pct"/>
            <w:vAlign w:val="center"/>
          </w:tcPr>
          <w:p w:rsidR="00994FB7" w:rsidRPr="00733BA4" w:rsidRDefault="00994FB7" w:rsidP="005B5147">
            <w:pPr>
              <w:spacing w:line="276" w:lineRule="auto"/>
              <w:jc w:val="center"/>
              <w:rPr>
                <w:b/>
                <w:sz w:val="16"/>
              </w:rPr>
            </w:pPr>
            <w:r w:rsidRPr="00733BA4">
              <w:rPr>
                <w:b/>
                <w:sz w:val="16"/>
              </w:rPr>
              <w:t>Dabigatran (150 mg)</w:t>
            </w:r>
          </w:p>
        </w:tc>
        <w:tc>
          <w:tcPr>
            <w:tcW w:w="644" w:type="pct"/>
            <w:vAlign w:val="center"/>
          </w:tcPr>
          <w:p w:rsidR="00994FB7" w:rsidRPr="00733BA4" w:rsidRDefault="00994FB7" w:rsidP="005B5147">
            <w:pPr>
              <w:spacing w:line="276" w:lineRule="auto"/>
              <w:jc w:val="center"/>
              <w:rPr>
                <w:b/>
                <w:sz w:val="16"/>
              </w:rPr>
            </w:pPr>
            <w:r w:rsidRPr="00733BA4">
              <w:rPr>
                <w:b/>
                <w:sz w:val="16"/>
              </w:rPr>
              <w:t>Rivaroxaban</w:t>
            </w:r>
          </w:p>
        </w:tc>
        <w:tc>
          <w:tcPr>
            <w:tcW w:w="646" w:type="pct"/>
            <w:vAlign w:val="center"/>
          </w:tcPr>
          <w:p w:rsidR="00994FB7" w:rsidRPr="00733BA4" w:rsidRDefault="00994FB7" w:rsidP="005B5147">
            <w:pPr>
              <w:spacing w:line="276" w:lineRule="auto"/>
              <w:jc w:val="center"/>
              <w:rPr>
                <w:b/>
                <w:sz w:val="16"/>
              </w:rPr>
            </w:pPr>
            <w:r w:rsidRPr="00733BA4">
              <w:rPr>
                <w:b/>
                <w:sz w:val="16"/>
              </w:rPr>
              <w:t>Edoxaban</w:t>
            </w:r>
          </w:p>
        </w:tc>
        <w:tc>
          <w:tcPr>
            <w:tcW w:w="499" w:type="pct"/>
            <w:vAlign w:val="center"/>
          </w:tcPr>
          <w:p w:rsidR="00994FB7" w:rsidRPr="00733BA4" w:rsidRDefault="00994FB7" w:rsidP="005B5147">
            <w:pPr>
              <w:spacing w:line="276" w:lineRule="auto"/>
              <w:jc w:val="center"/>
              <w:rPr>
                <w:b/>
                <w:sz w:val="16"/>
              </w:rPr>
            </w:pPr>
            <w:r w:rsidRPr="00733BA4">
              <w:rPr>
                <w:b/>
                <w:sz w:val="16"/>
              </w:rPr>
              <w:t>Source</w:t>
            </w:r>
          </w:p>
        </w:tc>
      </w:tr>
      <w:tr w:rsidR="00994FB7" w:rsidRPr="00733BA4" w:rsidTr="005B5147">
        <w:tc>
          <w:tcPr>
            <w:tcW w:w="635" w:type="pct"/>
          </w:tcPr>
          <w:p w:rsidR="00994FB7" w:rsidRPr="00733BA4" w:rsidRDefault="00994FB7" w:rsidP="005B5147">
            <w:pPr>
              <w:spacing w:line="276" w:lineRule="auto"/>
              <w:rPr>
                <w:sz w:val="16"/>
              </w:rPr>
            </w:pPr>
            <w:r>
              <w:rPr>
                <w:sz w:val="16"/>
              </w:rPr>
              <w:t>Ischaemic stroke</w:t>
            </w:r>
          </w:p>
        </w:tc>
        <w:tc>
          <w:tcPr>
            <w:tcW w:w="4365" w:type="pct"/>
            <w:gridSpan w:val="7"/>
            <w:vAlign w:val="center"/>
          </w:tcPr>
          <w:p w:rsidR="00994FB7" w:rsidRPr="00733BA4" w:rsidRDefault="00994FB7" w:rsidP="005B5147">
            <w:pPr>
              <w:spacing w:line="276" w:lineRule="auto"/>
              <w:jc w:val="center"/>
              <w:rPr>
                <w:b/>
                <w:sz w:val="16"/>
              </w:rPr>
            </w:pP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Mild</w:t>
            </w:r>
          </w:p>
        </w:tc>
        <w:tc>
          <w:tcPr>
            <w:tcW w:w="644" w:type="pct"/>
            <w:vAlign w:val="center"/>
          </w:tcPr>
          <w:p w:rsidR="00994FB7" w:rsidRPr="00733BA4" w:rsidRDefault="00994FB7" w:rsidP="005B5147">
            <w:pPr>
              <w:spacing w:line="276" w:lineRule="auto"/>
              <w:jc w:val="center"/>
              <w:rPr>
                <w:sz w:val="16"/>
              </w:rPr>
            </w:pPr>
            <w:r w:rsidRPr="00733BA4">
              <w:rPr>
                <w:sz w:val="16"/>
              </w:rPr>
              <w:t>53 (44-62)</w:t>
            </w:r>
          </w:p>
        </w:tc>
        <w:tc>
          <w:tcPr>
            <w:tcW w:w="648" w:type="pct"/>
            <w:vAlign w:val="center"/>
          </w:tcPr>
          <w:p w:rsidR="00994FB7" w:rsidRPr="00733BA4" w:rsidRDefault="00994FB7" w:rsidP="005B5147">
            <w:pPr>
              <w:spacing w:line="276" w:lineRule="auto"/>
              <w:jc w:val="center"/>
              <w:rPr>
                <w:sz w:val="16"/>
              </w:rPr>
            </w:pPr>
            <w:r w:rsidRPr="00733BA4">
              <w:rPr>
                <w:sz w:val="16"/>
              </w:rPr>
              <w:t>45 (36-54)</w:t>
            </w:r>
          </w:p>
        </w:tc>
        <w:tc>
          <w:tcPr>
            <w:tcW w:w="640" w:type="pct"/>
            <w:vAlign w:val="center"/>
          </w:tcPr>
          <w:p w:rsidR="00994FB7" w:rsidRPr="00733BA4" w:rsidRDefault="00994FB7" w:rsidP="005B5147">
            <w:pPr>
              <w:spacing w:line="276" w:lineRule="auto"/>
              <w:jc w:val="center"/>
              <w:rPr>
                <w:sz w:val="16"/>
              </w:rPr>
            </w:pPr>
            <w:r w:rsidRPr="00733BA4">
              <w:rPr>
                <w:sz w:val="16"/>
              </w:rPr>
              <w:t>35 (28-42)</w:t>
            </w:r>
          </w:p>
        </w:tc>
        <w:tc>
          <w:tcPr>
            <w:tcW w:w="644" w:type="pct"/>
            <w:vAlign w:val="center"/>
          </w:tcPr>
          <w:p w:rsidR="00994FB7" w:rsidRPr="00733BA4" w:rsidRDefault="00994FB7" w:rsidP="005B5147">
            <w:pPr>
              <w:spacing w:line="276" w:lineRule="auto"/>
              <w:jc w:val="center"/>
              <w:rPr>
                <w:sz w:val="16"/>
              </w:rPr>
            </w:pPr>
            <w:r w:rsidRPr="00733BA4">
              <w:rPr>
                <w:sz w:val="16"/>
              </w:rPr>
              <w:t>35 (28-42)</w:t>
            </w:r>
          </w:p>
        </w:tc>
        <w:tc>
          <w:tcPr>
            <w:tcW w:w="644" w:type="pct"/>
            <w:vAlign w:val="center"/>
          </w:tcPr>
          <w:p w:rsidR="00994FB7" w:rsidRPr="00733BA4" w:rsidRDefault="00994FB7" w:rsidP="005B5147">
            <w:pPr>
              <w:spacing w:line="276" w:lineRule="auto"/>
              <w:jc w:val="center"/>
              <w:rPr>
                <w:sz w:val="16"/>
              </w:rPr>
            </w:pPr>
            <w:r w:rsidRPr="00733BA4">
              <w:rPr>
                <w:sz w:val="16"/>
              </w:rPr>
              <w:t>49 (42-56)</w:t>
            </w:r>
          </w:p>
        </w:tc>
        <w:tc>
          <w:tcPr>
            <w:tcW w:w="646" w:type="pct"/>
            <w:vAlign w:val="center"/>
          </w:tcPr>
          <w:p w:rsidR="00994FB7" w:rsidRPr="00733BA4" w:rsidRDefault="00994FB7" w:rsidP="005B5147">
            <w:pPr>
              <w:spacing w:line="276" w:lineRule="auto"/>
              <w:jc w:val="center"/>
              <w:rPr>
                <w:sz w:val="16"/>
              </w:rPr>
            </w:pPr>
            <w:r w:rsidRPr="00733BA4">
              <w:rPr>
                <w:sz w:val="16"/>
              </w:rPr>
              <w:t>47 (40-54)</w:t>
            </w:r>
          </w:p>
        </w:tc>
        <w:tc>
          <w:tcPr>
            <w:tcW w:w="499" w:type="pc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 xml:space="preserve">Moderate </w:t>
            </w:r>
          </w:p>
        </w:tc>
        <w:tc>
          <w:tcPr>
            <w:tcW w:w="644" w:type="pct"/>
            <w:vAlign w:val="center"/>
          </w:tcPr>
          <w:p w:rsidR="00994FB7" w:rsidRPr="00733BA4" w:rsidRDefault="00994FB7" w:rsidP="005B5147">
            <w:pPr>
              <w:spacing w:line="276" w:lineRule="auto"/>
              <w:jc w:val="center"/>
              <w:rPr>
                <w:sz w:val="16"/>
              </w:rPr>
            </w:pPr>
            <w:r w:rsidRPr="00733BA4">
              <w:rPr>
                <w:sz w:val="16"/>
              </w:rPr>
              <w:t>21 (14-29)</w:t>
            </w:r>
          </w:p>
        </w:tc>
        <w:tc>
          <w:tcPr>
            <w:tcW w:w="648" w:type="pct"/>
            <w:vAlign w:val="center"/>
          </w:tcPr>
          <w:p w:rsidR="00994FB7" w:rsidRPr="00733BA4" w:rsidRDefault="00994FB7" w:rsidP="005B5147">
            <w:pPr>
              <w:spacing w:line="276" w:lineRule="auto"/>
              <w:jc w:val="center"/>
              <w:rPr>
                <w:sz w:val="16"/>
              </w:rPr>
            </w:pPr>
            <w:r w:rsidRPr="00733BA4">
              <w:rPr>
                <w:sz w:val="16"/>
              </w:rPr>
              <w:t>30 (22-39)</w:t>
            </w:r>
          </w:p>
        </w:tc>
        <w:tc>
          <w:tcPr>
            <w:tcW w:w="640" w:type="pct"/>
            <w:vAlign w:val="center"/>
          </w:tcPr>
          <w:p w:rsidR="00994FB7" w:rsidRPr="00733BA4" w:rsidRDefault="00994FB7" w:rsidP="005B5147">
            <w:pPr>
              <w:spacing w:line="276" w:lineRule="auto"/>
              <w:jc w:val="center"/>
              <w:rPr>
                <w:sz w:val="16"/>
              </w:rPr>
            </w:pPr>
            <w:r w:rsidRPr="00733BA4">
              <w:rPr>
                <w:sz w:val="16"/>
              </w:rPr>
              <w:t>28 (22-35)</w:t>
            </w:r>
          </w:p>
        </w:tc>
        <w:tc>
          <w:tcPr>
            <w:tcW w:w="644" w:type="pct"/>
            <w:vAlign w:val="center"/>
          </w:tcPr>
          <w:p w:rsidR="00994FB7" w:rsidRPr="00733BA4" w:rsidRDefault="00994FB7" w:rsidP="005B5147">
            <w:pPr>
              <w:spacing w:line="276" w:lineRule="auto"/>
              <w:jc w:val="center"/>
              <w:rPr>
                <w:sz w:val="16"/>
              </w:rPr>
            </w:pPr>
            <w:r w:rsidRPr="00733BA4">
              <w:rPr>
                <w:sz w:val="16"/>
              </w:rPr>
              <w:t>22 (16-28)</w:t>
            </w:r>
          </w:p>
        </w:tc>
        <w:tc>
          <w:tcPr>
            <w:tcW w:w="644" w:type="pct"/>
            <w:vAlign w:val="center"/>
          </w:tcPr>
          <w:p w:rsidR="00994FB7" w:rsidRPr="00733BA4" w:rsidRDefault="00994FB7" w:rsidP="005B5147">
            <w:pPr>
              <w:spacing w:line="276" w:lineRule="auto"/>
              <w:jc w:val="center"/>
              <w:rPr>
                <w:sz w:val="16"/>
              </w:rPr>
            </w:pPr>
            <w:r w:rsidRPr="00733BA4">
              <w:rPr>
                <w:sz w:val="16"/>
              </w:rPr>
              <w:t>18 (13-24)</w:t>
            </w:r>
          </w:p>
        </w:tc>
        <w:tc>
          <w:tcPr>
            <w:tcW w:w="646" w:type="pct"/>
            <w:vAlign w:val="center"/>
          </w:tcPr>
          <w:p w:rsidR="00994FB7" w:rsidRPr="00733BA4" w:rsidRDefault="00994FB7" w:rsidP="005B5147">
            <w:pPr>
              <w:spacing w:line="276" w:lineRule="auto"/>
              <w:jc w:val="center"/>
              <w:rPr>
                <w:sz w:val="16"/>
              </w:rPr>
            </w:pPr>
            <w:r w:rsidRPr="00733BA4">
              <w:rPr>
                <w:sz w:val="16"/>
              </w:rPr>
              <w:t>18 (13-24)</w:t>
            </w:r>
          </w:p>
        </w:tc>
        <w:tc>
          <w:tcPr>
            <w:tcW w:w="499" w:type="pc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 xml:space="preserve">Severe </w:t>
            </w:r>
          </w:p>
        </w:tc>
        <w:tc>
          <w:tcPr>
            <w:tcW w:w="644" w:type="pct"/>
            <w:vAlign w:val="center"/>
          </w:tcPr>
          <w:p w:rsidR="00994FB7" w:rsidRPr="00733BA4" w:rsidRDefault="00994FB7" w:rsidP="005B5147">
            <w:pPr>
              <w:spacing w:line="276" w:lineRule="auto"/>
              <w:jc w:val="center"/>
              <w:rPr>
                <w:sz w:val="16"/>
              </w:rPr>
            </w:pPr>
            <w:r w:rsidRPr="00733BA4">
              <w:rPr>
                <w:sz w:val="16"/>
              </w:rPr>
              <w:t>8 (4-14)</w:t>
            </w:r>
          </w:p>
        </w:tc>
        <w:tc>
          <w:tcPr>
            <w:tcW w:w="648" w:type="pct"/>
            <w:vAlign w:val="center"/>
          </w:tcPr>
          <w:p w:rsidR="00994FB7" w:rsidRPr="00733BA4" w:rsidRDefault="00994FB7" w:rsidP="005B5147">
            <w:pPr>
              <w:spacing w:line="276" w:lineRule="auto"/>
              <w:jc w:val="center"/>
              <w:rPr>
                <w:sz w:val="16"/>
              </w:rPr>
            </w:pPr>
            <w:r w:rsidRPr="00733BA4">
              <w:rPr>
                <w:sz w:val="16"/>
              </w:rPr>
              <w:t>10 (5-16)</w:t>
            </w:r>
          </w:p>
        </w:tc>
        <w:tc>
          <w:tcPr>
            <w:tcW w:w="640" w:type="pct"/>
            <w:vAlign w:val="center"/>
          </w:tcPr>
          <w:p w:rsidR="00994FB7" w:rsidRPr="00733BA4" w:rsidRDefault="00994FB7" w:rsidP="005B5147">
            <w:pPr>
              <w:spacing w:line="276" w:lineRule="auto"/>
              <w:jc w:val="center"/>
              <w:rPr>
                <w:sz w:val="16"/>
              </w:rPr>
            </w:pPr>
            <w:r w:rsidRPr="00733BA4">
              <w:rPr>
                <w:sz w:val="16"/>
              </w:rPr>
              <w:t>10 (6-15)</w:t>
            </w:r>
          </w:p>
        </w:tc>
        <w:tc>
          <w:tcPr>
            <w:tcW w:w="644" w:type="pct"/>
            <w:vAlign w:val="center"/>
          </w:tcPr>
          <w:p w:rsidR="00994FB7" w:rsidRPr="00733BA4" w:rsidRDefault="00994FB7" w:rsidP="005B5147">
            <w:pPr>
              <w:spacing w:line="276" w:lineRule="auto"/>
              <w:jc w:val="center"/>
              <w:rPr>
                <w:sz w:val="16"/>
              </w:rPr>
            </w:pPr>
            <w:r w:rsidRPr="00733BA4">
              <w:rPr>
                <w:sz w:val="16"/>
              </w:rPr>
              <w:t>8 (5-12)</w:t>
            </w:r>
          </w:p>
        </w:tc>
        <w:tc>
          <w:tcPr>
            <w:tcW w:w="644" w:type="pct"/>
            <w:vAlign w:val="center"/>
          </w:tcPr>
          <w:p w:rsidR="00994FB7" w:rsidRPr="00733BA4" w:rsidRDefault="00994FB7" w:rsidP="005B5147">
            <w:pPr>
              <w:spacing w:line="276" w:lineRule="auto"/>
              <w:jc w:val="center"/>
              <w:rPr>
                <w:sz w:val="16"/>
              </w:rPr>
            </w:pPr>
            <w:r w:rsidRPr="00733BA4">
              <w:rPr>
                <w:sz w:val="16"/>
              </w:rPr>
              <w:t>6 (3-10)</w:t>
            </w:r>
          </w:p>
        </w:tc>
        <w:tc>
          <w:tcPr>
            <w:tcW w:w="646" w:type="pct"/>
            <w:vAlign w:val="center"/>
          </w:tcPr>
          <w:p w:rsidR="00994FB7" w:rsidRPr="00733BA4" w:rsidRDefault="00994FB7" w:rsidP="005B5147">
            <w:pPr>
              <w:spacing w:line="276" w:lineRule="auto"/>
              <w:jc w:val="center"/>
              <w:rPr>
                <w:sz w:val="16"/>
              </w:rPr>
            </w:pPr>
            <w:r w:rsidRPr="00733BA4">
              <w:rPr>
                <w:sz w:val="16"/>
              </w:rPr>
              <w:t>6 (3-10)</w:t>
            </w:r>
          </w:p>
        </w:tc>
        <w:tc>
          <w:tcPr>
            <w:tcW w:w="499" w:type="pc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 xml:space="preserve">Fatal </w:t>
            </w:r>
          </w:p>
        </w:tc>
        <w:tc>
          <w:tcPr>
            <w:tcW w:w="644" w:type="pct"/>
            <w:vAlign w:val="center"/>
          </w:tcPr>
          <w:p w:rsidR="00994FB7" w:rsidRPr="00733BA4" w:rsidRDefault="00994FB7" w:rsidP="005B5147">
            <w:pPr>
              <w:spacing w:line="276" w:lineRule="auto"/>
              <w:jc w:val="center"/>
              <w:rPr>
                <w:sz w:val="16"/>
              </w:rPr>
            </w:pPr>
            <w:r w:rsidRPr="00733BA4">
              <w:rPr>
                <w:sz w:val="16"/>
              </w:rPr>
              <w:t>18 (11-26)</w:t>
            </w:r>
          </w:p>
        </w:tc>
        <w:tc>
          <w:tcPr>
            <w:tcW w:w="648" w:type="pct"/>
            <w:vAlign w:val="center"/>
          </w:tcPr>
          <w:p w:rsidR="00994FB7" w:rsidRPr="00733BA4" w:rsidRDefault="00994FB7" w:rsidP="005B5147">
            <w:pPr>
              <w:spacing w:line="276" w:lineRule="auto"/>
              <w:jc w:val="center"/>
              <w:rPr>
                <w:sz w:val="16"/>
              </w:rPr>
            </w:pPr>
            <w:r w:rsidRPr="00733BA4">
              <w:rPr>
                <w:sz w:val="16"/>
              </w:rPr>
              <w:t>15 (9-22)</w:t>
            </w:r>
          </w:p>
        </w:tc>
        <w:tc>
          <w:tcPr>
            <w:tcW w:w="640" w:type="pct"/>
            <w:vAlign w:val="center"/>
          </w:tcPr>
          <w:p w:rsidR="00994FB7" w:rsidRPr="00733BA4" w:rsidRDefault="00994FB7" w:rsidP="005B5147">
            <w:pPr>
              <w:spacing w:line="276" w:lineRule="auto"/>
              <w:jc w:val="center"/>
              <w:rPr>
                <w:sz w:val="16"/>
              </w:rPr>
            </w:pPr>
            <w:r w:rsidRPr="00733BA4">
              <w:rPr>
                <w:sz w:val="16"/>
              </w:rPr>
              <w:t>27 (21-34)</w:t>
            </w:r>
          </w:p>
        </w:tc>
        <w:tc>
          <w:tcPr>
            <w:tcW w:w="644" w:type="pct"/>
            <w:vAlign w:val="center"/>
          </w:tcPr>
          <w:p w:rsidR="00994FB7" w:rsidRPr="00733BA4" w:rsidRDefault="00994FB7" w:rsidP="005B5147">
            <w:pPr>
              <w:spacing w:line="276" w:lineRule="auto"/>
              <w:jc w:val="center"/>
              <w:rPr>
                <w:sz w:val="16"/>
              </w:rPr>
            </w:pPr>
            <w:r w:rsidRPr="00733BA4">
              <w:rPr>
                <w:sz w:val="16"/>
              </w:rPr>
              <w:t>35 (28-42)</w:t>
            </w:r>
          </w:p>
        </w:tc>
        <w:tc>
          <w:tcPr>
            <w:tcW w:w="644" w:type="pct"/>
            <w:vAlign w:val="center"/>
          </w:tcPr>
          <w:p w:rsidR="00994FB7" w:rsidRPr="00733BA4" w:rsidRDefault="00994FB7" w:rsidP="005B5147">
            <w:pPr>
              <w:spacing w:line="276" w:lineRule="auto"/>
              <w:jc w:val="center"/>
              <w:rPr>
                <w:sz w:val="16"/>
              </w:rPr>
            </w:pPr>
            <w:r w:rsidRPr="00733BA4">
              <w:rPr>
                <w:sz w:val="16"/>
              </w:rPr>
              <w:t>27 (21-34)</w:t>
            </w:r>
          </w:p>
        </w:tc>
        <w:tc>
          <w:tcPr>
            <w:tcW w:w="646" w:type="pct"/>
            <w:vAlign w:val="center"/>
          </w:tcPr>
          <w:p w:rsidR="00994FB7" w:rsidRPr="00733BA4" w:rsidRDefault="00994FB7" w:rsidP="005B5147">
            <w:pPr>
              <w:spacing w:line="276" w:lineRule="auto"/>
              <w:jc w:val="center"/>
              <w:rPr>
                <w:sz w:val="16"/>
              </w:rPr>
            </w:pPr>
            <w:r w:rsidRPr="00733BA4">
              <w:rPr>
                <w:sz w:val="16"/>
              </w:rPr>
              <w:t>29 (22-36)</w:t>
            </w:r>
          </w:p>
        </w:tc>
        <w:tc>
          <w:tcPr>
            <w:tcW w:w="499" w:type="pc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tcPr>
          <w:p w:rsidR="00994FB7" w:rsidRPr="00733BA4" w:rsidRDefault="00994FB7" w:rsidP="005B5147">
            <w:pPr>
              <w:spacing w:line="276" w:lineRule="auto"/>
              <w:rPr>
                <w:sz w:val="16"/>
              </w:rPr>
            </w:pPr>
            <w:r>
              <w:rPr>
                <w:sz w:val="16"/>
              </w:rPr>
              <w:t>Haemorrhagic stroke</w:t>
            </w:r>
          </w:p>
        </w:tc>
        <w:tc>
          <w:tcPr>
            <w:tcW w:w="4365" w:type="pct"/>
            <w:gridSpan w:val="7"/>
            <w:vAlign w:val="center"/>
          </w:tcPr>
          <w:p w:rsidR="00994FB7" w:rsidRPr="00733BA4" w:rsidRDefault="00994FB7" w:rsidP="005B5147">
            <w:pPr>
              <w:spacing w:line="276" w:lineRule="auto"/>
              <w:jc w:val="center"/>
              <w:rPr>
                <w:sz w:val="16"/>
              </w:rPr>
            </w:pP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 xml:space="preserve">Mild </w:t>
            </w:r>
          </w:p>
        </w:tc>
        <w:tc>
          <w:tcPr>
            <w:tcW w:w="644" w:type="pct"/>
            <w:vAlign w:val="center"/>
          </w:tcPr>
          <w:p w:rsidR="00994FB7" w:rsidRPr="00733BA4" w:rsidRDefault="00994FB7" w:rsidP="005B5147">
            <w:pPr>
              <w:spacing w:line="276" w:lineRule="auto"/>
              <w:jc w:val="center"/>
              <w:rPr>
                <w:sz w:val="16"/>
              </w:rPr>
            </w:pPr>
            <w:r w:rsidRPr="00733BA4">
              <w:rPr>
                <w:sz w:val="16"/>
              </w:rPr>
              <w:t>23 (10-39)</w:t>
            </w:r>
          </w:p>
        </w:tc>
        <w:tc>
          <w:tcPr>
            <w:tcW w:w="648" w:type="pct"/>
            <w:vAlign w:val="center"/>
          </w:tcPr>
          <w:p w:rsidR="00994FB7" w:rsidRPr="00733BA4" w:rsidRDefault="00994FB7" w:rsidP="005B5147">
            <w:pPr>
              <w:spacing w:line="276" w:lineRule="auto"/>
              <w:jc w:val="center"/>
              <w:rPr>
                <w:sz w:val="16"/>
              </w:rPr>
            </w:pPr>
            <w:r w:rsidRPr="00733BA4">
              <w:rPr>
                <w:sz w:val="16"/>
              </w:rPr>
              <w:t>20 (11-30)</w:t>
            </w:r>
          </w:p>
        </w:tc>
        <w:tc>
          <w:tcPr>
            <w:tcW w:w="640" w:type="pct"/>
            <w:vAlign w:val="center"/>
          </w:tcPr>
          <w:p w:rsidR="00994FB7" w:rsidRPr="00733BA4" w:rsidRDefault="00994FB7" w:rsidP="005B5147">
            <w:pPr>
              <w:spacing w:line="276" w:lineRule="auto"/>
              <w:jc w:val="center"/>
              <w:rPr>
                <w:sz w:val="16"/>
              </w:rPr>
            </w:pPr>
            <w:r w:rsidRPr="00733BA4">
              <w:rPr>
                <w:sz w:val="16"/>
              </w:rPr>
              <w:t>35 (28-42)</w:t>
            </w:r>
          </w:p>
        </w:tc>
        <w:tc>
          <w:tcPr>
            <w:tcW w:w="644" w:type="pct"/>
            <w:vAlign w:val="center"/>
          </w:tcPr>
          <w:p w:rsidR="00994FB7" w:rsidRPr="00733BA4" w:rsidRDefault="00994FB7" w:rsidP="005B5147">
            <w:pPr>
              <w:spacing w:line="276" w:lineRule="auto"/>
              <w:jc w:val="center"/>
              <w:rPr>
                <w:sz w:val="16"/>
              </w:rPr>
            </w:pPr>
            <w:r w:rsidRPr="00733BA4">
              <w:rPr>
                <w:sz w:val="16"/>
              </w:rPr>
              <w:t>35 (28-42)</w:t>
            </w:r>
          </w:p>
        </w:tc>
        <w:tc>
          <w:tcPr>
            <w:tcW w:w="644" w:type="pct"/>
            <w:vAlign w:val="center"/>
          </w:tcPr>
          <w:p w:rsidR="00994FB7" w:rsidRPr="00733BA4" w:rsidRDefault="00994FB7" w:rsidP="005B5147">
            <w:pPr>
              <w:spacing w:line="276" w:lineRule="auto"/>
              <w:jc w:val="center"/>
              <w:rPr>
                <w:sz w:val="16"/>
              </w:rPr>
            </w:pPr>
            <w:r w:rsidRPr="00733BA4">
              <w:rPr>
                <w:sz w:val="16"/>
              </w:rPr>
              <w:t>49 (42-56)</w:t>
            </w:r>
          </w:p>
        </w:tc>
        <w:tc>
          <w:tcPr>
            <w:tcW w:w="646" w:type="pct"/>
            <w:vAlign w:val="center"/>
          </w:tcPr>
          <w:p w:rsidR="00994FB7" w:rsidRPr="00733BA4" w:rsidRDefault="00994FB7" w:rsidP="005B5147">
            <w:pPr>
              <w:spacing w:line="276" w:lineRule="auto"/>
              <w:jc w:val="center"/>
              <w:rPr>
                <w:sz w:val="16"/>
              </w:rPr>
            </w:pPr>
            <w:r w:rsidRPr="00733BA4">
              <w:rPr>
                <w:sz w:val="16"/>
              </w:rPr>
              <w:t>47 (40-54)</w:t>
            </w:r>
          </w:p>
        </w:tc>
        <w:tc>
          <w:tcPr>
            <w:tcW w:w="499" w:type="pc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 xml:space="preserve">Moderate </w:t>
            </w:r>
          </w:p>
        </w:tc>
        <w:tc>
          <w:tcPr>
            <w:tcW w:w="644" w:type="pct"/>
            <w:vAlign w:val="center"/>
          </w:tcPr>
          <w:p w:rsidR="00994FB7" w:rsidRPr="00733BA4" w:rsidRDefault="00994FB7" w:rsidP="005B5147">
            <w:pPr>
              <w:spacing w:line="276" w:lineRule="auto"/>
              <w:jc w:val="center"/>
              <w:rPr>
                <w:sz w:val="16"/>
              </w:rPr>
            </w:pPr>
            <w:r w:rsidRPr="00733BA4">
              <w:rPr>
                <w:sz w:val="16"/>
              </w:rPr>
              <w:t>32 (17-49)</w:t>
            </w:r>
          </w:p>
        </w:tc>
        <w:tc>
          <w:tcPr>
            <w:tcW w:w="648" w:type="pct"/>
            <w:vAlign w:val="center"/>
          </w:tcPr>
          <w:p w:rsidR="00994FB7" w:rsidRPr="00733BA4" w:rsidRDefault="00994FB7" w:rsidP="005B5147">
            <w:pPr>
              <w:spacing w:line="276" w:lineRule="auto"/>
              <w:jc w:val="center"/>
              <w:rPr>
                <w:sz w:val="16"/>
              </w:rPr>
            </w:pPr>
            <w:r w:rsidRPr="00733BA4">
              <w:rPr>
                <w:sz w:val="16"/>
              </w:rPr>
              <w:t>15 (8-24)</w:t>
            </w:r>
          </w:p>
        </w:tc>
        <w:tc>
          <w:tcPr>
            <w:tcW w:w="640" w:type="pct"/>
            <w:vAlign w:val="center"/>
          </w:tcPr>
          <w:p w:rsidR="00994FB7" w:rsidRPr="00733BA4" w:rsidRDefault="00994FB7" w:rsidP="005B5147">
            <w:pPr>
              <w:spacing w:line="276" w:lineRule="auto"/>
              <w:jc w:val="center"/>
              <w:rPr>
                <w:sz w:val="16"/>
              </w:rPr>
            </w:pPr>
            <w:r w:rsidRPr="00733BA4">
              <w:rPr>
                <w:sz w:val="16"/>
              </w:rPr>
              <w:t>28 (22-35)</w:t>
            </w:r>
          </w:p>
        </w:tc>
        <w:tc>
          <w:tcPr>
            <w:tcW w:w="644" w:type="pct"/>
            <w:vAlign w:val="center"/>
          </w:tcPr>
          <w:p w:rsidR="00994FB7" w:rsidRPr="00733BA4" w:rsidRDefault="00994FB7" w:rsidP="005B5147">
            <w:pPr>
              <w:spacing w:line="276" w:lineRule="auto"/>
              <w:jc w:val="center"/>
              <w:rPr>
                <w:sz w:val="16"/>
              </w:rPr>
            </w:pPr>
            <w:r w:rsidRPr="00733BA4">
              <w:rPr>
                <w:sz w:val="16"/>
              </w:rPr>
              <w:t>22 (16-28)</w:t>
            </w:r>
          </w:p>
        </w:tc>
        <w:tc>
          <w:tcPr>
            <w:tcW w:w="644" w:type="pct"/>
            <w:vAlign w:val="center"/>
          </w:tcPr>
          <w:p w:rsidR="00994FB7" w:rsidRPr="00733BA4" w:rsidRDefault="00994FB7" w:rsidP="005B5147">
            <w:pPr>
              <w:spacing w:line="276" w:lineRule="auto"/>
              <w:jc w:val="center"/>
              <w:rPr>
                <w:sz w:val="16"/>
              </w:rPr>
            </w:pPr>
            <w:r w:rsidRPr="00733BA4">
              <w:rPr>
                <w:sz w:val="16"/>
              </w:rPr>
              <w:t>18 (13-24)</w:t>
            </w:r>
          </w:p>
        </w:tc>
        <w:tc>
          <w:tcPr>
            <w:tcW w:w="646" w:type="pct"/>
            <w:vAlign w:val="center"/>
          </w:tcPr>
          <w:p w:rsidR="00994FB7" w:rsidRPr="00733BA4" w:rsidRDefault="00994FB7" w:rsidP="005B5147">
            <w:pPr>
              <w:spacing w:line="276" w:lineRule="auto"/>
              <w:jc w:val="center"/>
              <w:rPr>
                <w:sz w:val="16"/>
              </w:rPr>
            </w:pPr>
            <w:r w:rsidRPr="00733BA4">
              <w:rPr>
                <w:sz w:val="16"/>
              </w:rPr>
              <w:t>18 (13-24)</w:t>
            </w:r>
          </w:p>
        </w:tc>
        <w:tc>
          <w:tcPr>
            <w:tcW w:w="499" w:type="pc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 xml:space="preserve">Severe </w:t>
            </w:r>
          </w:p>
        </w:tc>
        <w:tc>
          <w:tcPr>
            <w:tcW w:w="644" w:type="pct"/>
            <w:vAlign w:val="center"/>
          </w:tcPr>
          <w:p w:rsidR="00994FB7" w:rsidRPr="00733BA4" w:rsidRDefault="00994FB7" w:rsidP="005B5147">
            <w:pPr>
              <w:spacing w:line="276" w:lineRule="auto"/>
              <w:jc w:val="center"/>
              <w:rPr>
                <w:sz w:val="16"/>
              </w:rPr>
            </w:pPr>
            <w:r w:rsidRPr="00733BA4">
              <w:rPr>
                <w:sz w:val="16"/>
              </w:rPr>
              <w:t>10 (2-23)</w:t>
            </w:r>
          </w:p>
        </w:tc>
        <w:tc>
          <w:tcPr>
            <w:tcW w:w="648" w:type="pct"/>
            <w:vAlign w:val="center"/>
          </w:tcPr>
          <w:p w:rsidR="00994FB7" w:rsidRPr="00733BA4" w:rsidRDefault="00994FB7" w:rsidP="005B5147">
            <w:pPr>
              <w:spacing w:line="276" w:lineRule="auto"/>
              <w:jc w:val="center"/>
              <w:rPr>
                <w:sz w:val="16"/>
              </w:rPr>
            </w:pPr>
            <w:r w:rsidRPr="00733BA4">
              <w:rPr>
                <w:sz w:val="16"/>
              </w:rPr>
              <w:t>12 (5-21)</w:t>
            </w:r>
          </w:p>
        </w:tc>
        <w:tc>
          <w:tcPr>
            <w:tcW w:w="640" w:type="pct"/>
            <w:vAlign w:val="center"/>
          </w:tcPr>
          <w:p w:rsidR="00994FB7" w:rsidRPr="00733BA4" w:rsidRDefault="00994FB7" w:rsidP="005B5147">
            <w:pPr>
              <w:spacing w:line="276" w:lineRule="auto"/>
              <w:jc w:val="center"/>
              <w:rPr>
                <w:sz w:val="16"/>
              </w:rPr>
            </w:pPr>
            <w:r w:rsidRPr="00733BA4">
              <w:rPr>
                <w:sz w:val="16"/>
              </w:rPr>
              <w:t>10 (6-15)</w:t>
            </w:r>
          </w:p>
        </w:tc>
        <w:tc>
          <w:tcPr>
            <w:tcW w:w="644" w:type="pct"/>
            <w:vAlign w:val="center"/>
          </w:tcPr>
          <w:p w:rsidR="00994FB7" w:rsidRPr="00733BA4" w:rsidRDefault="00994FB7" w:rsidP="005B5147">
            <w:pPr>
              <w:spacing w:line="276" w:lineRule="auto"/>
              <w:jc w:val="center"/>
              <w:rPr>
                <w:sz w:val="16"/>
              </w:rPr>
            </w:pPr>
            <w:r w:rsidRPr="00733BA4">
              <w:rPr>
                <w:sz w:val="16"/>
              </w:rPr>
              <w:t>8 (5-12)</w:t>
            </w:r>
          </w:p>
        </w:tc>
        <w:tc>
          <w:tcPr>
            <w:tcW w:w="644" w:type="pct"/>
            <w:vAlign w:val="center"/>
          </w:tcPr>
          <w:p w:rsidR="00994FB7" w:rsidRPr="00733BA4" w:rsidRDefault="00994FB7" w:rsidP="005B5147">
            <w:pPr>
              <w:spacing w:line="276" w:lineRule="auto"/>
              <w:jc w:val="center"/>
              <w:rPr>
                <w:sz w:val="16"/>
              </w:rPr>
            </w:pPr>
            <w:r w:rsidRPr="00733BA4">
              <w:rPr>
                <w:sz w:val="16"/>
              </w:rPr>
              <w:t>6 (3-10)</w:t>
            </w:r>
          </w:p>
        </w:tc>
        <w:tc>
          <w:tcPr>
            <w:tcW w:w="646" w:type="pct"/>
            <w:vAlign w:val="center"/>
          </w:tcPr>
          <w:p w:rsidR="00994FB7" w:rsidRPr="00733BA4" w:rsidRDefault="00994FB7" w:rsidP="005B5147">
            <w:pPr>
              <w:spacing w:line="276" w:lineRule="auto"/>
              <w:jc w:val="center"/>
              <w:rPr>
                <w:sz w:val="16"/>
              </w:rPr>
            </w:pPr>
            <w:r w:rsidRPr="00733BA4">
              <w:rPr>
                <w:sz w:val="16"/>
              </w:rPr>
              <w:t>6 (3-10)</w:t>
            </w:r>
          </w:p>
        </w:tc>
        <w:tc>
          <w:tcPr>
            <w:tcW w:w="499" w:type="pc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vAlign w:val="center"/>
          </w:tcPr>
          <w:p w:rsidR="00994FB7" w:rsidRPr="00733BA4" w:rsidRDefault="00994FB7" w:rsidP="005B5147">
            <w:pPr>
              <w:spacing w:line="276" w:lineRule="auto"/>
              <w:jc w:val="right"/>
              <w:rPr>
                <w:sz w:val="16"/>
              </w:rPr>
            </w:pPr>
            <w:r w:rsidRPr="00733BA4">
              <w:rPr>
                <w:sz w:val="16"/>
              </w:rPr>
              <w:t xml:space="preserve">Fatal </w:t>
            </w:r>
          </w:p>
        </w:tc>
        <w:tc>
          <w:tcPr>
            <w:tcW w:w="644" w:type="pct"/>
            <w:vAlign w:val="center"/>
          </w:tcPr>
          <w:p w:rsidR="00994FB7" w:rsidRPr="00733BA4" w:rsidRDefault="00994FB7" w:rsidP="005B5147">
            <w:pPr>
              <w:spacing w:line="276" w:lineRule="auto"/>
              <w:jc w:val="center"/>
              <w:rPr>
                <w:sz w:val="16"/>
              </w:rPr>
            </w:pPr>
            <w:r w:rsidRPr="00733BA4">
              <w:rPr>
                <w:sz w:val="16"/>
              </w:rPr>
              <w:t>35 (20-52)</w:t>
            </w:r>
          </w:p>
        </w:tc>
        <w:tc>
          <w:tcPr>
            <w:tcW w:w="648" w:type="pct"/>
            <w:vAlign w:val="center"/>
          </w:tcPr>
          <w:p w:rsidR="00994FB7" w:rsidRPr="00733BA4" w:rsidRDefault="00994FB7" w:rsidP="005B5147">
            <w:pPr>
              <w:spacing w:line="276" w:lineRule="auto"/>
              <w:jc w:val="center"/>
              <w:rPr>
                <w:sz w:val="16"/>
              </w:rPr>
            </w:pPr>
            <w:r w:rsidRPr="00733BA4">
              <w:rPr>
                <w:sz w:val="16"/>
              </w:rPr>
              <w:t>53 (41-65)</w:t>
            </w:r>
          </w:p>
        </w:tc>
        <w:tc>
          <w:tcPr>
            <w:tcW w:w="640" w:type="pct"/>
            <w:vAlign w:val="center"/>
          </w:tcPr>
          <w:p w:rsidR="00994FB7" w:rsidRPr="00733BA4" w:rsidRDefault="00994FB7" w:rsidP="005B5147">
            <w:pPr>
              <w:spacing w:line="276" w:lineRule="auto"/>
              <w:jc w:val="center"/>
              <w:rPr>
                <w:sz w:val="16"/>
              </w:rPr>
            </w:pPr>
            <w:r w:rsidRPr="00733BA4">
              <w:rPr>
                <w:sz w:val="16"/>
              </w:rPr>
              <w:t>27 (21-34)</w:t>
            </w:r>
          </w:p>
        </w:tc>
        <w:tc>
          <w:tcPr>
            <w:tcW w:w="644" w:type="pct"/>
            <w:vAlign w:val="center"/>
          </w:tcPr>
          <w:p w:rsidR="00994FB7" w:rsidRPr="00733BA4" w:rsidRDefault="00994FB7" w:rsidP="005B5147">
            <w:pPr>
              <w:spacing w:line="276" w:lineRule="auto"/>
              <w:jc w:val="center"/>
              <w:rPr>
                <w:sz w:val="16"/>
              </w:rPr>
            </w:pPr>
            <w:r w:rsidRPr="00733BA4">
              <w:rPr>
                <w:sz w:val="16"/>
              </w:rPr>
              <w:t>35 (28-42)</w:t>
            </w:r>
          </w:p>
        </w:tc>
        <w:tc>
          <w:tcPr>
            <w:tcW w:w="644" w:type="pct"/>
            <w:vAlign w:val="center"/>
          </w:tcPr>
          <w:p w:rsidR="00994FB7" w:rsidRPr="00733BA4" w:rsidRDefault="00994FB7" w:rsidP="005B5147">
            <w:pPr>
              <w:spacing w:line="276" w:lineRule="auto"/>
              <w:jc w:val="center"/>
              <w:rPr>
                <w:sz w:val="16"/>
              </w:rPr>
            </w:pPr>
            <w:r w:rsidRPr="00733BA4">
              <w:rPr>
                <w:sz w:val="16"/>
              </w:rPr>
              <w:t>27 (21-34)</w:t>
            </w:r>
          </w:p>
        </w:tc>
        <w:tc>
          <w:tcPr>
            <w:tcW w:w="646" w:type="pct"/>
            <w:vAlign w:val="center"/>
          </w:tcPr>
          <w:p w:rsidR="00994FB7" w:rsidRPr="00733BA4" w:rsidRDefault="00994FB7" w:rsidP="005B5147">
            <w:pPr>
              <w:spacing w:line="276" w:lineRule="auto"/>
              <w:jc w:val="center"/>
              <w:rPr>
                <w:sz w:val="16"/>
              </w:rPr>
            </w:pPr>
            <w:r w:rsidRPr="00733BA4">
              <w:rPr>
                <w:sz w:val="16"/>
              </w:rPr>
              <w:t>29 (22-36)</w:t>
            </w:r>
          </w:p>
        </w:tc>
        <w:tc>
          <w:tcPr>
            <w:tcW w:w="499" w:type="pc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Medicine","id":"ITEM-1","issue":"11","issued":{"date-parts":[["2011"]]},"page":"981-992","title":"Apixaban versus Warfarin in Patients with Atrial Fibrillation","type":"article-journal","volume":"365"},"uris":["http://www.mendeley.com/documents/?uuid=5feef068-d938-340f-8ae4-d657166e7e19"]},{"id":"ITEM-2","itemData":{"abstract":"BACKGROUND Stroke is the most serious clinical consequence of atrial fibrillation, which is the most common cardiac arrhythmia. Non-vitamin K antagonist oral anticoagulants (NOACs) have emerged as efficacious, safe and convenient stroke prevention agents. This updated network meta-analysis focused on the relative efficacy and safety of apixaban compared with dabigatran, rivaroxaban and edoxaban for stroke prevention in (i) patients with CHADS2 score ≥ 2, (ii) secondary stroke prevention, and (iii) patients with high quality anticoagulation control with warfarin. METHODS AND RESULTS A fixed-effects network meta-analysis was conducted, including data from four Phase III randomised controlled trials (&gt; 70,000 patients with non-valvular atrial fibrillation). The results of the base-case analysis comparing NOACs with warfarin were broadly in line with the results from the individual trials. Results from the three subgroup analyses were broadly similar to the base case results. For example in patients with CHADS2 score ≥ 2, apixaban, high-dose dabigatran, rivaroxaban, and high-dose edoxaban had significantly lower hazards of stroke/systemic embolism compared with low-dose edoxaban. Apixaban and low-dose edoxaban were associated with significantly lower hazards of major bleeding compared with rivaroxaban and dabigatran 150 mg. However, several treatment comparisons that were significant in the base-case analysis were not significant in the patient subgroups, due to the reduced sample size of the subgroups compared with the overall population. CONCLUSIONS Among the NOACs, apixaban offered the most favourable efficacy and safety profile in the overall patient population as well as in the three subgroups investigated.","author":[{"dropping-particle":"","family":"Lip","given":"Gregory Y H","non-dropping-particle":"","parse-names":false,"suffix":""},{"dropping-particle":"","family":"Mitchell","given":"Stephen A","non-dropping-particle":"","parse-names":false,"suffix":""},{"dropping-particle":"","family":"Liu","given":"Xianchen","non-dropping-particle":"","parse-names":false,"suffix":""},{"dropping-particle":"","family":"Liu","given":"Larry Z","non-dropping-particle":"","parse-names":false,"suffix":""},{"dropping-particle":"","family":"Phatak","given":"Hemant","non-dropping-particle":"","parse-names":false,"suffix":""},{"dropping-particle":"","family":"Kachroo","given":"Sumesh","non-dropping-particle":"","parse-names":false,"suffix":""},{"dropping-particle":"","family":"Batson","given":"Sarah","non-dropping-particle":"","parse-names":false,"suffix":""}],"container-title":"International journal of cardiology","id":"ITEM-2","issued":{"date-parts":[["2016"]]},"page":"88-94","title":"Relative efficacy and safety of non-Vitamin K oral anticoagulants for non-valvular atrial fibrillation: Network meta-analysis comparing apixaban, dabigatran, rivaroxaban and edoxaban in three patient subgroups.","type":"article-journal","volume":"204"},"uris":["http://www.mendeley.com/documents/?uuid=6bcd5795-1616-387c-bfa5-05d6f2bdc6c7"]}],"mendeley":{"formattedCitation":"[1,10]","plainTextFormattedCitation":"[1,10]","previouslyFormattedCitation":"[1,10]"},"properties":{"noteIndex":0},"schema":"https://github.com/citation-style-language/schema/raw/master/csl-citation.json"}</w:instrText>
            </w:r>
            <w:r>
              <w:rPr>
                <w:sz w:val="16"/>
              </w:rPr>
              <w:fldChar w:fldCharType="separate"/>
            </w:r>
            <w:r w:rsidRPr="00FE59A1">
              <w:rPr>
                <w:noProof/>
                <w:sz w:val="16"/>
              </w:rPr>
              <w:t>[1,10]</w:t>
            </w:r>
            <w:r>
              <w:rPr>
                <w:sz w:val="16"/>
              </w:rPr>
              <w:fldChar w:fldCharType="end"/>
            </w:r>
          </w:p>
        </w:tc>
      </w:tr>
      <w:tr w:rsidR="00994FB7" w:rsidRPr="00733BA4" w:rsidTr="005B5147">
        <w:tc>
          <w:tcPr>
            <w:tcW w:w="635" w:type="pct"/>
          </w:tcPr>
          <w:p w:rsidR="00994FB7" w:rsidRPr="00733BA4" w:rsidRDefault="00994FB7" w:rsidP="005B5147">
            <w:pPr>
              <w:spacing w:line="276" w:lineRule="auto"/>
              <w:rPr>
                <w:sz w:val="16"/>
              </w:rPr>
            </w:pPr>
            <w:r>
              <w:rPr>
                <w:sz w:val="16"/>
              </w:rPr>
              <w:t xml:space="preserve">Haemorrhagic stroke </w:t>
            </w:r>
            <w:r w:rsidRPr="00733BA4">
              <w:rPr>
                <w:sz w:val="16"/>
              </w:rPr>
              <w:t xml:space="preserve"> among ICH</w:t>
            </w:r>
          </w:p>
        </w:tc>
        <w:tc>
          <w:tcPr>
            <w:tcW w:w="644" w:type="pct"/>
            <w:vAlign w:val="center"/>
          </w:tcPr>
          <w:p w:rsidR="00994FB7" w:rsidRPr="00733BA4" w:rsidRDefault="00994FB7" w:rsidP="005B5147">
            <w:pPr>
              <w:spacing w:line="276" w:lineRule="auto"/>
              <w:jc w:val="center"/>
              <w:rPr>
                <w:sz w:val="16"/>
              </w:rPr>
            </w:pPr>
            <w:r w:rsidRPr="00733BA4">
              <w:rPr>
                <w:sz w:val="16"/>
              </w:rPr>
              <w:t>77 (65-87)</w:t>
            </w:r>
          </w:p>
        </w:tc>
        <w:tc>
          <w:tcPr>
            <w:tcW w:w="648" w:type="pct"/>
            <w:vAlign w:val="center"/>
          </w:tcPr>
          <w:p w:rsidR="00994FB7" w:rsidRPr="00733BA4" w:rsidRDefault="00994FB7" w:rsidP="005B5147">
            <w:pPr>
              <w:spacing w:line="276" w:lineRule="auto"/>
              <w:jc w:val="center"/>
              <w:rPr>
                <w:sz w:val="16"/>
              </w:rPr>
            </w:pPr>
            <w:r w:rsidRPr="00733BA4">
              <w:rPr>
                <w:sz w:val="16"/>
              </w:rPr>
              <w:t>64 (55-72)</w:t>
            </w:r>
          </w:p>
        </w:tc>
        <w:tc>
          <w:tcPr>
            <w:tcW w:w="640" w:type="pct"/>
            <w:vAlign w:val="center"/>
          </w:tcPr>
          <w:p w:rsidR="00994FB7" w:rsidRPr="00733BA4" w:rsidRDefault="00994FB7" w:rsidP="005B5147">
            <w:pPr>
              <w:spacing w:line="276" w:lineRule="auto"/>
              <w:jc w:val="center"/>
              <w:rPr>
                <w:sz w:val="16"/>
              </w:rPr>
            </w:pPr>
            <w:r w:rsidRPr="00733BA4">
              <w:rPr>
                <w:sz w:val="16"/>
              </w:rPr>
              <w:t>64 (43-82)</w:t>
            </w:r>
          </w:p>
        </w:tc>
        <w:tc>
          <w:tcPr>
            <w:tcW w:w="644" w:type="pct"/>
            <w:vAlign w:val="center"/>
          </w:tcPr>
          <w:p w:rsidR="00994FB7" w:rsidRPr="00733BA4" w:rsidRDefault="00994FB7" w:rsidP="005B5147">
            <w:pPr>
              <w:spacing w:line="276" w:lineRule="auto"/>
              <w:jc w:val="center"/>
              <w:rPr>
                <w:sz w:val="16"/>
              </w:rPr>
            </w:pPr>
            <w:r w:rsidRPr="00733BA4">
              <w:rPr>
                <w:sz w:val="16"/>
              </w:rPr>
              <w:t>41 (24-59)</w:t>
            </w:r>
          </w:p>
        </w:tc>
        <w:tc>
          <w:tcPr>
            <w:tcW w:w="644" w:type="pct"/>
            <w:vAlign w:val="center"/>
          </w:tcPr>
          <w:p w:rsidR="00994FB7" w:rsidRPr="00733BA4" w:rsidRDefault="00994FB7" w:rsidP="005B5147">
            <w:pPr>
              <w:spacing w:line="276" w:lineRule="auto"/>
              <w:jc w:val="center"/>
              <w:rPr>
                <w:sz w:val="16"/>
              </w:rPr>
            </w:pPr>
            <w:r w:rsidRPr="00733BA4">
              <w:rPr>
                <w:sz w:val="16"/>
              </w:rPr>
              <w:t>57 (44-70)</w:t>
            </w:r>
          </w:p>
        </w:tc>
        <w:tc>
          <w:tcPr>
            <w:tcW w:w="646" w:type="pct"/>
            <w:vAlign w:val="center"/>
          </w:tcPr>
          <w:p w:rsidR="00994FB7" w:rsidRPr="00733BA4" w:rsidRDefault="00994FB7" w:rsidP="005B5147">
            <w:pPr>
              <w:spacing w:line="276" w:lineRule="auto"/>
              <w:jc w:val="center"/>
              <w:rPr>
                <w:sz w:val="16"/>
              </w:rPr>
            </w:pPr>
            <w:r w:rsidRPr="00733BA4">
              <w:rPr>
                <w:sz w:val="16"/>
              </w:rPr>
              <w:t>75 (63-85)</w:t>
            </w:r>
          </w:p>
        </w:tc>
        <w:tc>
          <w:tcPr>
            <w:tcW w:w="499" w:type="pct"/>
            <w:vAlign w:val="center"/>
          </w:tcPr>
          <w:p w:rsidR="00994FB7" w:rsidRPr="00733BA4" w:rsidRDefault="00994FB7" w:rsidP="005B5147">
            <w:pPr>
              <w:spacing w:line="276" w:lineRule="auto"/>
              <w:jc w:val="center"/>
              <w:rPr>
                <w:sz w:val="16"/>
              </w:rPr>
            </w:pPr>
            <w:r w:rsidRPr="00733BA4">
              <w:rPr>
                <w:sz w:val="16"/>
              </w:rPr>
              <w:fldChar w:fldCharType="begin" w:fldLock="1"/>
            </w:r>
            <w:r>
              <w:rPr>
                <w:sz w:val="16"/>
              </w:rPr>
              <w:instrText>ADDIN CSL_CITATION {"citationItems":[{"id":"ITEM-1","itemData":{"author":[{"dropping-particle":"","family":"Connolly","given":"Stuart J.","non-dropping-particle":"","parse-names":false,"suffix":""},{"dropping-particle":"","family":"Ezekowitz","given":"Michael D.","non-dropping-particle":"","parse-names":false,"suffix":""},{"dropping-particle":"","family":"Yusuf","given":"Salim","non-dropping-particle":"","parse-names":false,"suffix":""},{"dropping-particle":"","family":"Eikelboom","given":"John","non-dropping-particle":"","parse-names":false,"suffix":""},{"dropping-particle":"","family":"Oldgren","given":"Jonas","non-dropping-particle":"","parse-names":false,"suffix":""},{"dropping-particle":"","family":"Parekh","given":"Amit","non-dropping-particle":"","parse-names":false,"suffix":""},{"dropping-particle":"","family":"Pogue","given":"Janice","non-dropping-particle":"","parse-names":false,"suffix":""},{"dropping-particle":"","family":"Reilly","given":"Paul A.","non-dropping-particle":"","parse-names":false,"suffix":""},{"dropping-particle":"","family":"Themeles","given":"Ellison","non-dropping-particle":"","parse-names":false,"suffix":""},{"dropping-particle":"","family":"Varrone","given":"Jeanne","non-dropping-particle":"","parse-names":false,"suffix":""},{"dropping-particle":"","family":"Wang","given":"Susan","non-dropping-particle":"","parse-names":false,"suffix":""},{"dropping-particle":"","family":"Alings","given":"Marco","non-dropping-particle":"","parse-names":false,"suffix":""},{"dropping-particle":"","family":"Xavier","given":"Denis","non-dropping-particle":"","parse-names":false,"suffix":""},{"dropping-particle":"","family":"Zhu","given":"Jun","non-dropping-particle":"","parse-names":false,"suffix":""},{"dropping-particle":"","family":"Diaz","given":"Rafael","non-dropping-particle":"","parse-names":false,"suffix":""},{"dropping-particle":"","family":"Lewis","given":"Basil S.","non-dropping-particle":"","parse-names":false,"suffix":""},{"dropping-particle":"","family":"Darius","given":"Harald","non-dropping-particle":"","parse-names":false,"suffix":""},{"dropping-particle":"","family":"Diener","given":"Hans-Christoph","non-dropping-particle":"","parse-names":false,"suffix":""},{"dropping-particle":"","family":"Joyner","given":"Campbell D.","non-dropping-particle":"","parse-names":false,"suffix":""},{"dropping-particle":"","family":"Wallentin","given":"Lars","non-dropping-particle":"","parse-names":false,"suffix":""}],"container-title":"New England Journal of Medicine","id":"ITEM-1","issue":"12","issued":{"date-parts":[["2009"]]},"page":"1139-1151","title":"Dabigatran versus Warfarin in Patients with Atrial Fibrillation","type":"article-journal","volume":"361"},"uris":["http://www.mendeley.com/documents/?uuid=7135081c-2f7c-3ac1-941a-b68c23771c8d"]},{"id":"ITEM-2","itemData":{"author":[{"dropping-particle":"","family":"Granger","given":"Christopher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Medicine","id":"ITEM-2","issue":"11","issued":{"date-parts":[["2011"]]},"page":"981-992","title":"Apixaban versus Warfarin in Patients with Atrial Fibrillation","type":"article-journal","volume":"365"},"uris":["http://www.mendeley.com/documents/?uuid=5feef068-d938-340f-8ae4-d657166e7e19"]},{"id":"ITEM-3","itemData":{"abstract":"Background Edoxaban is a direct oral factor Xa inhibitor with proven antithrombotic effects. The long-term efficacy and safety of edoxaban as compared with warfarin in patients with atrial fibrillation is not known. Methods We conducted a randomized, double-blind, double-dummy trial comparing two once-daily regimens of edoxaban with warfarin in 21,105 patients with moderate-to-high-risk atrial fibrillation (median follow-up, 2.8 years). The primary efficacy end point was stroke or systemic embolism. Each edoxaban regimen was tested for noninferiority to warfarin during the treatment period. The principal safety end point was major bleeding. Results The annualized rate of the primary end point during treatment was 1.50% with warfarin (median time in the therapeutic range, 68.4%), as compared with 1.18% with high-dose edoxaban (hazard ratio, 0.79; 97.5% confidence interval [CI], 0.63 to 0.99; P&lt;0.001 for noninferiority) and 1.61% with low-dose edoxaban (hazard ratio, 1.07; 97.5% CI, 0.87 to 1.31; P=0.005 fo...","author":[{"dropping-particle":"","family":"Giugliano","given":"Robert P.","non-dropping-particle":"","parse-names":false,"suffix":""},{"dropping-particle":"","family":"Ruff","given":"Christian T.","non-dropping-particle":"","parse-names":false,"suffix":""},{"dropping-particle":"","family":"Braunwald","given":"Eugene","non-dropping-particle":"","parse-names":false,"suffix":""},{"dropping-particle":"","family":"Murphy","given":"Sabina A.","non-dropping-particle":"","parse-names":false,"suffix":""},{"dropping-particle":"","family":"Wiviott","given":"Stephen D.","non-dropping-particle":"","parse-names":false,"suffix":""},{"dropping-particle":"","family":"Halperin","given":"Jonathan L.","non-dropping-particle":"","parse-names":false,"suffix":""},{"dropping-particle":"","family":"Waldo","given":"Albert L.","non-dropping-particle":"","parse-names":false,"suffix":""},{"dropping-particle":"","family":"Ezekowitz","given":"Michael D.","non-dropping-particle":"","parse-names":false,"suffix":""},{"dropping-particle":"","family":"Weitz","given":"Jeffrey I.","non-dropping-particle":"","parse-names":false,"suffix":""},{"dropping-particle":"","family":"Špinar","given":"Jindřich","non-dropping-particle":"","parse-names":false,"suffix":""},{"dropping-particle":"","family":"Ruzyllo","given":"Witold","non-dropping-particle":"","parse-names":false,"suffix":""},{"dropping-particle":"","family":"Ruda","given":"Mikhail","non-dropping-particle":"","parse-names":false,"suffix":""},{"dropping-particle":"","family":"Koretsune","given":"Yukihiro","non-dropping-particle":"","parse-names":false,"suffix":""},{"dropping-particle":"","family":"Betcher","given":"Joshua","non-dropping-particle":"","parse-names":false,"suffix":""},{"dropping-particle":"","family":"Shi","given":"Minggao","non-dropping-particle":"","parse-names":false,"suffix":""},{"dropping-particle":"","family":"Grip","given":"Laura T.","non-dropping-particle":"","parse-names":false,"suffix":""},{"dropping-particle":"","family":"Patel","given":"Shirali P.","non-dropping-particle":"","parse-names":false,"suffix":""},{"dropping-particle":"","family":"Patel","given":"Indravadan","non-dropping-particle":"","parse-names":false,"suffix":""},{"dropping-particle":"","family":"Hanyok","given":"James J.","non-dropping-particle":"","parse-names":false,"suffix":""},{"dropping-particle":"","family":"Mercuri","given":"Michele","non-dropping-particle":"","parse-names":false,"suffix":""},{"dropping-particle":"","family":"Antman","given":"Elliott M.","non-dropping-particle":"","parse-names":false,"suffix":""}],"container-title":"New England Journal of Medicine","id":"ITEM-3","issue":"22","issued":{"date-parts":[["2013"]]},"page":"2093-2104","title":"Edoxaban versus Warfarin in Patients with Atrial Fibrillation","type":"article-journal","volume":"369"},"uris":["http://www.mendeley.com/documents/?uuid=9f3a2169-d9be-42ef-8887-466ab52beb2e"]},{"id":"ITEM-4","itemData":{"author":[{"dropping-particle":"","family":"Patel","given":"Manesh R.","non-dropping-particle":"","parse-names":false,"suffix":""},{"dropping-particle":"","family":"Mahaffey","given":"Kenneth W.","non-dropping-particle":"","parse-names":false,"suffix":""},{"dropping-particle":"","family":"Garg","given":"Jyotsna","non-dropping-particle":"","parse-names":false,"suffix":""},{"dropping-particle":"","family":"Pan","given":"Guohua","non-dropping-particle":"","parse-names":false,"suffix":""},{"dropping-particle":"","family":"Singer","given":"Daniel E.","non-dropping-particle":"","parse-names":false,"suffix":""},{"dropping-particle":"","family":"Hacke","given":"Werner","non-dropping-particle":"","parse-names":false,"suffix":""},{"dropping-particle":"","family":"Breithardt","given":"Günter","non-dropping-particle":"","parse-names":false,"suffix":""},{"dropping-particle":"","family":"Halperin","given":"Jonathan L.","non-dropping-particle":"","parse-names":false,"suffix":""},{"dropping-particle":"","family":"Hankey","given":"Graeme J.","non-dropping-particle":"","parse-names":false,"suffix":""},{"dropping-particle":"","family":"Piccini","given":"Jonathan P.","non-dropping-particle":"","parse-names":false,"suffix":""},{"dropping-particle":"","family":"Becker","given":"Richard C.","non-dropping-particle":"","parse-names":false,"suffix":""},{"dropping-particle":"","family":"Nessel","given":"Christopher C.","non-dropping-particle":"","parse-names":false,"suffix":""},{"dropping-particle":"","family":"Paolini","given":"John F.","non-dropping-particle":"","parse-names":false,"suffix":""},{"dropping-particle":"","family":"Berkowitz","given":"Scott D.","non-dropping-particle":"","parse-names":false,"suffix":""},{"dropping-particle":"","family":"Fox","given":"Keith A.A.","non-dropping-particle":"","parse-names":false,"suffix":""},{"dropping-particle":"","family":"Califf","given":"Robert M.","non-dropping-particle":"","parse-names":false,"suffix":""}],"container-title":"New England Journal of Medicine","id":"ITEM-4","issue":"10","issued":{"date-parts":[["2011"]]},"page":"883-891","title":"Rivaroxaban versus Warfarin in Nonvalvular Atrial Fibrillation","type":"article-journal","volume":"365"},"uris":["http://www.mendeley.com/documents/?uuid=eb3fbe25-3184-3d60-b507-6f5fc6d849c8"]}],"mendeley":{"formattedCitation":"[1,12–14]","plainTextFormattedCitation":"[1,12–14]","previouslyFormattedCitation":"[1,12–14]"},"properties":{"noteIndex":0},"schema":"https://github.com/citation-style-language/schema/raw/master/csl-citation.json"}</w:instrText>
            </w:r>
            <w:r w:rsidRPr="00733BA4">
              <w:rPr>
                <w:sz w:val="16"/>
              </w:rPr>
              <w:fldChar w:fldCharType="separate"/>
            </w:r>
            <w:r w:rsidRPr="00FE59A1">
              <w:rPr>
                <w:noProof/>
                <w:sz w:val="16"/>
              </w:rPr>
              <w:t>[1,12–14]</w:t>
            </w:r>
            <w:r w:rsidRPr="00733BA4">
              <w:rPr>
                <w:sz w:val="16"/>
              </w:rPr>
              <w:fldChar w:fldCharType="end"/>
            </w:r>
          </w:p>
        </w:tc>
      </w:tr>
      <w:tr w:rsidR="00994FB7" w:rsidRPr="00733BA4" w:rsidTr="005B5147">
        <w:tc>
          <w:tcPr>
            <w:tcW w:w="635" w:type="pct"/>
          </w:tcPr>
          <w:p w:rsidR="00994FB7" w:rsidRPr="00733BA4" w:rsidRDefault="00994FB7" w:rsidP="005B5147">
            <w:pPr>
              <w:spacing w:line="276" w:lineRule="auto"/>
              <w:rPr>
                <w:sz w:val="16"/>
              </w:rPr>
            </w:pPr>
            <w:r w:rsidRPr="00733BA4">
              <w:rPr>
                <w:sz w:val="16"/>
              </w:rPr>
              <w:lastRenderedPageBreak/>
              <w:t>Patients experiencing dyspepsia</w:t>
            </w:r>
          </w:p>
        </w:tc>
        <w:tc>
          <w:tcPr>
            <w:tcW w:w="644" w:type="pct"/>
            <w:vAlign w:val="center"/>
          </w:tcPr>
          <w:p w:rsidR="00994FB7" w:rsidRPr="00733BA4" w:rsidRDefault="00994FB7" w:rsidP="005B5147">
            <w:pPr>
              <w:spacing w:line="276" w:lineRule="auto"/>
              <w:jc w:val="center"/>
              <w:rPr>
                <w:sz w:val="16"/>
              </w:rPr>
            </w:pPr>
            <w:r w:rsidRPr="00733BA4">
              <w:rPr>
                <w:sz w:val="16"/>
              </w:rPr>
              <w:t>1.67</w:t>
            </w:r>
          </w:p>
        </w:tc>
        <w:tc>
          <w:tcPr>
            <w:tcW w:w="648" w:type="pct"/>
            <w:vAlign w:val="center"/>
          </w:tcPr>
          <w:p w:rsidR="00994FB7" w:rsidRPr="00733BA4" w:rsidRDefault="00994FB7" w:rsidP="005B5147">
            <w:pPr>
              <w:spacing w:line="276" w:lineRule="auto"/>
              <w:jc w:val="center"/>
              <w:rPr>
                <w:sz w:val="16"/>
              </w:rPr>
            </w:pPr>
            <w:r w:rsidRPr="00733BA4">
              <w:rPr>
                <w:sz w:val="16"/>
              </w:rPr>
              <w:t>1.81</w:t>
            </w:r>
          </w:p>
        </w:tc>
        <w:tc>
          <w:tcPr>
            <w:tcW w:w="640" w:type="pct"/>
            <w:vAlign w:val="center"/>
          </w:tcPr>
          <w:p w:rsidR="00994FB7" w:rsidRPr="00733BA4" w:rsidRDefault="00994FB7" w:rsidP="005B5147">
            <w:pPr>
              <w:spacing w:line="276" w:lineRule="auto"/>
              <w:jc w:val="center"/>
              <w:rPr>
                <w:sz w:val="16"/>
              </w:rPr>
            </w:pPr>
            <w:r w:rsidRPr="00733BA4">
              <w:rPr>
                <w:sz w:val="16"/>
              </w:rPr>
              <w:t>3.69</w:t>
            </w:r>
          </w:p>
        </w:tc>
        <w:tc>
          <w:tcPr>
            <w:tcW w:w="644" w:type="pct"/>
            <w:vAlign w:val="center"/>
          </w:tcPr>
          <w:p w:rsidR="00994FB7" w:rsidRPr="00733BA4" w:rsidRDefault="00994FB7" w:rsidP="005B5147">
            <w:pPr>
              <w:spacing w:line="276" w:lineRule="auto"/>
              <w:jc w:val="center"/>
              <w:rPr>
                <w:sz w:val="16"/>
              </w:rPr>
            </w:pPr>
            <w:r w:rsidRPr="00733BA4">
              <w:rPr>
                <w:sz w:val="16"/>
              </w:rPr>
              <w:t>3.53</w:t>
            </w:r>
          </w:p>
        </w:tc>
        <w:tc>
          <w:tcPr>
            <w:tcW w:w="644" w:type="pct"/>
            <w:vAlign w:val="center"/>
          </w:tcPr>
          <w:p w:rsidR="00994FB7" w:rsidRPr="00733BA4" w:rsidRDefault="00994FB7" w:rsidP="005B5147">
            <w:pPr>
              <w:spacing w:line="276" w:lineRule="auto"/>
              <w:jc w:val="center"/>
              <w:rPr>
                <w:sz w:val="16"/>
              </w:rPr>
            </w:pPr>
            <w:r w:rsidRPr="00733BA4">
              <w:rPr>
                <w:sz w:val="16"/>
              </w:rPr>
              <w:t>1.67</w:t>
            </w:r>
          </w:p>
        </w:tc>
        <w:tc>
          <w:tcPr>
            <w:tcW w:w="646" w:type="pct"/>
            <w:vAlign w:val="center"/>
          </w:tcPr>
          <w:p w:rsidR="00994FB7" w:rsidRPr="00733BA4" w:rsidRDefault="00994FB7" w:rsidP="005B5147">
            <w:pPr>
              <w:spacing w:line="276" w:lineRule="auto"/>
              <w:jc w:val="center"/>
              <w:rPr>
                <w:sz w:val="16"/>
              </w:rPr>
            </w:pPr>
            <w:r w:rsidRPr="00733BA4">
              <w:rPr>
                <w:sz w:val="16"/>
              </w:rPr>
              <w:t>1.67</w:t>
            </w:r>
          </w:p>
        </w:tc>
        <w:tc>
          <w:tcPr>
            <w:tcW w:w="499" w:type="pct"/>
            <w:vAlign w:val="center"/>
          </w:tcPr>
          <w:p w:rsidR="00994FB7" w:rsidRPr="00733BA4" w:rsidRDefault="00994FB7" w:rsidP="005B5147">
            <w:pPr>
              <w:spacing w:line="276" w:lineRule="auto"/>
              <w:jc w:val="center"/>
              <w:rPr>
                <w:sz w:val="16"/>
              </w:rPr>
            </w:pPr>
            <w:r>
              <w:rPr>
                <w:sz w:val="16"/>
              </w:rPr>
              <w:fldChar w:fldCharType="begin" w:fldLock="1"/>
            </w:r>
            <w:r>
              <w:rPr>
                <w:sz w:val="16"/>
              </w:rPr>
              <w:instrText>ADDIN CSL_CITATION {"citationItems":[{"id":"ITEM-1","itemData":{"author":[{"dropping-particle":"","family":"Connolly","given":"Stuart J.","non-dropping-particle":"","parse-names":false,"suffix":""},{"dropping-particle":"","family":"Ezekowitz","given":"Michael D.","non-dropping-particle":"","parse-names":false,"suffix":""},{"dropping-particle":"","family":"Yusuf","given":"Salim","non-dropping-particle":"","parse-names":false,"suffix":""},{"dropping-particle":"","family":"Eikelboom","given":"John","non-dropping-particle":"","parse-names":false,"suffix":""},{"dropping-particle":"","family":"Oldgren","given":"Jonas","non-dropping-particle":"","parse-names":false,"suffix":""},{"dropping-particle":"","family":"Parekh","given":"Amit","non-dropping-particle":"","parse-names":false,"suffix":""},{"dropping-particle":"","family":"Pogue","given":"Janice","non-dropping-particle":"","parse-names":false,"suffix":""},{"dropping-particle":"","family":"Reilly","given":"Paul A.","non-dropping-particle":"","parse-names":false,"suffix":""},{"dropping-particle":"","family":"Themeles","given":"Ellison","non-dropping-particle":"","parse-names":false,"suffix":""},{"dropping-particle":"","family":"Varrone","given":"Jeanne","non-dropping-particle":"","parse-names":false,"suffix":""},{"dropping-particle":"","family":"Wang","given":"Susan","non-dropping-particle":"","parse-names":false,"suffix":""},{"dropping-particle":"","family":"Alings","given":"Marco","non-dropping-particle":"","parse-names":false,"suffix":""},{"dropping-particle":"","family":"Xavier","given":"Denis","non-dropping-particle":"","parse-names":false,"suffix":""},{"dropping-particle":"","family":"Zhu","given":"Jun","non-dropping-particle":"","parse-names":false,"suffix":""},{"dropping-particle":"","family":"Diaz","given":"Rafael","non-dropping-particle":"","parse-names":false,"suffix":""},{"dropping-particle":"","family":"Lewis","given":"Basil S.","non-dropping-particle":"","parse-names":false,"suffix":""},{"dropping-particle":"","family":"Darius","given":"Harald","non-dropping-particle":"","parse-names":false,"suffix":""},{"dropping-particle":"","family":"Diener","given":"Hans-Christoph","non-dropping-particle":"","parse-names":false,"suffix":""},{"dropping-particle":"","family":"Joyner","given":"Campbell D.","non-dropping-particle":"","parse-names":false,"suffix":""},{"dropping-particle":"","family":"Wallentin","given":"Lars","non-dropping-particle":"","parse-names":false,"suffix":""}],"container-title":"New England Journal of Medicine","id":"ITEM-1","issue":"12","issued":{"date-parts":[["2009"]]},"page":"1139-1151","title":"Dabigatran versus Warfarin in Patients with Atrial Fibrillation","type":"article-journal","volume":"361"},"uris":["http://www.mendeley.com/documents/?uuid=7135081c-2f7c-3ac1-941a-b68c23771c8d"]},{"id":"ITEM-2","itemData":{"author":[{"dropping-particle":"","family":"Granger","given":"Christopher B.","non-dropping-particle":"","parse-names":false,"suffix":""},{"dropping-particle":"","family":"Alexander","given":"John H.","non-dropping-particle":"","parse-names":false,"suffix":""},{"dropping-particle":"","family":"McMurray","given":"John J.V.","non-dropping-particle":"","parse-names":false,"suffix":""},{"dropping-particle":"","family":"Lopes","given":"Renato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A.","non-dropping-particle":"","parse-names":false,"suffix":""},{"dropping-particle":"","family":"Zhu","given":"Jun","non-dropping-particle":"","parse-names":false,"suffix":""},{"dropping-particle":"","family":"Wallentin","given":"Lars","non-dropping-particle":"","parse-names":false,"suffix":""}],"container-title":"New England Journal of Medicine","id":"ITEM-2","issue":"11","issued":{"date-parts":[["2011"]]},"page":"981-992","title":"Apixaban versus Warfarin in Patients with Atrial Fibrillation","type":"article-journal","volume":"365"},"uris":["http://www.mendeley.com/documents/?uuid=5feef068-d938-340f-8ae4-d657166e7e19"]}],"mendeley":{"formattedCitation":"[1,12]","plainTextFormattedCitation":"[1,12]","previouslyFormattedCitation":"[1,12]"},"properties":{"noteIndex":0},"schema":"https://github.com/citation-style-language/schema/raw/master/csl-citation.json"}</w:instrText>
            </w:r>
            <w:r>
              <w:rPr>
                <w:sz w:val="16"/>
              </w:rPr>
              <w:fldChar w:fldCharType="separate"/>
            </w:r>
            <w:r w:rsidRPr="00FE59A1">
              <w:rPr>
                <w:noProof/>
                <w:sz w:val="16"/>
              </w:rPr>
              <w:t>[1,12]</w:t>
            </w:r>
            <w:r>
              <w:rPr>
                <w:sz w:val="16"/>
              </w:rPr>
              <w:fldChar w:fldCharType="end"/>
            </w:r>
          </w:p>
        </w:tc>
      </w:tr>
    </w:tbl>
    <w:p w:rsidR="00994FB7" w:rsidRPr="0053447C" w:rsidRDefault="00994FB7" w:rsidP="00994FB7">
      <w:pPr>
        <w:pStyle w:val="Bijschrift"/>
        <w:spacing w:after="0" w:line="276" w:lineRule="auto"/>
        <w:jc w:val="both"/>
        <w:rPr>
          <w:i w:val="0"/>
          <w:iCs w:val="0"/>
        </w:rPr>
      </w:pPr>
      <w:bookmarkStart w:id="1" w:name="_Hlk13142253"/>
      <w:r w:rsidRPr="0053447C">
        <w:rPr>
          <w:i w:val="0"/>
          <w:iCs w:val="0"/>
          <w:vertAlign w:val="superscript"/>
        </w:rPr>
        <w:t>a</w:t>
      </w:r>
      <w:r w:rsidRPr="0053447C">
        <w:rPr>
          <w:i w:val="0"/>
          <w:iCs w:val="0"/>
        </w:rPr>
        <w:t xml:space="preserve"> The event rates of ischaemic stroke, ICH and other MB were adjusted by CHADS</w:t>
      </w:r>
      <w:r w:rsidRPr="0053447C">
        <w:rPr>
          <w:i w:val="0"/>
          <w:iCs w:val="0"/>
          <w:vertAlign w:val="subscript"/>
        </w:rPr>
        <w:t>2</w:t>
      </w:r>
      <w:r w:rsidRPr="0053447C">
        <w:rPr>
          <w:i w:val="0"/>
          <w:iCs w:val="0"/>
        </w:rPr>
        <w:t xml:space="preserve">-scores with the distribution presented in </w:t>
      </w:r>
      <w:r w:rsidR="005B000C">
        <w:rPr>
          <w:i w:val="0"/>
          <w:iCs w:val="0"/>
        </w:rPr>
        <w:t>S1 Table.</w:t>
      </w:r>
      <w:bookmarkStart w:id="2" w:name="_GoBack"/>
      <w:bookmarkEnd w:id="2"/>
    </w:p>
    <w:p w:rsidR="00994FB7" w:rsidRPr="0053447C" w:rsidRDefault="00994FB7" w:rsidP="00994FB7">
      <w:pPr>
        <w:pStyle w:val="Bijschrift"/>
        <w:spacing w:after="0" w:line="276" w:lineRule="auto"/>
        <w:jc w:val="both"/>
        <w:rPr>
          <w:i w:val="0"/>
          <w:iCs w:val="0"/>
        </w:rPr>
      </w:pPr>
      <w:r w:rsidRPr="0053447C">
        <w:rPr>
          <w:i w:val="0"/>
          <w:iCs w:val="0"/>
        </w:rPr>
        <w:t>Abbreviations: AC, anticoagulant; CHADS</w:t>
      </w:r>
      <w:r w:rsidRPr="0053447C">
        <w:rPr>
          <w:i w:val="0"/>
          <w:iCs w:val="0"/>
          <w:vertAlign w:val="subscript"/>
        </w:rPr>
        <w:t>2</w:t>
      </w:r>
      <w:r w:rsidRPr="0053447C">
        <w:rPr>
          <w:i w:val="0"/>
          <w:iCs w:val="0"/>
        </w:rPr>
        <w:t>,</w:t>
      </w:r>
      <w:r w:rsidRPr="0053447C">
        <w:rPr>
          <w:i w:val="0"/>
          <w:iCs w:val="0"/>
          <w:sz w:val="16"/>
        </w:rPr>
        <w:t xml:space="preserve"> </w:t>
      </w:r>
      <w:r w:rsidRPr="0053447C">
        <w:rPr>
          <w:i w:val="0"/>
          <w:iCs w:val="0"/>
        </w:rPr>
        <w:t>congestive heart failure, hypertension, age ≥75 years, diabetes mellitus, prior stroke or transient ischemic attack or thromboembolism;</w:t>
      </w:r>
      <w:r w:rsidRPr="0053447C">
        <w:rPr>
          <w:i w:val="0"/>
          <w:iCs w:val="0"/>
          <w:sz w:val="16"/>
          <w:vertAlign w:val="subscript"/>
        </w:rPr>
        <w:t xml:space="preserve"> </w:t>
      </w:r>
      <w:r w:rsidRPr="0053447C">
        <w:rPr>
          <w:i w:val="0"/>
          <w:iCs w:val="0"/>
        </w:rPr>
        <w:t>CI, confidence interval; CRNMB, clinically relevant non-major bleeding; CV, cardiovascular; GI, gastro-intestinal; HR, hazard ratio; ICH, intracranial haemorrhage; MB, major bleed; MI, myocardial infarction; NOAC, non-vitamin K antagonist oral anticoagulant; PY, patient-years; SE, systemic embolism; VKA, vitamin K antagonist.</w:t>
      </w:r>
    </w:p>
    <w:bookmarkEnd w:id="1"/>
    <w:p w:rsidR="00D66B98" w:rsidRDefault="00D66B98"/>
    <w:sectPr w:rsidR="00D66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B7"/>
    <w:rsid w:val="00004CEF"/>
    <w:rsid w:val="00040D05"/>
    <w:rsid w:val="000917D1"/>
    <w:rsid w:val="000E5249"/>
    <w:rsid w:val="00105BB1"/>
    <w:rsid w:val="00110B24"/>
    <w:rsid w:val="001151EC"/>
    <w:rsid w:val="001153C0"/>
    <w:rsid w:val="00131026"/>
    <w:rsid w:val="00142358"/>
    <w:rsid w:val="00147742"/>
    <w:rsid w:val="00172F55"/>
    <w:rsid w:val="001A19D0"/>
    <w:rsid w:val="001A34B2"/>
    <w:rsid w:val="001E3AAD"/>
    <w:rsid w:val="001F44B2"/>
    <w:rsid w:val="00226142"/>
    <w:rsid w:val="0023519E"/>
    <w:rsid w:val="00236B48"/>
    <w:rsid w:val="00244D23"/>
    <w:rsid w:val="002667E7"/>
    <w:rsid w:val="002722E7"/>
    <w:rsid w:val="00286025"/>
    <w:rsid w:val="002860B9"/>
    <w:rsid w:val="002953DD"/>
    <w:rsid w:val="0029794E"/>
    <w:rsid w:val="002C4070"/>
    <w:rsid w:val="002F1767"/>
    <w:rsid w:val="002F45F6"/>
    <w:rsid w:val="0030550D"/>
    <w:rsid w:val="003332F4"/>
    <w:rsid w:val="00353D2C"/>
    <w:rsid w:val="00375553"/>
    <w:rsid w:val="00375BB4"/>
    <w:rsid w:val="00386918"/>
    <w:rsid w:val="00387514"/>
    <w:rsid w:val="003A6033"/>
    <w:rsid w:val="003C5CCE"/>
    <w:rsid w:val="003E065C"/>
    <w:rsid w:val="003E0A2C"/>
    <w:rsid w:val="003F4C94"/>
    <w:rsid w:val="004026B2"/>
    <w:rsid w:val="00445223"/>
    <w:rsid w:val="00461475"/>
    <w:rsid w:val="00486F9F"/>
    <w:rsid w:val="004A2A5B"/>
    <w:rsid w:val="004F7D29"/>
    <w:rsid w:val="00552D3E"/>
    <w:rsid w:val="00567CF8"/>
    <w:rsid w:val="00572B9F"/>
    <w:rsid w:val="005B000C"/>
    <w:rsid w:val="005B46E6"/>
    <w:rsid w:val="005F70CD"/>
    <w:rsid w:val="00621126"/>
    <w:rsid w:val="00637AE0"/>
    <w:rsid w:val="006A0C78"/>
    <w:rsid w:val="006B5EC9"/>
    <w:rsid w:val="006C4B6B"/>
    <w:rsid w:val="006D59F5"/>
    <w:rsid w:val="007331FB"/>
    <w:rsid w:val="00743205"/>
    <w:rsid w:val="007660AB"/>
    <w:rsid w:val="00780423"/>
    <w:rsid w:val="007B7760"/>
    <w:rsid w:val="007F5CC4"/>
    <w:rsid w:val="007F7DCF"/>
    <w:rsid w:val="00812885"/>
    <w:rsid w:val="00823624"/>
    <w:rsid w:val="00836C5D"/>
    <w:rsid w:val="00851F5A"/>
    <w:rsid w:val="008628BC"/>
    <w:rsid w:val="00864A10"/>
    <w:rsid w:val="0087402E"/>
    <w:rsid w:val="00882F0D"/>
    <w:rsid w:val="00883125"/>
    <w:rsid w:val="008A2A60"/>
    <w:rsid w:val="008F4B0B"/>
    <w:rsid w:val="008F6FE4"/>
    <w:rsid w:val="0092773F"/>
    <w:rsid w:val="009608E9"/>
    <w:rsid w:val="00965ADA"/>
    <w:rsid w:val="00985EBE"/>
    <w:rsid w:val="00994FB7"/>
    <w:rsid w:val="009B1FA4"/>
    <w:rsid w:val="009C6A4D"/>
    <w:rsid w:val="009E2C09"/>
    <w:rsid w:val="009E534E"/>
    <w:rsid w:val="009F09E9"/>
    <w:rsid w:val="00A05A13"/>
    <w:rsid w:val="00A2648D"/>
    <w:rsid w:val="00A55690"/>
    <w:rsid w:val="00A56DDD"/>
    <w:rsid w:val="00A60606"/>
    <w:rsid w:val="00A62D8B"/>
    <w:rsid w:val="00AC31A2"/>
    <w:rsid w:val="00AD6EDB"/>
    <w:rsid w:val="00AE7804"/>
    <w:rsid w:val="00AF46B9"/>
    <w:rsid w:val="00AF6357"/>
    <w:rsid w:val="00B046A8"/>
    <w:rsid w:val="00B13DEF"/>
    <w:rsid w:val="00B56B60"/>
    <w:rsid w:val="00B6550D"/>
    <w:rsid w:val="00B76A64"/>
    <w:rsid w:val="00B80D08"/>
    <w:rsid w:val="00B84FDC"/>
    <w:rsid w:val="00BE70F1"/>
    <w:rsid w:val="00BF26C8"/>
    <w:rsid w:val="00C10647"/>
    <w:rsid w:val="00C14D59"/>
    <w:rsid w:val="00C252E9"/>
    <w:rsid w:val="00C66051"/>
    <w:rsid w:val="00C70721"/>
    <w:rsid w:val="00C71C64"/>
    <w:rsid w:val="00C851A6"/>
    <w:rsid w:val="00C97E34"/>
    <w:rsid w:val="00CA36C7"/>
    <w:rsid w:val="00CC111A"/>
    <w:rsid w:val="00CC1C7E"/>
    <w:rsid w:val="00CD7A76"/>
    <w:rsid w:val="00CE71FB"/>
    <w:rsid w:val="00D3023A"/>
    <w:rsid w:val="00D648F0"/>
    <w:rsid w:val="00D66B98"/>
    <w:rsid w:val="00D728CB"/>
    <w:rsid w:val="00D85B74"/>
    <w:rsid w:val="00DC5597"/>
    <w:rsid w:val="00DE58F0"/>
    <w:rsid w:val="00E05F61"/>
    <w:rsid w:val="00E253AF"/>
    <w:rsid w:val="00E41BE1"/>
    <w:rsid w:val="00E42D1F"/>
    <w:rsid w:val="00E52D77"/>
    <w:rsid w:val="00E6200A"/>
    <w:rsid w:val="00E87914"/>
    <w:rsid w:val="00E904A0"/>
    <w:rsid w:val="00F36C69"/>
    <w:rsid w:val="00F55042"/>
    <w:rsid w:val="00F65939"/>
    <w:rsid w:val="00F65A27"/>
    <w:rsid w:val="00FA1EDA"/>
    <w:rsid w:val="00FA2BFF"/>
    <w:rsid w:val="00FA3C79"/>
    <w:rsid w:val="00FC6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43E6"/>
  <w15:chartTrackingRefBased/>
  <w15:docId w15:val="{F360670A-D5C3-4EE4-B647-B7A81CF2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94FB7"/>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994FB7"/>
    <w:pPr>
      <w:spacing w:after="200" w:line="240" w:lineRule="auto"/>
    </w:pPr>
    <w:rPr>
      <w:i/>
      <w:iCs/>
      <w:color w:val="44546A" w:themeColor="text2"/>
      <w:sz w:val="18"/>
      <w:szCs w:val="18"/>
    </w:rPr>
  </w:style>
  <w:style w:type="table" w:customStyle="1" w:styleId="TableGridLight1">
    <w:name w:val="Table Grid Light1"/>
    <w:basedOn w:val="Standaardtabel"/>
    <w:uiPriority w:val="40"/>
    <w:rsid w:val="00994F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244D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4D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21722</Words>
  <Characters>123822</Characters>
  <Application>Microsoft Office Word</Application>
  <DocSecurity>0</DocSecurity>
  <Lines>1031</Lines>
  <Paragraphs>290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 Jong</dc:creator>
  <cp:keywords/>
  <dc:description/>
  <cp:lastModifiedBy>Lisa de Jong</cp:lastModifiedBy>
  <cp:revision>2</cp:revision>
  <dcterms:created xsi:type="dcterms:W3CDTF">2019-09-09T09:24:00Z</dcterms:created>
  <dcterms:modified xsi:type="dcterms:W3CDTF">2019-09-09T10:23:00Z</dcterms:modified>
</cp:coreProperties>
</file>