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5EA78" w14:textId="77777777" w:rsidR="00E8420A" w:rsidRPr="00721312" w:rsidRDefault="00E8420A" w:rsidP="00E8420A">
      <w:pPr>
        <w:contextualSpacing/>
        <w:outlineLvl w:val="0"/>
        <w:rPr>
          <w:rFonts w:ascii="Times" w:hAnsi="Times"/>
          <w:b/>
        </w:rPr>
      </w:pPr>
      <w:r w:rsidRPr="00A13F5E">
        <w:rPr>
          <w:rFonts w:ascii="Times" w:hAnsi="Times"/>
          <w:b/>
        </w:rPr>
        <w:t>S</w:t>
      </w:r>
      <w:r>
        <w:rPr>
          <w:rFonts w:ascii="Times" w:hAnsi="Times"/>
          <w:b/>
        </w:rPr>
        <w:t>4</w:t>
      </w:r>
      <w:r w:rsidR="00A15912">
        <w:rPr>
          <w:rFonts w:ascii="Times" w:hAnsi="Times"/>
          <w:b/>
        </w:rPr>
        <w:t xml:space="preserve"> </w:t>
      </w:r>
      <w:r w:rsidR="00A15912" w:rsidRPr="00A13F5E">
        <w:rPr>
          <w:rFonts w:ascii="Times" w:hAnsi="Times"/>
          <w:b/>
        </w:rPr>
        <w:t>Table</w:t>
      </w:r>
      <w:r w:rsidRPr="00721312">
        <w:rPr>
          <w:rFonts w:ascii="Times" w:hAnsi="Times"/>
          <w:b/>
        </w:rPr>
        <w:t>. Variable definitions</w:t>
      </w:r>
    </w:p>
    <w:tbl>
      <w:tblPr>
        <w:tblW w:w="5057" w:type="pct"/>
        <w:tblCellMar>
          <w:left w:w="70" w:type="dxa"/>
          <w:right w:w="70" w:type="dxa"/>
        </w:tblCellMar>
        <w:tblLook w:val="04A0" w:firstRow="1" w:lastRow="0" w:firstColumn="1" w:lastColumn="0" w:noHBand="0" w:noVBand="1"/>
      </w:tblPr>
      <w:tblGrid>
        <w:gridCol w:w="2607"/>
        <w:gridCol w:w="1367"/>
        <w:gridCol w:w="5634"/>
      </w:tblGrid>
      <w:tr w:rsidR="00E8420A" w:rsidRPr="00721312" w14:paraId="13FAE30E" w14:textId="77777777" w:rsidTr="00980020">
        <w:trPr>
          <w:trHeight w:val="299"/>
        </w:trPr>
        <w:tc>
          <w:tcPr>
            <w:tcW w:w="1330"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7B0C97F" w14:textId="77777777" w:rsidR="00E8420A" w:rsidRPr="00721312" w:rsidRDefault="00E8420A" w:rsidP="00980020">
            <w:pPr>
              <w:rPr>
                <w:rFonts w:ascii="Times" w:hAnsi="Times"/>
                <w:b/>
                <w:bCs/>
                <w:color w:val="000000"/>
              </w:rPr>
            </w:pPr>
            <w:r w:rsidRPr="00721312">
              <w:rPr>
                <w:rFonts w:ascii="Times" w:hAnsi="Times"/>
                <w:b/>
                <w:bCs/>
                <w:color w:val="000000"/>
              </w:rPr>
              <w:t>Variable name</w:t>
            </w:r>
          </w:p>
        </w:tc>
        <w:tc>
          <w:tcPr>
            <w:tcW w:w="682" w:type="pct"/>
            <w:tcBorders>
              <w:top w:val="single" w:sz="8" w:space="0" w:color="auto"/>
              <w:left w:val="nil"/>
              <w:bottom w:val="single" w:sz="4" w:space="0" w:color="auto"/>
              <w:right w:val="single" w:sz="8" w:space="0" w:color="auto"/>
            </w:tcBorders>
            <w:shd w:val="clear" w:color="auto" w:fill="auto"/>
            <w:noWrap/>
            <w:vAlign w:val="center"/>
            <w:hideMark/>
          </w:tcPr>
          <w:p w14:paraId="342EE70D" w14:textId="77777777" w:rsidR="00E8420A" w:rsidRPr="00721312" w:rsidRDefault="00E8420A" w:rsidP="00980020">
            <w:pPr>
              <w:jc w:val="center"/>
              <w:rPr>
                <w:rFonts w:ascii="Times" w:hAnsi="Times"/>
                <w:b/>
                <w:bCs/>
                <w:color w:val="000000"/>
              </w:rPr>
            </w:pPr>
            <w:r w:rsidRPr="00721312">
              <w:rPr>
                <w:rFonts w:ascii="Times" w:hAnsi="Times"/>
                <w:b/>
                <w:bCs/>
                <w:color w:val="000000"/>
              </w:rPr>
              <w:t>Type</w:t>
            </w:r>
          </w:p>
        </w:tc>
        <w:tc>
          <w:tcPr>
            <w:tcW w:w="2988" w:type="pct"/>
            <w:tcBorders>
              <w:top w:val="single" w:sz="8" w:space="0" w:color="auto"/>
              <w:left w:val="nil"/>
              <w:bottom w:val="single" w:sz="4" w:space="0" w:color="auto"/>
              <w:right w:val="single" w:sz="8" w:space="0" w:color="auto"/>
            </w:tcBorders>
            <w:shd w:val="clear" w:color="auto" w:fill="auto"/>
            <w:vAlign w:val="center"/>
            <w:hideMark/>
          </w:tcPr>
          <w:p w14:paraId="0662B65E" w14:textId="77777777" w:rsidR="00E8420A" w:rsidRPr="00721312" w:rsidRDefault="00E8420A" w:rsidP="00980020">
            <w:pPr>
              <w:jc w:val="center"/>
              <w:rPr>
                <w:rFonts w:ascii="Times" w:hAnsi="Times"/>
                <w:b/>
                <w:bCs/>
                <w:color w:val="000000"/>
              </w:rPr>
            </w:pPr>
            <w:r w:rsidRPr="00721312">
              <w:rPr>
                <w:rFonts w:ascii="Times" w:hAnsi="Times"/>
                <w:b/>
                <w:bCs/>
                <w:color w:val="000000"/>
              </w:rPr>
              <w:t>Description</w:t>
            </w:r>
          </w:p>
        </w:tc>
      </w:tr>
      <w:tr w:rsidR="00E8420A" w:rsidRPr="00721312" w14:paraId="6C6E4E2A" w14:textId="77777777" w:rsidTr="00980020">
        <w:trPr>
          <w:trHeight w:val="29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55EB0" w14:textId="77777777" w:rsidR="00E8420A" w:rsidRPr="00721312" w:rsidRDefault="00E8420A" w:rsidP="00980020">
            <w:pPr>
              <w:jc w:val="center"/>
              <w:rPr>
                <w:rFonts w:ascii="Times" w:hAnsi="Times"/>
                <w:i/>
                <w:iCs/>
                <w:color w:val="000000"/>
              </w:rPr>
            </w:pPr>
            <w:r w:rsidRPr="00721312">
              <w:rPr>
                <w:rFonts w:ascii="Times" w:hAnsi="Times"/>
                <w:i/>
                <w:iCs/>
                <w:color w:val="000000"/>
              </w:rPr>
              <w:t>Inputs</w:t>
            </w:r>
          </w:p>
        </w:tc>
      </w:tr>
      <w:tr w:rsidR="00E8420A" w:rsidRPr="00721312" w14:paraId="6BFA4756" w14:textId="77777777" w:rsidTr="00980020">
        <w:trPr>
          <w:trHeight w:val="299"/>
        </w:trPr>
        <w:tc>
          <w:tcPr>
            <w:tcW w:w="1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9A55B" w14:textId="77777777" w:rsidR="00E8420A" w:rsidRPr="00721312" w:rsidRDefault="00E8420A" w:rsidP="00980020">
            <w:pPr>
              <w:rPr>
                <w:rFonts w:ascii="Times" w:hAnsi="Times"/>
                <w:color w:val="000000"/>
              </w:rPr>
            </w:pPr>
            <w:r w:rsidRPr="00721312">
              <w:rPr>
                <w:rFonts w:ascii="Times" w:hAnsi="Times"/>
                <w:color w:val="000000"/>
              </w:rPr>
              <w:t>Capital</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976E4" w14:textId="77777777" w:rsidR="00E8420A" w:rsidRPr="00721312" w:rsidRDefault="00E8420A" w:rsidP="00980020">
            <w:pPr>
              <w:jc w:val="center"/>
              <w:rPr>
                <w:rFonts w:ascii="Times" w:hAnsi="Times"/>
                <w:color w:val="000000"/>
              </w:rPr>
            </w:pPr>
            <w:r w:rsidRPr="00721312">
              <w:rPr>
                <w:rFonts w:ascii="Times" w:hAnsi="Times"/>
                <w:color w:val="000000"/>
              </w:rPr>
              <w:t>Continuous</w:t>
            </w:r>
          </w:p>
        </w:tc>
        <w:tc>
          <w:tcPr>
            <w:tcW w:w="29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2D2B4" w14:textId="77777777" w:rsidR="00E8420A" w:rsidRPr="00721312" w:rsidRDefault="00E8420A" w:rsidP="00980020">
            <w:pPr>
              <w:rPr>
                <w:rFonts w:ascii="Times" w:hAnsi="Times"/>
                <w:color w:val="000000"/>
              </w:rPr>
            </w:pPr>
            <w:r w:rsidRPr="00721312">
              <w:rPr>
                <w:rFonts w:ascii="Times" w:hAnsi="Times"/>
                <w:color w:val="000000"/>
              </w:rPr>
              <w:t xml:space="preserve">Cost of capital are expressed in 2013 US dollars. Capital included annual cost of equipment and vehicles assuming a useful life of ten years. As capital is shared between several interventions, the MC capital cost was obtained by multiplying the total annualized capital cost by a client-based weight, </w:t>
            </w:r>
            <w:proofErr w:type="spellStart"/>
            <w:r w:rsidRPr="00721312">
              <w:rPr>
                <w:rFonts w:ascii="Times" w:hAnsi="Times"/>
                <w:color w:val="000000"/>
              </w:rPr>
              <w:t>ie</w:t>
            </w:r>
            <w:proofErr w:type="spellEnd"/>
            <w:r w:rsidRPr="00721312">
              <w:rPr>
                <w:rFonts w:ascii="Times" w:hAnsi="Times"/>
                <w:color w:val="000000"/>
              </w:rPr>
              <w:t>. the total number of VMMCs performed at the facility divided by the total number of outpatient clients at the facility in the costing year</w:t>
            </w:r>
          </w:p>
        </w:tc>
      </w:tr>
      <w:tr w:rsidR="00E8420A" w:rsidRPr="00721312" w14:paraId="34D75035" w14:textId="77777777" w:rsidTr="00980020">
        <w:trPr>
          <w:trHeight w:val="299"/>
        </w:trPr>
        <w:tc>
          <w:tcPr>
            <w:tcW w:w="1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FA97F" w14:textId="77777777" w:rsidR="00E8420A" w:rsidRPr="00721312" w:rsidRDefault="00E8420A" w:rsidP="00980020">
            <w:pPr>
              <w:rPr>
                <w:rFonts w:ascii="Times" w:hAnsi="Times"/>
                <w:color w:val="000000"/>
              </w:rPr>
            </w:pPr>
            <w:r w:rsidRPr="00721312">
              <w:rPr>
                <w:rFonts w:ascii="Times" w:hAnsi="Times"/>
                <w:color w:val="000000"/>
              </w:rPr>
              <w:t>Utilities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665B2" w14:textId="77777777" w:rsidR="00E8420A" w:rsidRPr="00721312" w:rsidRDefault="00E8420A" w:rsidP="00980020">
            <w:pPr>
              <w:jc w:val="center"/>
              <w:rPr>
                <w:rFonts w:ascii="Times" w:hAnsi="Times"/>
                <w:color w:val="000000"/>
              </w:rPr>
            </w:pPr>
            <w:r w:rsidRPr="00721312">
              <w:rPr>
                <w:rFonts w:ascii="Times" w:hAnsi="Times"/>
                <w:color w:val="000000"/>
              </w:rPr>
              <w:t>Continuous</w:t>
            </w:r>
          </w:p>
        </w:tc>
        <w:tc>
          <w:tcPr>
            <w:tcW w:w="29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8418B" w14:textId="77777777" w:rsidR="00E8420A" w:rsidRPr="00721312" w:rsidRDefault="00E8420A" w:rsidP="00980020">
            <w:pPr>
              <w:rPr>
                <w:rFonts w:ascii="Times" w:hAnsi="Times"/>
                <w:color w:val="000000"/>
              </w:rPr>
            </w:pPr>
            <w:r w:rsidRPr="00721312">
              <w:rPr>
                <w:rFonts w:ascii="Times" w:hAnsi="Times"/>
                <w:color w:val="000000"/>
              </w:rPr>
              <w:t>Cost of utilities are expressed in 2013 US dollars. Utilities included water and electricity services. The total cost of utilities was calculated by adding the monthly cost of water and electricity services over the costing year. As the facility used these services to provide other interventions, the cost share for MC was obtained using a client-based weight, as above (total number of VMMCs performed at the facility divided by the total number of clients at the facility in the costing year)</w:t>
            </w:r>
          </w:p>
        </w:tc>
      </w:tr>
      <w:tr w:rsidR="00E8420A" w:rsidRPr="00721312" w14:paraId="37FF18E5" w14:textId="77777777" w:rsidTr="00980020">
        <w:trPr>
          <w:trHeight w:val="602"/>
        </w:trPr>
        <w:tc>
          <w:tcPr>
            <w:tcW w:w="1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CCB82" w14:textId="77777777" w:rsidR="00E8420A" w:rsidRPr="00721312" w:rsidRDefault="00E8420A" w:rsidP="00980020">
            <w:pPr>
              <w:rPr>
                <w:rFonts w:ascii="Times" w:hAnsi="Times"/>
                <w:color w:val="000000"/>
              </w:rPr>
            </w:pPr>
            <w:r w:rsidRPr="00721312">
              <w:rPr>
                <w:rFonts w:ascii="Times" w:hAnsi="Times"/>
                <w:color w:val="000000"/>
              </w:rPr>
              <w:t>FTE Medical Doctors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8144B" w14:textId="77777777" w:rsidR="00E8420A" w:rsidRPr="00721312" w:rsidRDefault="00E8420A" w:rsidP="00980020">
            <w:pPr>
              <w:jc w:val="center"/>
              <w:rPr>
                <w:rFonts w:ascii="Times" w:hAnsi="Times"/>
                <w:color w:val="000000"/>
              </w:rPr>
            </w:pPr>
            <w:r w:rsidRPr="00721312">
              <w:rPr>
                <w:rFonts w:ascii="Times" w:hAnsi="Times"/>
                <w:color w:val="000000"/>
              </w:rPr>
              <w:t>Continuous</w:t>
            </w:r>
          </w:p>
        </w:tc>
        <w:tc>
          <w:tcPr>
            <w:tcW w:w="29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7F4177" w14:textId="77777777" w:rsidR="00E8420A" w:rsidRPr="00721312" w:rsidRDefault="00E8420A" w:rsidP="00980020">
            <w:pPr>
              <w:rPr>
                <w:rFonts w:ascii="Times" w:hAnsi="Times"/>
                <w:color w:val="000000"/>
              </w:rPr>
            </w:pPr>
            <w:r w:rsidRPr="00721312">
              <w:rPr>
                <w:rFonts w:ascii="Times" w:hAnsi="Times"/>
                <w:color w:val="000000"/>
              </w:rPr>
              <w:t>Number of full time-equivalent medical doctors that participate in the provision of VMMC</w:t>
            </w:r>
          </w:p>
        </w:tc>
      </w:tr>
      <w:tr w:rsidR="00E8420A" w:rsidRPr="00721312" w14:paraId="1B7E0E5F" w14:textId="77777777" w:rsidTr="00980020">
        <w:trPr>
          <w:trHeight w:val="602"/>
        </w:trPr>
        <w:tc>
          <w:tcPr>
            <w:tcW w:w="1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AD88A" w14:textId="77777777" w:rsidR="00E8420A" w:rsidRPr="00721312" w:rsidRDefault="00E8420A" w:rsidP="00980020">
            <w:pPr>
              <w:rPr>
                <w:rFonts w:ascii="Times" w:hAnsi="Times"/>
                <w:color w:val="000000"/>
              </w:rPr>
            </w:pPr>
            <w:r w:rsidRPr="00721312">
              <w:rPr>
                <w:rFonts w:ascii="Times" w:hAnsi="Times"/>
                <w:color w:val="000000"/>
              </w:rPr>
              <w:t>FTE Nurses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20DAF" w14:textId="77777777" w:rsidR="00E8420A" w:rsidRPr="00721312" w:rsidRDefault="00E8420A" w:rsidP="00980020">
            <w:pPr>
              <w:jc w:val="center"/>
              <w:rPr>
                <w:rFonts w:ascii="Times" w:hAnsi="Times"/>
                <w:color w:val="000000"/>
              </w:rPr>
            </w:pPr>
            <w:r w:rsidRPr="00721312">
              <w:rPr>
                <w:rFonts w:ascii="Times" w:hAnsi="Times"/>
                <w:color w:val="000000"/>
              </w:rPr>
              <w:t>Continuous</w:t>
            </w:r>
          </w:p>
        </w:tc>
        <w:tc>
          <w:tcPr>
            <w:tcW w:w="29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3CD77" w14:textId="77777777" w:rsidR="00E8420A" w:rsidRPr="00721312" w:rsidRDefault="00E8420A" w:rsidP="00980020">
            <w:pPr>
              <w:rPr>
                <w:rFonts w:ascii="Times" w:hAnsi="Times"/>
                <w:color w:val="000000"/>
              </w:rPr>
            </w:pPr>
            <w:r w:rsidRPr="00721312">
              <w:rPr>
                <w:rFonts w:ascii="Times" w:hAnsi="Times"/>
                <w:color w:val="000000"/>
              </w:rPr>
              <w:t>Number of full time-equivalent general nurses that participate in the provision of VMMC</w:t>
            </w:r>
          </w:p>
        </w:tc>
      </w:tr>
      <w:tr w:rsidR="00E8420A" w:rsidRPr="00721312" w14:paraId="2E31B3D4" w14:textId="77777777" w:rsidTr="00980020">
        <w:trPr>
          <w:trHeight w:val="622"/>
        </w:trPr>
        <w:tc>
          <w:tcPr>
            <w:tcW w:w="1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A1892" w14:textId="77777777" w:rsidR="00E8420A" w:rsidRPr="00721312" w:rsidRDefault="00E8420A" w:rsidP="00980020">
            <w:pPr>
              <w:rPr>
                <w:rFonts w:ascii="Times" w:hAnsi="Times"/>
                <w:color w:val="000000"/>
              </w:rPr>
            </w:pPr>
            <w:r w:rsidRPr="00721312">
              <w:rPr>
                <w:rFonts w:ascii="Times" w:hAnsi="Times"/>
                <w:color w:val="000000"/>
              </w:rPr>
              <w:t>FTE of other Health Staff</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D6C83" w14:textId="77777777" w:rsidR="00E8420A" w:rsidRPr="00721312" w:rsidRDefault="00E8420A" w:rsidP="00980020">
            <w:pPr>
              <w:jc w:val="center"/>
              <w:rPr>
                <w:rFonts w:ascii="Times" w:hAnsi="Times"/>
                <w:color w:val="000000"/>
              </w:rPr>
            </w:pPr>
            <w:r w:rsidRPr="00721312">
              <w:rPr>
                <w:rFonts w:ascii="Times" w:hAnsi="Times"/>
                <w:color w:val="000000"/>
              </w:rPr>
              <w:t>Continuous</w:t>
            </w:r>
          </w:p>
        </w:tc>
        <w:tc>
          <w:tcPr>
            <w:tcW w:w="29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89E67" w14:textId="77777777" w:rsidR="00E8420A" w:rsidRPr="00721312" w:rsidRDefault="00E8420A" w:rsidP="00980020">
            <w:pPr>
              <w:rPr>
                <w:rFonts w:ascii="Times" w:hAnsi="Times"/>
                <w:color w:val="000000"/>
              </w:rPr>
            </w:pPr>
            <w:r w:rsidRPr="00721312">
              <w:rPr>
                <w:rFonts w:ascii="Times" w:hAnsi="Times"/>
                <w:color w:val="000000"/>
              </w:rPr>
              <w:t>Number of full time-equivalent health staff that participate in the provision of VMMC</w:t>
            </w:r>
          </w:p>
        </w:tc>
      </w:tr>
      <w:tr w:rsidR="00E8420A" w:rsidRPr="00721312" w14:paraId="1C401D07" w14:textId="77777777" w:rsidTr="00980020">
        <w:trPr>
          <w:trHeight w:val="319"/>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3CCA0C2" w14:textId="77777777" w:rsidR="00E8420A" w:rsidRPr="00721312" w:rsidRDefault="00E8420A" w:rsidP="00980020">
            <w:pPr>
              <w:jc w:val="center"/>
              <w:rPr>
                <w:rFonts w:ascii="Times" w:hAnsi="Times"/>
                <w:i/>
                <w:iCs/>
                <w:color w:val="000000"/>
              </w:rPr>
            </w:pPr>
            <w:r w:rsidRPr="00721312">
              <w:rPr>
                <w:rFonts w:ascii="Times" w:hAnsi="Times"/>
                <w:i/>
                <w:iCs/>
                <w:color w:val="000000"/>
              </w:rPr>
              <w:t>Outputs</w:t>
            </w:r>
          </w:p>
        </w:tc>
      </w:tr>
      <w:tr w:rsidR="00E8420A" w:rsidRPr="00721312" w14:paraId="064E8F1E" w14:textId="77777777" w:rsidTr="00980020">
        <w:trPr>
          <w:trHeight w:val="319"/>
        </w:trPr>
        <w:tc>
          <w:tcPr>
            <w:tcW w:w="1330" w:type="pct"/>
            <w:tcBorders>
              <w:top w:val="nil"/>
              <w:left w:val="single" w:sz="8" w:space="0" w:color="auto"/>
              <w:bottom w:val="single" w:sz="4" w:space="0" w:color="auto"/>
              <w:right w:val="single" w:sz="4" w:space="0" w:color="auto"/>
            </w:tcBorders>
            <w:shd w:val="clear" w:color="auto" w:fill="auto"/>
            <w:noWrap/>
            <w:vAlign w:val="center"/>
            <w:hideMark/>
          </w:tcPr>
          <w:p w14:paraId="62A65442" w14:textId="77777777" w:rsidR="00E8420A" w:rsidRPr="00721312" w:rsidRDefault="00E8420A" w:rsidP="00980020">
            <w:pPr>
              <w:rPr>
                <w:rFonts w:ascii="Times" w:hAnsi="Times"/>
                <w:color w:val="000000"/>
              </w:rPr>
            </w:pPr>
            <w:r w:rsidRPr="00721312">
              <w:rPr>
                <w:rFonts w:ascii="Times" w:hAnsi="Times"/>
                <w:color w:val="000000"/>
              </w:rPr>
              <w:t xml:space="preserve">VMMC Clients </w:t>
            </w:r>
          </w:p>
        </w:tc>
        <w:tc>
          <w:tcPr>
            <w:tcW w:w="682" w:type="pct"/>
            <w:tcBorders>
              <w:top w:val="nil"/>
              <w:left w:val="nil"/>
              <w:bottom w:val="single" w:sz="4" w:space="0" w:color="auto"/>
              <w:right w:val="single" w:sz="4" w:space="0" w:color="auto"/>
            </w:tcBorders>
            <w:shd w:val="clear" w:color="auto" w:fill="auto"/>
            <w:noWrap/>
            <w:vAlign w:val="center"/>
            <w:hideMark/>
          </w:tcPr>
          <w:p w14:paraId="21FB4317" w14:textId="77777777" w:rsidR="00E8420A" w:rsidRPr="00721312" w:rsidRDefault="00E8420A" w:rsidP="00980020">
            <w:pPr>
              <w:jc w:val="center"/>
              <w:rPr>
                <w:rFonts w:ascii="Times" w:hAnsi="Times"/>
                <w:color w:val="000000"/>
              </w:rPr>
            </w:pPr>
            <w:r w:rsidRPr="00721312">
              <w:rPr>
                <w:rFonts w:ascii="Times" w:hAnsi="Times"/>
                <w:color w:val="000000"/>
              </w:rPr>
              <w:t>Continuous</w:t>
            </w:r>
          </w:p>
        </w:tc>
        <w:tc>
          <w:tcPr>
            <w:tcW w:w="2988" w:type="pct"/>
            <w:tcBorders>
              <w:top w:val="nil"/>
              <w:left w:val="nil"/>
              <w:bottom w:val="single" w:sz="4" w:space="0" w:color="auto"/>
              <w:right w:val="single" w:sz="8" w:space="0" w:color="auto"/>
            </w:tcBorders>
            <w:shd w:val="clear" w:color="auto" w:fill="auto"/>
            <w:vAlign w:val="center"/>
            <w:hideMark/>
          </w:tcPr>
          <w:p w14:paraId="3F499E66" w14:textId="77777777" w:rsidR="00E8420A" w:rsidRPr="00721312" w:rsidRDefault="00E8420A" w:rsidP="00980020">
            <w:pPr>
              <w:rPr>
                <w:rFonts w:ascii="Times" w:hAnsi="Times"/>
                <w:color w:val="000000"/>
              </w:rPr>
            </w:pPr>
            <w:r w:rsidRPr="00721312">
              <w:rPr>
                <w:rFonts w:ascii="Times" w:hAnsi="Times"/>
                <w:color w:val="000000"/>
              </w:rPr>
              <w:t>Number of VMMC annual clients</w:t>
            </w:r>
          </w:p>
        </w:tc>
      </w:tr>
      <w:tr w:rsidR="00E8420A" w:rsidRPr="00721312" w14:paraId="213E6E9A" w14:textId="77777777" w:rsidTr="00980020">
        <w:trPr>
          <w:trHeight w:val="299"/>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ED52022" w14:textId="77777777" w:rsidR="00E8420A" w:rsidRPr="00721312" w:rsidRDefault="00E8420A" w:rsidP="00980020">
            <w:pPr>
              <w:jc w:val="center"/>
              <w:rPr>
                <w:rFonts w:ascii="Times" w:hAnsi="Times"/>
                <w:i/>
                <w:iCs/>
                <w:color w:val="000000"/>
              </w:rPr>
            </w:pPr>
            <w:r w:rsidRPr="00721312">
              <w:rPr>
                <w:rFonts w:ascii="Times" w:hAnsi="Times"/>
                <w:i/>
                <w:iCs/>
                <w:color w:val="000000"/>
              </w:rPr>
              <w:t>Efficiency</w:t>
            </w:r>
          </w:p>
        </w:tc>
      </w:tr>
      <w:tr w:rsidR="00E8420A" w:rsidRPr="00721312" w14:paraId="1B71832C" w14:textId="77777777" w:rsidTr="00980020">
        <w:trPr>
          <w:trHeight w:val="622"/>
        </w:trPr>
        <w:tc>
          <w:tcPr>
            <w:tcW w:w="1330" w:type="pct"/>
            <w:tcBorders>
              <w:top w:val="nil"/>
              <w:left w:val="single" w:sz="8" w:space="0" w:color="auto"/>
              <w:bottom w:val="single" w:sz="4" w:space="0" w:color="auto"/>
              <w:right w:val="single" w:sz="4" w:space="0" w:color="auto"/>
            </w:tcBorders>
            <w:shd w:val="clear" w:color="auto" w:fill="auto"/>
            <w:noWrap/>
            <w:vAlign w:val="center"/>
            <w:hideMark/>
          </w:tcPr>
          <w:p w14:paraId="7325D0E6" w14:textId="77777777" w:rsidR="00E8420A" w:rsidRPr="00721312" w:rsidRDefault="00E8420A" w:rsidP="00980020">
            <w:pPr>
              <w:rPr>
                <w:rFonts w:ascii="Times" w:hAnsi="Times"/>
                <w:color w:val="000000"/>
              </w:rPr>
            </w:pPr>
            <w:r w:rsidRPr="00721312">
              <w:rPr>
                <w:rFonts w:ascii="Times" w:hAnsi="Times"/>
                <w:color w:val="000000"/>
              </w:rPr>
              <w:t>Efficiency score</w:t>
            </w:r>
          </w:p>
        </w:tc>
        <w:tc>
          <w:tcPr>
            <w:tcW w:w="682" w:type="pct"/>
            <w:tcBorders>
              <w:top w:val="nil"/>
              <w:left w:val="nil"/>
              <w:bottom w:val="single" w:sz="4" w:space="0" w:color="auto"/>
              <w:right w:val="single" w:sz="4" w:space="0" w:color="auto"/>
            </w:tcBorders>
            <w:shd w:val="clear" w:color="auto" w:fill="auto"/>
            <w:noWrap/>
            <w:vAlign w:val="center"/>
            <w:hideMark/>
          </w:tcPr>
          <w:p w14:paraId="0CCC0849" w14:textId="77777777" w:rsidR="00E8420A" w:rsidRPr="00721312" w:rsidRDefault="00E8420A" w:rsidP="00980020">
            <w:pPr>
              <w:jc w:val="center"/>
              <w:rPr>
                <w:rFonts w:ascii="Times" w:hAnsi="Times"/>
                <w:color w:val="000000"/>
              </w:rPr>
            </w:pPr>
            <w:r w:rsidRPr="00721312">
              <w:rPr>
                <w:rFonts w:ascii="Times" w:hAnsi="Times"/>
                <w:color w:val="000000"/>
              </w:rPr>
              <w:t>Continuous</w:t>
            </w:r>
          </w:p>
        </w:tc>
        <w:tc>
          <w:tcPr>
            <w:tcW w:w="2988" w:type="pct"/>
            <w:tcBorders>
              <w:top w:val="nil"/>
              <w:left w:val="nil"/>
              <w:bottom w:val="single" w:sz="4" w:space="0" w:color="auto"/>
              <w:right w:val="single" w:sz="8" w:space="0" w:color="auto"/>
            </w:tcBorders>
            <w:shd w:val="clear" w:color="auto" w:fill="auto"/>
            <w:vAlign w:val="center"/>
            <w:hideMark/>
          </w:tcPr>
          <w:p w14:paraId="0A668E66" w14:textId="77777777" w:rsidR="00E8420A" w:rsidRPr="00721312" w:rsidRDefault="00E8420A" w:rsidP="00980020">
            <w:pPr>
              <w:rPr>
                <w:rFonts w:ascii="Times" w:hAnsi="Times"/>
                <w:color w:val="000000"/>
                <w:sz w:val="20"/>
                <w:szCs w:val="20"/>
              </w:rPr>
            </w:pPr>
            <w:r w:rsidRPr="00721312">
              <w:rPr>
                <w:rFonts w:ascii="Times" w:hAnsi="Times"/>
                <w:color w:val="000000"/>
              </w:rPr>
              <w:t>Efficiency score estimated through DEA (0 – 100)</w:t>
            </w:r>
          </w:p>
        </w:tc>
      </w:tr>
      <w:tr w:rsidR="00E8420A" w:rsidRPr="00721312" w14:paraId="68443611" w14:textId="77777777" w:rsidTr="00980020">
        <w:trPr>
          <w:trHeight w:val="299"/>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CC1F796" w14:textId="77777777" w:rsidR="00E8420A" w:rsidRPr="00721312" w:rsidRDefault="00E8420A" w:rsidP="00980020">
            <w:pPr>
              <w:jc w:val="center"/>
              <w:rPr>
                <w:rFonts w:ascii="Times" w:hAnsi="Times"/>
                <w:i/>
                <w:iCs/>
                <w:color w:val="000000"/>
              </w:rPr>
            </w:pPr>
            <w:r w:rsidRPr="00721312">
              <w:rPr>
                <w:rFonts w:ascii="Times" w:hAnsi="Times"/>
                <w:i/>
                <w:iCs/>
                <w:color w:val="000000"/>
              </w:rPr>
              <w:t>Facility characteristics</w:t>
            </w:r>
          </w:p>
        </w:tc>
      </w:tr>
      <w:tr w:rsidR="00E8420A" w:rsidRPr="00721312" w14:paraId="1202F7DE" w14:textId="77777777" w:rsidTr="00980020">
        <w:trPr>
          <w:trHeight w:val="906"/>
        </w:trPr>
        <w:tc>
          <w:tcPr>
            <w:tcW w:w="1330" w:type="pct"/>
            <w:tcBorders>
              <w:top w:val="nil"/>
              <w:left w:val="single" w:sz="8" w:space="0" w:color="auto"/>
              <w:bottom w:val="single" w:sz="4" w:space="0" w:color="auto"/>
              <w:right w:val="single" w:sz="4" w:space="0" w:color="auto"/>
            </w:tcBorders>
            <w:shd w:val="clear" w:color="auto" w:fill="auto"/>
            <w:noWrap/>
            <w:vAlign w:val="center"/>
            <w:hideMark/>
          </w:tcPr>
          <w:p w14:paraId="1BDB1EB1" w14:textId="497996FF" w:rsidR="00E8420A" w:rsidRPr="00721312" w:rsidRDefault="00F858C8" w:rsidP="00980020">
            <w:pPr>
              <w:rPr>
                <w:rFonts w:ascii="Times" w:hAnsi="Times"/>
                <w:color w:val="000000"/>
              </w:rPr>
            </w:pPr>
            <w:r>
              <w:rPr>
                <w:rFonts w:ascii="Times" w:hAnsi="Times"/>
                <w:color w:val="000000"/>
              </w:rPr>
              <w:t>Type of facility</w:t>
            </w:r>
            <w:bookmarkStart w:id="0" w:name="_GoBack"/>
            <w:bookmarkEnd w:id="0"/>
          </w:p>
        </w:tc>
        <w:tc>
          <w:tcPr>
            <w:tcW w:w="682" w:type="pct"/>
            <w:tcBorders>
              <w:top w:val="nil"/>
              <w:left w:val="nil"/>
              <w:bottom w:val="single" w:sz="4" w:space="0" w:color="auto"/>
              <w:right w:val="single" w:sz="4" w:space="0" w:color="auto"/>
            </w:tcBorders>
            <w:shd w:val="clear" w:color="auto" w:fill="auto"/>
            <w:noWrap/>
            <w:vAlign w:val="center"/>
            <w:hideMark/>
          </w:tcPr>
          <w:p w14:paraId="40353116" w14:textId="77777777" w:rsidR="00E8420A" w:rsidRPr="00721312" w:rsidRDefault="00E8420A" w:rsidP="00980020">
            <w:pPr>
              <w:jc w:val="center"/>
              <w:rPr>
                <w:rFonts w:ascii="Times" w:hAnsi="Times"/>
                <w:color w:val="000000"/>
              </w:rPr>
            </w:pPr>
            <w:r w:rsidRPr="00721312">
              <w:rPr>
                <w:rFonts w:ascii="Times" w:hAnsi="Times"/>
                <w:color w:val="000000"/>
              </w:rPr>
              <w:t> Binary</w:t>
            </w:r>
          </w:p>
        </w:tc>
        <w:tc>
          <w:tcPr>
            <w:tcW w:w="2988" w:type="pct"/>
            <w:tcBorders>
              <w:top w:val="nil"/>
              <w:left w:val="nil"/>
              <w:bottom w:val="single" w:sz="4" w:space="0" w:color="auto"/>
              <w:right w:val="single" w:sz="8" w:space="0" w:color="auto"/>
            </w:tcBorders>
            <w:shd w:val="clear" w:color="auto" w:fill="auto"/>
            <w:vAlign w:val="center"/>
            <w:hideMark/>
          </w:tcPr>
          <w:p w14:paraId="53A8E917" w14:textId="77777777" w:rsidR="00E8420A" w:rsidRPr="00721312" w:rsidRDefault="00E8420A" w:rsidP="00980020">
            <w:pPr>
              <w:rPr>
                <w:rFonts w:ascii="Times" w:hAnsi="Times"/>
                <w:color w:val="000000"/>
              </w:rPr>
            </w:pPr>
            <w:r w:rsidRPr="00721312">
              <w:rPr>
                <w:rFonts w:ascii="Times" w:hAnsi="Times"/>
                <w:color w:val="000000"/>
              </w:rPr>
              <w:t>Indicator variable for level of service provision, dichotomized into hospitals (reference category) and primary care clinics</w:t>
            </w:r>
          </w:p>
        </w:tc>
      </w:tr>
      <w:tr w:rsidR="00E8420A" w:rsidRPr="00721312" w14:paraId="6AFEA766" w14:textId="77777777" w:rsidTr="00980020">
        <w:trPr>
          <w:trHeight w:val="299"/>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6EBB154" w14:textId="77777777" w:rsidR="00E8420A" w:rsidRPr="00721312" w:rsidRDefault="00E8420A" w:rsidP="00980020">
            <w:pPr>
              <w:jc w:val="center"/>
              <w:rPr>
                <w:rFonts w:ascii="Times" w:hAnsi="Times"/>
                <w:i/>
                <w:iCs/>
                <w:color w:val="000000"/>
              </w:rPr>
            </w:pPr>
            <w:r w:rsidRPr="00721312">
              <w:rPr>
                <w:rFonts w:ascii="Times" w:hAnsi="Times"/>
                <w:i/>
                <w:iCs/>
                <w:color w:val="000000"/>
              </w:rPr>
              <w:t>Location</w:t>
            </w:r>
          </w:p>
        </w:tc>
      </w:tr>
      <w:tr w:rsidR="00E8420A" w:rsidRPr="00FB3010" w14:paraId="318C6DC4" w14:textId="77777777" w:rsidTr="00980020">
        <w:trPr>
          <w:trHeight w:val="622"/>
        </w:trPr>
        <w:tc>
          <w:tcPr>
            <w:tcW w:w="1330" w:type="pct"/>
            <w:tcBorders>
              <w:top w:val="nil"/>
              <w:left w:val="single" w:sz="8" w:space="0" w:color="auto"/>
              <w:bottom w:val="single" w:sz="8" w:space="0" w:color="auto"/>
              <w:right w:val="single" w:sz="4" w:space="0" w:color="auto"/>
            </w:tcBorders>
            <w:shd w:val="clear" w:color="auto" w:fill="auto"/>
            <w:noWrap/>
            <w:vAlign w:val="center"/>
            <w:hideMark/>
          </w:tcPr>
          <w:p w14:paraId="4668E39F" w14:textId="77777777" w:rsidR="00E8420A" w:rsidRPr="00721312" w:rsidRDefault="00E8420A" w:rsidP="00980020">
            <w:pPr>
              <w:rPr>
                <w:rFonts w:ascii="Times" w:hAnsi="Times"/>
                <w:color w:val="000000"/>
              </w:rPr>
            </w:pPr>
            <w:r w:rsidRPr="00721312">
              <w:rPr>
                <w:rFonts w:ascii="Times" w:hAnsi="Times"/>
                <w:color w:val="000000"/>
              </w:rPr>
              <w:t xml:space="preserve">  Countries</w:t>
            </w:r>
          </w:p>
        </w:tc>
        <w:tc>
          <w:tcPr>
            <w:tcW w:w="682" w:type="pct"/>
            <w:tcBorders>
              <w:top w:val="nil"/>
              <w:left w:val="nil"/>
              <w:bottom w:val="single" w:sz="8" w:space="0" w:color="auto"/>
              <w:right w:val="single" w:sz="4" w:space="0" w:color="auto"/>
            </w:tcBorders>
            <w:shd w:val="clear" w:color="auto" w:fill="auto"/>
            <w:noWrap/>
            <w:vAlign w:val="center"/>
            <w:hideMark/>
          </w:tcPr>
          <w:p w14:paraId="40F1366F" w14:textId="77777777" w:rsidR="00E8420A" w:rsidRPr="00721312" w:rsidRDefault="00E8420A" w:rsidP="00980020">
            <w:pPr>
              <w:jc w:val="center"/>
              <w:rPr>
                <w:rFonts w:ascii="Times" w:hAnsi="Times"/>
                <w:color w:val="000000"/>
              </w:rPr>
            </w:pPr>
            <w:r w:rsidRPr="00721312">
              <w:rPr>
                <w:rFonts w:ascii="Times" w:hAnsi="Times"/>
                <w:color w:val="000000"/>
              </w:rPr>
              <w:t>Categorical  </w:t>
            </w:r>
          </w:p>
        </w:tc>
        <w:tc>
          <w:tcPr>
            <w:tcW w:w="2988" w:type="pct"/>
            <w:tcBorders>
              <w:top w:val="nil"/>
              <w:left w:val="nil"/>
              <w:bottom w:val="single" w:sz="8" w:space="0" w:color="auto"/>
              <w:right w:val="single" w:sz="8" w:space="0" w:color="auto"/>
            </w:tcBorders>
            <w:shd w:val="clear" w:color="auto" w:fill="auto"/>
            <w:vAlign w:val="center"/>
            <w:hideMark/>
          </w:tcPr>
          <w:p w14:paraId="00C21AD7" w14:textId="77777777" w:rsidR="00E8420A" w:rsidRPr="00A13F5E" w:rsidRDefault="00E8420A" w:rsidP="00980020">
            <w:pPr>
              <w:rPr>
                <w:rFonts w:ascii="Times" w:hAnsi="Times"/>
                <w:color w:val="000000"/>
              </w:rPr>
            </w:pPr>
            <w:r w:rsidRPr="00721312">
              <w:rPr>
                <w:rFonts w:ascii="Times" w:hAnsi="Times"/>
                <w:color w:val="000000"/>
              </w:rPr>
              <w:t>Indicator variables for countries, including Kenya (reference category), Rwanda, South Africa, Zambia</w:t>
            </w:r>
          </w:p>
        </w:tc>
      </w:tr>
    </w:tbl>
    <w:p w14:paraId="735BD2DD" w14:textId="77777777" w:rsidR="00734596" w:rsidRDefault="00734596" w:rsidP="00E8420A">
      <w:pPr>
        <w:spacing w:line="360" w:lineRule="auto"/>
        <w:jc w:val="both"/>
        <w:outlineLvl w:val="0"/>
      </w:pPr>
    </w:p>
    <w:sectPr w:rsidR="00734596" w:rsidSect="00A15912">
      <w:pgSz w:w="12240" w:h="15840"/>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0A"/>
    <w:rsid w:val="0020755D"/>
    <w:rsid w:val="0025078C"/>
    <w:rsid w:val="00721312"/>
    <w:rsid w:val="00734596"/>
    <w:rsid w:val="007463F6"/>
    <w:rsid w:val="00A15912"/>
    <w:rsid w:val="00A33087"/>
    <w:rsid w:val="00AB74AA"/>
    <w:rsid w:val="00E8420A"/>
    <w:rsid w:val="00F858C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15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0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0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Macintosh Word</Application>
  <DocSecurity>0</DocSecurity>
  <Lines>13</Lines>
  <Paragraphs>3</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Table S4. Variable definitions</vt:lpstr>
      <vt:lpstr/>
    </vt:vector>
  </TitlesOfParts>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Salas-Ortiz</dc:creator>
  <cp:keywords/>
  <dc:description/>
  <cp:lastModifiedBy>GINA LA HERA FUENTES</cp:lastModifiedBy>
  <cp:revision>3</cp:revision>
  <dcterms:created xsi:type="dcterms:W3CDTF">2018-06-29T16:57:00Z</dcterms:created>
  <dcterms:modified xsi:type="dcterms:W3CDTF">2019-01-31T18:09:00Z</dcterms:modified>
</cp:coreProperties>
</file>