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A" w:rsidRPr="00FA4C51" w:rsidRDefault="0084270A" w:rsidP="0084270A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S2 Table</w:t>
      </w:r>
      <w:r w:rsidRPr="00FA4C51">
        <w:rPr>
          <w:rFonts w:ascii="Arial" w:hAnsi="Arial" w:cs="Arial"/>
          <w:b/>
        </w:rPr>
        <w:t xml:space="preserve">. List of supplementary files associated with phylogenetic analyses. </w:t>
      </w:r>
      <w:r w:rsidRPr="00FA4C51">
        <w:rPr>
          <w:rFonts w:ascii="Arial" w:hAnsi="Arial" w:cs="Arial"/>
          <w:b/>
        </w:rPr>
        <w:br/>
      </w:r>
      <w:r w:rsidRPr="00FA4C51">
        <w:rPr>
          <w:rFonts w:ascii="Arial" w:hAnsi="Arial" w:cs="Arial"/>
        </w:rPr>
        <w:t>For each analysis shown, we include the F</w:t>
      </w:r>
      <w:r>
        <w:rPr>
          <w:rFonts w:ascii="Arial" w:hAnsi="Arial" w:cs="Arial"/>
        </w:rPr>
        <w:t>ASTA</w:t>
      </w:r>
      <w:r w:rsidRPr="00FA4C51">
        <w:rPr>
          <w:rFonts w:ascii="Arial" w:hAnsi="Arial" w:cs="Arial"/>
        </w:rPr>
        <w:t xml:space="preserve"> file (“.fas”), the sequenc</w:t>
      </w:r>
      <w:r>
        <w:rPr>
          <w:rFonts w:ascii="Arial" w:hAnsi="Arial" w:cs="Arial"/>
        </w:rPr>
        <w:t xml:space="preserve">e alignment file (“.masx”), </w:t>
      </w:r>
      <w:r w:rsidRPr="00FA4C51">
        <w:rPr>
          <w:rFonts w:ascii="Arial" w:hAnsi="Arial" w:cs="Arial"/>
        </w:rPr>
        <w:t>the nexus file (“.nexus”)</w:t>
      </w:r>
      <w:r>
        <w:rPr>
          <w:rFonts w:ascii="Arial" w:hAnsi="Arial" w:cs="Arial"/>
        </w:rPr>
        <w:t>, and associated run files</w:t>
      </w:r>
      <w:r w:rsidRPr="00FA4C51">
        <w:rPr>
          <w:rFonts w:ascii="Arial" w:hAnsi="Arial" w:cs="Arial"/>
        </w:rPr>
        <w:t xml:space="preserve">. Each set of files shares the same base file name indicated in the table. </w:t>
      </w:r>
      <w:r>
        <w:rPr>
          <w:rFonts w:ascii="Arial" w:hAnsi="Arial" w:cs="Arial"/>
        </w:rPr>
        <w:t>Line breaks in FASTA sequences typically indicate places where sequences were trimmed. Some hand curated sequences are documented in WORD files with the base name “CURATION”. All</w:t>
      </w:r>
      <w:r w:rsidRPr="00FA4C51">
        <w:rPr>
          <w:rFonts w:ascii="Arial" w:hAnsi="Arial" w:cs="Arial"/>
        </w:rPr>
        <w:t xml:space="preserve"> file are included as</w:t>
      </w:r>
      <w:r>
        <w:rPr>
          <w:rFonts w:ascii="Arial" w:hAnsi="Arial" w:cs="Arial"/>
        </w:rPr>
        <w:t xml:space="preserve"> a compressed archived (“File_S1.tar”).</w:t>
      </w:r>
    </w:p>
    <w:p w:rsidR="0084270A" w:rsidRDefault="0084270A" w:rsidP="0084270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208"/>
        <w:gridCol w:w="2070"/>
        <w:gridCol w:w="1980"/>
      </w:tblGrid>
      <w:tr w:rsidR="0084270A" w:rsidTr="00170B3D">
        <w:trPr>
          <w:trHeight w:val="836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246">
              <w:rPr>
                <w:rFonts w:ascii="Arial" w:hAnsi="Arial" w:cs="Arial"/>
                <w:b/>
                <w:sz w:val="20"/>
                <w:szCs w:val="20"/>
              </w:rPr>
              <w:t>Fig.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 file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Metropolis-coupled generations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standard deviation of split frequencies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NADK_v57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NADK_v59-fungi-OV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NADK_v63-rando-protists-NCLIP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NADK_v58-nematodes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NADK_v58-nematodes_only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NADK_v62-holozoa (OV)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65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BACILLI_NADK_v108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84270A" w:rsidTr="00170B3D">
        <w:trPr>
          <w:jc w:val="center"/>
        </w:trPr>
        <w:tc>
          <w:tcPr>
            <w:tcW w:w="572" w:type="dxa"/>
            <w:tcBorders>
              <w:top w:val="nil"/>
            </w:tcBorders>
            <w:vAlign w:val="bottom"/>
          </w:tcPr>
          <w:p w:rsidR="0084270A" w:rsidRPr="00054650" w:rsidRDefault="0084270A" w:rsidP="00170B3D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3208" w:type="dxa"/>
            <w:tcBorders>
              <w:top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NADK-comparison_v260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84270A" w:rsidRPr="00963246" w:rsidRDefault="0084270A" w:rsidP="00170B3D">
            <w:pPr>
              <w:spacing w:after="1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</w:tbl>
    <w:p w:rsidR="0084270A" w:rsidRPr="00963246" w:rsidRDefault="0084270A" w:rsidP="0084270A">
      <w:pPr>
        <w:spacing w:line="276" w:lineRule="auto"/>
        <w:rPr>
          <w:rFonts w:ascii="Arial" w:hAnsi="Arial" w:cs="Arial"/>
        </w:rPr>
      </w:pPr>
    </w:p>
    <w:p w:rsidR="005C4568" w:rsidRPr="00E8089B" w:rsidRDefault="00722B1A" w:rsidP="0084270A">
      <w:pPr>
        <w:spacing w:line="276" w:lineRule="auto"/>
        <w:rPr>
          <w:rFonts w:ascii="Arial" w:hAnsi="Arial" w:cs="Arial"/>
        </w:rPr>
      </w:pPr>
    </w:p>
    <w:sectPr w:rsidR="005C4568" w:rsidRPr="00E8089B" w:rsidSect="00E8089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1A" w:rsidRDefault="00722B1A" w:rsidP="00E8089B">
      <w:pPr>
        <w:spacing w:after="0" w:line="240" w:lineRule="auto"/>
      </w:pPr>
      <w:r>
        <w:separator/>
      </w:r>
    </w:p>
  </w:endnote>
  <w:endnote w:type="continuationSeparator" w:id="0">
    <w:p w:rsidR="00722B1A" w:rsidRDefault="00722B1A" w:rsidP="00E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1A" w:rsidRDefault="00722B1A" w:rsidP="00E8089B">
      <w:pPr>
        <w:spacing w:after="0" w:line="240" w:lineRule="auto"/>
      </w:pPr>
      <w:r>
        <w:separator/>
      </w:r>
    </w:p>
  </w:footnote>
  <w:footnote w:type="continuationSeparator" w:id="0">
    <w:p w:rsidR="00722B1A" w:rsidRDefault="00722B1A" w:rsidP="00E8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B"/>
    <w:rsid w:val="00022148"/>
    <w:rsid w:val="00152BFE"/>
    <w:rsid w:val="001B6B40"/>
    <w:rsid w:val="002A3815"/>
    <w:rsid w:val="003D4596"/>
    <w:rsid w:val="004B72F9"/>
    <w:rsid w:val="00722B1A"/>
    <w:rsid w:val="007B3965"/>
    <w:rsid w:val="0084270A"/>
    <w:rsid w:val="00991F2D"/>
    <w:rsid w:val="00A56A36"/>
    <w:rsid w:val="00AE363A"/>
    <w:rsid w:val="00DC46EF"/>
    <w:rsid w:val="00E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AE407-01D6-4EB6-A5AE-9BDBE42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B"/>
  </w:style>
  <w:style w:type="paragraph" w:styleId="Footer">
    <w:name w:val="footer"/>
    <w:basedOn w:val="Normal"/>
    <w:link w:val="FooterChar"/>
    <w:uiPriority w:val="99"/>
    <w:unhideWhenUsed/>
    <w:rsid w:val="00E8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B"/>
  </w:style>
  <w:style w:type="paragraph" w:customStyle="1" w:styleId="PONEH1">
    <w:name w:val="PONE H1"/>
    <w:basedOn w:val="Normal"/>
    <w:link w:val="PONEH1Char"/>
    <w:qFormat/>
    <w:rsid w:val="00991F2D"/>
    <w:pPr>
      <w:spacing w:line="276" w:lineRule="auto"/>
    </w:pPr>
    <w:rPr>
      <w:rFonts w:ascii="Arial" w:hAnsi="Arial" w:cs="Arial"/>
      <w:b/>
      <w:sz w:val="36"/>
      <w:szCs w:val="36"/>
    </w:rPr>
  </w:style>
  <w:style w:type="character" w:customStyle="1" w:styleId="PONEH1Char">
    <w:name w:val="PONE H1 Char"/>
    <w:basedOn w:val="DefaultParagraphFont"/>
    <w:link w:val="PONEH1"/>
    <w:rsid w:val="00991F2D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Erives, Albert J</dc:creator>
  <cp:keywords/>
  <dc:description/>
  <cp:lastModifiedBy>Erives, Albert J</cp:lastModifiedBy>
  <cp:revision>4</cp:revision>
  <dcterms:created xsi:type="dcterms:W3CDTF">2019-07-23T18:25:00Z</dcterms:created>
  <dcterms:modified xsi:type="dcterms:W3CDTF">2019-07-23T19:00:00Z</dcterms:modified>
</cp:coreProperties>
</file>