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FD" w:rsidRPr="00BF6F84" w:rsidRDefault="00DE0FFD" w:rsidP="00DE0FFD">
      <w:pPr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 xml:space="preserve">S3 Table. </w:t>
      </w:r>
      <w:r w:rsidRPr="008905AF">
        <w:rPr>
          <w:rFonts w:ascii="Times New Roman" w:hAnsi="Times New Roman" w:cs="Times New Roman"/>
          <w:b/>
          <w:color w:val="FF0000"/>
          <w:lang w:val="en-US"/>
        </w:rPr>
        <w:t>Age-stratified analysis (oldest old vs. young old)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1134"/>
        <w:gridCol w:w="1843"/>
        <w:gridCol w:w="1134"/>
        <w:gridCol w:w="1843"/>
        <w:gridCol w:w="1134"/>
      </w:tblGrid>
      <w:tr w:rsidR="00DE0FFD" w:rsidRPr="00AF7E5F" w:rsidTr="008F2D0B">
        <w:tc>
          <w:tcPr>
            <w:tcW w:w="3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Baseline variables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Overall (n= 996)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Young old (n= 926</w:t>
            </w:r>
            <w:r w:rsidRPr="00AF7E5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Oldest old (n= 70</w:t>
            </w:r>
            <w:r w:rsidRPr="00AF7E5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DE0FFD" w:rsidRPr="00AF7E5F" w:rsidTr="008F2D0B"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OR (CI 95%)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OR (CI 95%)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OR (CI 95%)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DE0FFD" w:rsidRPr="005B4E14" w:rsidTr="008F2D0B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 xml:space="preserve">Neighborhood physical environment (total length of space per 100 meters) </w:t>
            </w:r>
            <w:r w:rsidRPr="00AF7E5F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0FFD" w:rsidRPr="00AF7E5F" w:rsidTr="008F2D0B">
        <w:tc>
          <w:tcPr>
            <w:tcW w:w="12895" w:type="dxa"/>
            <w:gridSpan w:val="7"/>
            <w:tcBorders>
              <w:top w:val="single" w:sz="4" w:space="0" w:color="auto"/>
            </w:tcBorders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Model 1</w:t>
            </w: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For pedestrian traffic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0.75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(0.99-1.01)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</w:t>
            </w:r>
          </w:p>
        </w:tc>
      </w:tr>
      <w:tr w:rsidR="00DE0FFD" w:rsidRPr="00AF7E5F" w:rsidTr="008F2D0B">
        <w:tc>
          <w:tcPr>
            <w:tcW w:w="12895" w:type="dxa"/>
            <w:gridSpan w:val="7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2</w:t>
            </w: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Sidewalks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0.79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(0.99-1.01)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0.59</w:t>
            </w:r>
          </w:p>
        </w:tc>
      </w:tr>
      <w:tr w:rsidR="00DE0FFD" w:rsidRPr="00AF7E5F" w:rsidTr="008F2D0B">
        <w:tc>
          <w:tcPr>
            <w:tcW w:w="12895" w:type="dxa"/>
            <w:gridSpan w:val="7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3</w:t>
            </w:r>
          </w:p>
        </w:tc>
      </w:tr>
      <w:tr w:rsidR="00DE0FFD" w:rsidRPr="00D01476" w:rsidTr="008F2D0B">
        <w:tc>
          <w:tcPr>
            <w:tcW w:w="3964" w:type="dxa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Free access to people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0.88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(0.99-1.01)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</w:t>
            </w:r>
          </w:p>
        </w:tc>
      </w:tr>
      <w:tr w:rsidR="00DE0FFD" w:rsidRPr="00D01476" w:rsidTr="008F2D0B">
        <w:tc>
          <w:tcPr>
            <w:tcW w:w="12895" w:type="dxa"/>
            <w:gridSpan w:val="7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4</w:t>
            </w:r>
          </w:p>
        </w:tc>
      </w:tr>
      <w:tr w:rsidR="00DE0FFD" w:rsidRPr="00D01476" w:rsidTr="008F2D0B">
        <w:tc>
          <w:tcPr>
            <w:tcW w:w="3964" w:type="dxa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Restricted to vehicles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0.99 (0.98-1.00)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0.99 (0.98-1.00)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0.88 (0.77-1.01)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0.06</w:t>
            </w:r>
          </w:p>
        </w:tc>
      </w:tr>
      <w:tr w:rsidR="00DE0FFD" w:rsidRPr="00D01476" w:rsidTr="008F2D0B">
        <w:tc>
          <w:tcPr>
            <w:tcW w:w="12895" w:type="dxa"/>
            <w:gridSpan w:val="7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5</w:t>
            </w:r>
          </w:p>
        </w:tc>
      </w:tr>
      <w:tr w:rsidR="00DE0FFD" w:rsidRPr="00D01476" w:rsidTr="008F2D0B">
        <w:tc>
          <w:tcPr>
            <w:tcW w:w="3964" w:type="dxa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With public lighting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0.70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(0.99-1.01)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</w:t>
            </w:r>
          </w:p>
        </w:tc>
      </w:tr>
      <w:tr w:rsidR="00DE0FFD" w:rsidRPr="00AF7E5F" w:rsidTr="008F2D0B">
        <w:tc>
          <w:tcPr>
            <w:tcW w:w="12895" w:type="dxa"/>
            <w:gridSpan w:val="7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6</w:t>
            </w: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Covered with concrete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0.75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(0.99-1.01)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</w:t>
            </w:r>
          </w:p>
        </w:tc>
      </w:tr>
      <w:tr w:rsidR="00DE0FFD" w:rsidRPr="00AF7E5F" w:rsidTr="008F2D0B">
        <w:tc>
          <w:tcPr>
            <w:tcW w:w="12895" w:type="dxa"/>
            <w:gridSpan w:val="7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7</w:t>
            </w: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With trees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0.50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0.94</w:t>
            </w:r>
          </w:p>
        </w:tc>
      </w:tr>
      <w:tr w:rsidR="00DE0FFD" w:rsidRPr="00AF7E5F" w:rsidTr="008F2D0B">
        <w:tc>
          <w:tcPr>
            <w:tcW w:w="12895" w:type="dxa"/>
            <w:gridSpan w:val="7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Model 8</w:t>
            </w:r>
          </w:p>
        </w:tc>
      </w:tr>
      <w:tr w:rsidR="00DE0FFD" w:rsidRPr="00AF7E5F" w:rsidTr="008F2D0B">
        <w:tc>
          <w:tcPr>
            <w:tcW w:w="3964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Without peddlers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1.00 (0.99-1.00)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0.06</w:t>
            </w:r>
          </w:p>
        </w:tc>
      </w:tr>
      <w:tr w:rsidR="00DE0FFD" w:rsidRPr="00AF7E5F" w:rsidTr="008F2D0B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 xml:space="preserve">Neighborhood social environment </w:t>
            </w:r>
            <w:r w:rsidRPr="00AF7E5F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E0FFD" w:rsidRPr="00AF7E5F" w:rsidTr="008F2D0B">
        <w:tc>
          <w:tcPr>
            <w:tcW w:w="12895" w:type="dxa"/>
            <w:gridSpan w:val="7"/>
            <w:tcBorders>
              <w:top w:val="single" w:sz="4" w:space="0" w:color="auto"/>
            </w:tcBorders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Model 9</w:t>
            </w: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Social capital</w:t>
            </w:r>
            <w:r w:rsidRPr="00AF7E5F">
              <w:rPr>
                <w:rFonts w:ascii="Times New Roman" w:hAnsi="Times New Roman" w:cs="Times New Roman"/>
                <w:lang w:val="en-US"/>
              </w:rPr>
              <w:t xml:space="preserve"> (score)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Low (0)</w:t>
            </w:r>
          </w:p>
        </w:tc>
        <w:tc>
          <w:tcPr>
            <w:tcW w:w="2977" w:type="dxa"/>
            <w:gridSpan w:val="2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Medium (1)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0.97 (0.50-1.89)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(0.51-1.97)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High (2-4)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0.94 (0.39-2.28)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0.90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1.07 (0.45-2.55)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0.88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DE0FFD" w:rsidRPr="00AF7E5F" w:rsidTr="008F2D0B">
        <w:tc>
          <w:tcPr>
            <w:tcW w:w="12895" w:type="dxa"/>
            <w:gridSpan w:val="7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Model 10</w:t>
            </w: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Trust and solidarity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No</w:t>
            </w:r>
          </w:p>
        </w:tc>
        <w:tc>
          <w:tcPr>
            <w:tcW w:w="2977" w:type="dxa"/>
            <w:gridSpan w:val="2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Yes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0.84 (0.56-1.27)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0.41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 (0.56-1.32)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0.50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DE0FFD" w:rsidRPr="00AF7E5F" w:rsidTr="008F2D0B">
        <w:tc>
          <w:tcPr>
            <w:tcW w:w="12895" w:type="dxa"/>
            <w:gridSpan w:val="7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Model 11</w:t>
            </w: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Safety (score)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lastRenderedPageBreak/>
              <w:t>High (2-4)</w:t>
            </w:r>
          </w:p>
        </w:tc>
        <w:tc>
          <w:tcPr>
            <w:tcW w:w="2977" w:type="dxa"/>
            <w:gridSpan w:val="2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</w:tr>
      <w:tr w:rsidR="00DE0FFD" w:rsidRPr="00AF7E5F" w:rsidTr="008F2D0B">
        <w:tc>
          <w:tcPr>
            <w:tcW w:w="3964" w:type="dxa"/>
          </w:tcPr>
          <w:p w:rsidR="00DE0FFD" w:rsidRPr="00AF7E5F" w:rsidRDefault="00DE0FFD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Medium (1)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1.48 (0.96-2.30)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1.36 (0.86-2.13)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1843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134" w:type="dxa"/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DE0FFD" w:rsidRPr="00AF7E5F" w:rsidTr="008F2D0B">
        <w:tc>
          <w:tcPr>
            <w:tcW w:w="3964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Low (0)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1.69 (0.63-4.46)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1.96 (0.75-5.12)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FFD" w:rsidRPr="00AF7E5F" w:rsidRDefault="00DE0FFD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</w:tbl>
    <w:p w:rsidR="00DE0FFD" w:rsidRDefault="00DE0FFD" w:rsidP="00DE0F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F7E5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AF7E5F">
        <w:rPr>
          <w:rFonts w:ascii="Times New Roman" w:hAnsi="Times New Roman" w:cs="Times New Roman"/>
          <w:sz w:val="18"/>
          <w:szCs w:val="18"/>
          <w:lang w:val="en-US"/>
        </w:rPr>
        <w:t xml:space="preserve"> Models with state as the second aggregation level and adjusted for sex,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area of residence,</w:t>
      </w:r>
      <w:r w:rsidRPr="00AF7E5F">
        <w:rPr>
          <w:rFonts w:ascii="Times New Roman" w:hAnsi="Times New Roman" w:cs="Times New Roman"/>
          <w:sz w:val="18"/>
          <w:szCs w:val="18"/>
          <w:lang w:val="en-US"/>
        </w:rPr>
        <w:t xml:space="preserve"> income index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AF7E5F">
        <w:rPr>
          <w:rFonts w:ascii="Times New Roman" w:hAnsi="Times New Roman" w:cs="Times New Roman"/>
          <w:sz w:val="18"/>
          <w:szCs w:val="18"/>
          <w:lang w:val="en-US"/>
        </w:rPr>
        <w:t>functional limitations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margination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index of the municipality. </w:t>
      </w:r>
    </w:p>
    <w:p w:rsidR="00DE0FFD" w:rsidRPr="00AF7E5F" w:rsidRDefault="00DE0FFD" w:rsidP="00DE0F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F7E5F">
        <w:rPr>
          <w:rFonts w:ascii="Times New Roman" w:hAnsi="Times New Roman" w:cs="Times New Roman"/>
          <w:sz w:val="18"/>
          <w:szCs w:val="18"/>
          <w:lang w:val="en-US"/>
        </w:rPr>
        <w:t>(--) Non-estimable</w:t>
      </w:r>
    </w:p>
    <w:p w:rsidR="00DE0FFD" w:rsidRDefault="00DE0FFD" w:rsidP="00DE0F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AF7E5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proofErr w:type="gramEnd"/>
      <w:r w:rsidRPr="00AF7E5F">
        <w:rPr>
          <w:rFonts w:ascii="Times New Roman" w:hAnsi="Times New Roman" w:cs="Times New Roman"/>
          <w:sz w:val="18"/>
          <w:szCs w:val="18"/>
          <w:lang w:val="en-US"/>
        </w:rPr>
        <w:t xml:space="preserve"> Models with state as the second aggregation level and adjusted for sex, marital status, education level, income quintile, work status, area of residence, social networks, </w:t>
      </w:r>
      <w:proofErr w:type="spellStart"/>
      <w:r w:rsidRPr="00AF7E5F">
        <w:rPr>
          <w:rFonts w:ascii="Times New Roman" w:hAnsi="Times New Roman" w:cs="Times New Roman"/>
          <w:sz w:val="18"/>
          <w:szCs w:val="18"/>
          <w:lang w:val="en-US"/>
        </w:rPr>
        <w:t>multimorbidity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AF7E5F">
        <w:rPr>
          <w:rFonts w:ascii="Times New Roman" w:hAnsi="Times New Roman" w:cs="Times New Roman"/>
          <w:sz w:val="18"/>
          <w:szCs w:val="18"/>
          <w:lang w:val="en-US"/>
        </w:rPr>
        <w:t xml:space="preserve"> functional limitations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margination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index of the municipality</w:t>
      </w:r>
      <w:r w:rsidRPr="00AF7E5F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D6346A" w:rsidRPr="00DE0FFD" w:rsidRDefault="00D6346A" w:rsidP="00DE0FFD">
      <w:bookmarkStart w:id="0" w:name="_GoBack"/>
      <w:bookmarkEnd w:id="0"/>
    </w:p>
    <w:sectPr w:rsidR="00D6346A" w:rsidRPr="00DE0FFD" w:rsidSect="005625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82"/>
    <w:rsid w:val="002A501E"/>
    <w:rsid w:val="00400750"/>
    <w:rsid w:val="00430B42"/>
    <w:rsid w:val="0056251A"/>
    <w:rsid w:val="00824C83"/>
    <w:rsid w:val="00901A82"/>
    <w:rsid w:val="00A6208C"/>
    <w:rsid w:val="00BB0699"/>
    <w:rsid w:val="00C10E37"/>
    <w:rsid w:val="00D62242"/>
    <w:rsid w:val="00D6346A"/>
    <w:rsid w:val="00DE0FFD"/>
    <w:rsid w:val="00F00AAA"/>
    <w:rsid w:val="00F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52922-3FE7-440E-B8B3-D2D73A0D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0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2019-06-30T05:43:00Z</dcterms:created>
  <dcterms:modified xsi:type="dcterms:W3CDTF">2019-06-30T05:43:00Z</dcterms:modified>
</cp:coreProperties>
</file>