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8" w:type="pct"/>
        <w:tblCellMar>
          <w:left w:w="70" w:type="dxa"/>
          <w:right w:w="70" w:type="dxa"/>
        </w:tblCellMar>
        <w:tblLook w:val="04A0"/>
      </w:tblPr>
      <w:tblGrid>
        <w:gridCol w:w="7037"/>
        <w:gridCol w:w="832"/>
        <w:gridCol w:w="830"/>
      </w:tblGrid>
      <w:tr w:rsidR="006674B8" w:rsidRPr="00DF5EC9" w:rsidTr="006674B8">
        <w:trPr>
          <w:trHeight w:val="255"/>
        </w:trPr>
        <w:tc>
          <w:tcPr>
            <w:tcW w:w="4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Texture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feature</w:t>
            </w:r>
            <w:proofErr w:type="spellEnd"/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p</w:t>
            </w: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-values</w:t>
            </w:r>
            <w:proofErr w:type="spellEnd"/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83" w:rsidRDefault="0061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5S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10S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angular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moment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0,102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0,537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0,063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entropy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0,814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0,219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homogene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0,729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0,007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imilarity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0,478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0,095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verse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difference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moment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0,653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0,002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- short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run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0,266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0,076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- long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run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0,083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0,690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intensity</w:t>
            </w:r>
            <w:proofErr w:type="spellEnd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variability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0,839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0,428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 r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un-length variability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0,196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0,006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percentage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0,063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0,111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lo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w-intensity run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0,207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0,716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hi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gh-intensity run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0,709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0,190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lo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w-intensity short-run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0,905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0,315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hi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gh-intensity short-run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0,973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0,033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ow-intensity long-run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0,610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0,884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Alignment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igh-intensity long-run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0,389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0,692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Neighborhood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Intensity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Difference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oarseness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0,001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Neighborhood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Intensity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Difference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ontrast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0,453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0,123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Neighborhood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Intensity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Difference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usyness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0,014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Neighborhood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Intensity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Difference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omplexity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0,224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0,460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Neighborhood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Intensity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Difference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rength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0,044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0,010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Intensity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Zone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hort-zone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0,915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0,556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Intensity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Zone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arge-zone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0,214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0,148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Intensity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Zone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ntensity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variability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0,003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Intensity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Zone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ize-zone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variability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0,267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0,602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Intensity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Zone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z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one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percentage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0,425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0,105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Intensity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Zone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ow-intensity zone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0,162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Intensity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Zone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hi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gh-intensity zone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0,936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0,106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Intensity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Zone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ow-intensity short-zone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0,905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0,697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Intensity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Zone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hi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gh-intensity short-zone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0,478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0,504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Intensity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Zone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 low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-intensity large-zone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0,526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0,181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Intensity Size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Zone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hi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gh-intensity large-zone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0,070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0,480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Normalized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econd angular moment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0,870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0,120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Normalized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ontrast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0,325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0,293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Normalized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tropy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0,787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0,440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Normalized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omogeneity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0,551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0,004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Normalized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issimilarity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0,132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Normalized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nverse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difference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moment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0,670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0,090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Normalized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orrelation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0,000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Statisticss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inimum SUV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0,764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0,532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Statistics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aximum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SUV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0,228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0,141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Statistics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ean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SUV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0,170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0,131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Statistics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SUV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ariance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0,183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0,069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Statistics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SUV SD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0,027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0,079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Statistics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SUV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kewness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0,782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0,154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Statistics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SUV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urtosis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0,026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Statistics - SUV bias-corrected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kewness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0,993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0,485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Statistics - SUV bias-corrected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k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urtosis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0,301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0,132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Statistics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TLG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0,658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0,161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Voxel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Statistics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ntropy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0,028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0,773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Texture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Spectrum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ax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spectrum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0,264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0,027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Texture Spectrum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lack-white symmetry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0,953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0,449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Texture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Feature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Coding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oarseness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0,001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Texture Feature Coding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ean convergence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0,780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0,375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Texture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Feature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Coding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ariance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0,971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0,872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Texture Feature Coding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econd angular moment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0,004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Texture Feature Coding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ontrast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0,729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0,789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Texture Feature Coding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ntropy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0,096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Texture Feature Coding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omogeneity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0,002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Texture Feature Coding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ntensity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0,320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0,017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Texture Feature Coding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nverse difference moment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0,019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0,005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Texture Feature Coding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ode </w:t>
            </w:r>
            <w:r w:rsidR="00FA4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ntropy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0,001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FA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Texture Feature Coding </w:t>
            </w:r>
            <w:proofErr w:type="spellStart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Cooccurance</w:t>
            </w:r>
            <w:proofErr w:type="spellEnd"/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ode </w:t>
            </w:r>
            <w:r w:rsidR="00FA4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imilarity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0,000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Neighboring Gray Level Dependence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 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mall number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0,188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0,055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Neighboring Gray Level Dependence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 l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arge number emphasis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0,367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0,195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Neighboring Gray Level Dependence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 n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umber non</w:t>
            </w:r>
            <w:r w:rsidR="00FA4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uniformity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0,306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0,038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Neighboring Gray Level Dependence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econd moment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0,023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0,058</w:t>
            </w:r>
          </w:p>
        </w:tc>
      </w:tr>
      <w:tr w:rsidR="006674B8" w:rsidRPr="00DF5EC9" w:rsidTr="006674B8">
        <w:trPr>
          <w:trHeight w:val="255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83" w:rsidRDefault="006674B8" w:rsidP="0061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Neighboring Gray Level Dependence - </w:t>
            </w:r>
            <w:r w:rsidR="00BA6CD6"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</w:t>
            </w:r>
            <w:r w:rsidRPr="00DF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ntropy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0,037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B8" w:rsidRPr="00DF5EC9" w:rsidRDefault="006674B8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0,033</w:t>
            </w:r>
          </w:p>
        </w:tc>
      </w:tr>
    </w:tbl>
    <w:p w:rsidR="00DF5EC9" w:rsidRDefault="00DF5EC9" w:rsidP="00DF5EC9">
      <w:pPr>
        <w:rPr>
          <w:rFonts w:ascii="Times New Roman" w:hAnsi="Times New Roman" w:cs="Times New Roman"/>
          <w:lang w:val="en-US"/>
        </w:rPr>
      </w:pPr>
    </w:p>
    <w:p w:rsidR="00DF5EC9" w:rsidRDefault="00DF5EC9" w:rsidP="00DF5EC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b/>
          <w:lang w:val="en-US"/>
        </w:rPr>
        <w:t>S2 Table</w:t>
      </w:r>
      <w:r w:rsidRPr="002452C2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52C2">
        <w:rPr>
          <w:rFonts w:ascii="Times New Roman" w:hAnsi="Times New Roman" w:cs="Times New Roman"/>
          <w:b/>
          <w:lang w:val="en-US"/>
        </w:rPr>
        <w:t>fANOVA</w:t>
      </w:r>
      <w:proofErr w:type="spellEnd"/>
      <w:r w:rsidRPr="002452C2">
        <w:rPr>
          <w:rFonts w:ascii="Times New Roman" w:hAnsi="Times New Roman" w:cs="Times New Roman"/>
          <w:b/>
          <w:lang w:val="en-US"/>
        </w:rPr>
        <w:t xml:space="preserve"> results for the </w:t>
      </w:r>
      <w:r>
        <w:rPr>
          <w:rFonts w:ascii="Times New Roman" w:hAnsi="Times New Roman" w:cs="Times New Roman"/>
          <w:b/>
          <w:lang w:val="en-US"/>
        </w:rPr>
        <w:t>radial</w:t>
      </w:r>
      <w:r w:rsidRPr="002452C2">
        <w:rPr>
          <w:rFonts w:ascii="Times New Roman" w:hAnsi="Times New Roman" w:cs="Times New Roman"/>
          <w:b/>
          <w:lang w:val="en-US"/>
        </w:rPr>
        <w:t xml:space="preserve"> configuration. </w:t>
      </w:r>
      <w:r>
        <w:rPr>
          <w:rFonts w:ascii="Times New Roman" w:hAnsi="Times New Roman" w:cs="Times New Roman"/>
          <w:lang w:val="en-US"/>
        </w:rPr>
        <w:t xml:space="preserve">Corrected </w:t>
      </w:r>
      <w:r w:rsidRPr="00974A42"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>-values for all texture features considered in the study obtained from the statistical analysis performed for the radial configuration for 5</w:t>
      </w:r>
      <w:r w:rsidR="006674B8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and 10</w:t>
      </w:r>
      <w:r w:rsidR="006674B8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. The bold values reported indicate that the texture feature violates the null hypothesis of equality of the average texture feature trends in the region considered (</w:t>
      </w:r>
      <w:r w:rsidRPr="00974A42">
        <w:rPr>
          <w:rFonts w:ascii="Times New Roman" w:hAnsi="Times New Roman" w:cs="Times New Roman"/>
          <w:i/>
          <w:lang w:val="en-US"/>
        </w:rPr>
        <w:t>i.e</w:t>
      </w:r>
      <w:r>
        <w:rPr>
          <w:rFonts w:ascii="Times New Roman" w:hAnsi="Times New Roman" w:cs="Times New Roman"/>
          <w:lang w:val="en-US"/>
        </w:rPr>
        <w:t>. inner, middle and fringe)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B62E6D" w:rsidRPr="00DF5EC9" w:rsidRDefault="00E46E53">
      <w:pPr>
        <w:rPr>
          <w:lang w:val="en-US"/>
        </w:rPr>
      </w:pPr>
    </w:p>
    <w:sectPr w:rsidR="00B62E6D" w:rsidRPr="00DF5EC9" w:rsidSect="00A56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trackRevisions/>
  <w:defaultTabStop w:val="708"/>
  <w:hyphenationZone w:val="283"/>
  <w:characterSpacingControl w:val="doNotCompress"/>
  <w:compat/>
  <w:rsids>
    <w:rsidRoot w:val="00DF5EC9"/>
    <w:rsid w:val="000465B9"/>
    <w:rsid w:val="003A25C7"/>
    <w:rsid w:val="00612B83"/>
    <w:rsid w:val="006674B8"/>
    <w:rsid w:val="00884894"/>
    <w:rsid w:val="008A066D"/>
    <w:rsid w:val="009E6C1A"/>
    <w:rsid w:val="00A56F20"/>
    <w:rsid w:val="00AD660A"/>
    <w:rsid w:val="00BA6CD6"/>
    <w:rsid w:val="00BC74D2"/>
    <w:rsid w:val="00D0067E"/>
    <w:rsid w:val="00D46E5D"/>
    <w:rsid w:val="00DF5EC9"/>
    <w:rsid w:val="00E46E53"/>
    <w:rsid w:val="00E578BD"/>
    <w:rsid w:val="00FA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>Olidata S.p.A.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emilio.mezzenga</dc:creator>
  <cp:lastModifiedBy>emilio.mezzenga</cp:lastModifiedBy>
  <cp:revision>2</cp:revision>
  <dcterms:created xsi:type="dcterms:W3CDTF">2019-04-26T13:21:00Z</dcterms:created>
  <dcterms:modified xsi:type="dcterms:W3CDTF">2019-04-26T13:21:00Z</dcterms:modified>
</cp:coreProperties>
</file>