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72" w:rsidRPr="004D6922" w:rsidRDefault="00F23272" w:rsidP="00F23272">
      <w:pPr>
        <w:pStyle w:val="berschrift1"/>
        <w:rPr>
          <w:sz w:val="22"/>
          <w:szCs w:val="22"/>
        </w:rPr>
      </w:pPr>
      <w:bookmarkStart w:id="0" w:name="_Toc515385920"/>
      <w:r w:rsidRPr="004D6922">
        <w:rPr>
          <w:sz w:val="22"/>
          <w:szCs w:val="22"/>
        </w:rPr>
        <w:t>S1</w:t>
      </w:r>
      <w:bookmarkStart w:id="1" w:name="_GoBack"/>
      <w:bookmarkEnd w:id="1"/>
      <w:r w:rsidRPr="004D6922">
        <w:rPr>
          <w:sz w:val="22"/>
          <w:szCs w:val="22"/>
        </w:rPr>
        <w:t xml:space="preserve"> Text</w:t>
      </w:r>
      <w:r w:rsidRPr="004D6922">
        <w:rPr>
          <w:noProof/>
          <w:sz w:val="22"/>
          <w:szCs w:val="22"/>
        </w:rPr>
        <w:t>.</w:t>
      </w:r>
      <w:r w:rsidRPr="004D6922">
        <w:rPr>
          <w:sz w:val="22"/>
          <w:szCs w:val="22"/>
        </w:rPr>
        <w:t xml:space="preserve"> </w:t>
      </w:r>
      <w:r w:rsidR="001F12FF" w:rsidRPr="004D6922">
        <w:rPr>
          <w:sz w:val="22"/>
          <w:szCs w:val="22"/>
        </w:rPr>
        <w:t>Calculating r</w:t>
      </w:r>
      <w:r w:rsidRPr="004D6922">
        <w:rPr>
          <w:sz w:val="22"/>
          <w:szCs w:val="22"/>
        </w:rPr>
        <w:t xml:space="preserve">elative risks of </w:t>
      </w:r>
      <w:bookmarkEnd w:id="0"/>
      <w:r w:rsidR="00B607CF">
        <w:rPr>
          <w:sz w:val="22"/>
          <w:szCs w:val="22"/>
        </w:rPr>
        <w:t>ischemic heart disease</w:t>
      </w:r>
      <w:r w:rsidR="00325EBA">
        <w:rPr>
          <w:sz w:val="22"/>
          <w:szCs w:val="22"/>
        </w:rPr>
        <w:t xml:space="preserve"> by</w:t>
      </w:r>
      <w:r w:rsidR="001F12FF" w:rsidRPr="004D6922">
        <w:rPr>
          <w:sz w:val="22"/>
          <w:szCs w:val="22"/>
        </w:rPr>
        <w:t xml:space="preserve"> intake category</w:t>
      </w:r>
      <w:r w:rsidR="00325EBA">
        <w:rPr>
          <w:sz w:val="22"/>
          <w:szCs w:val="22"/>
        </w:rPr>
        <w:t xml:space="preserve"> of saturated fat</w:t>
      </w:r>
      <w:r w:rsidR="007D1672">
        <w:rPr>
          <w:sz w:val="22"/>
          <w:szCs w:val="22"/>
        </w:rPr>
        <w:t>.</w:t>
      </w:r>
    </w:p>
    <w:p w:rsidR="00F23272" w:rsidRDefault="00F23272" w:rsidP="00F23272">
      <w:pPr>
        <w:rPr>
          <w:color w:val="000000" w:themeColor="text1"/>
          <w:lang w:val="en-US"/>
        </w:rPr>
      </w:pPr>
      <w:r w:rsidRPr="00017EF1">
        <w:t xml:space="preserve">Relative risks relating each </w:t>
      </w:r>
      <w:r>
        <w:t>5%E</w:t>
      </w:r>
      <w:r w:rsidRPr="00017EF1">
        <w:t xml:space="preserve"> </w:t>
      </w:r>
      <w:r w:rsidRPr="008370EC">
        <w:rPr>
          <w:lang w:val="en-US"/>
        </w:rPr>
        <w:t xml:space="preserve">of increased </w:t>
      </w:r>
      <w:r w:rsidR="00B607CF">
        <w:rPr>
          <w:lang w:val="en-US"/>
        </w:rPr>
        <w:t>saturated fat (</w:t>
      </w:r>
      <w:r w:rsidRPr="008370EC">
        <w:rPr>
          <w:lang w:val="en-US"/>
        </w:rPr>
        <w:t>SFA</w:t>
      </w:r>
      <w:r w:rsidR="00B607CF">
        <w:rPr>
          <w:lang w:val="en-US"/>
        </w:rPr>
        <w:t>)</w:t>
      </w:r>
      <w:r w:rsidRPr="008370EC">
        <w:rPr>
          <w:lang w:val="en-US"/>
        </w:rPr>
        <w:t xml:space="preserve">, replacing </w:t>
      </w:r>
      <w:r w:rsidR="00B607CF">
        <w:rPr>
          <w:lang w:val="en-US"/>
        </w:rPr>
        <w:t>polyunsaturated fat (</w:t>
      </w:r>
      <w:r w:rsidRPr="008370EC">
        <w:rPr>
          <w:lang w:val="en-US"/>
        </w:rPr>
        <w:t>PUFA</w:t>
      </w:r>
      <w:r w:rsidR="00B607CF">
        <w:rPr>
          <w:lang w:val="en-US"/>
        </w:rPr>
        <w:t>)</w:t>
      </w:r>
      <w:r>
        <w:rPr>
          <w:lang w:val="en-US"/>
        </w:rPr>
        <w:t xml:space="preserve">, with </w:t>
      </w:r>
      <w:r w:rsidR="00B607CF">
        <w:rPr>
          <w:lang w:val="en-US"/>
        </w:rPr>
        <w:t>ischemic heart disease (</w:t>
      </w:r>
      <w:r>
        <w:rPr>
          <w:lang w:val="en-US"/>
        </w:rPr>
        <w:t>IHD</w:t>
      </w:r>
      <w:r w:rsidR="00B607CF">
        <w:rPr>
          <w:lang w:val="en-US"/>
        </w:rPr>
        <w:t>)</w:t>
      </w:r>
      <w:r>
        <w:rPr>
          <w:lang w:val="en-US"/>
        </w:rPr>
        <w:t>,</w:t>
      </w:r>
      <w:r w:rsidRPr="00017EF1">
        <w:t xml:space="preserve"> were taken from the </w:t>
      </w:r>
      <w:r>
        <w:t xml:space="preserve">GBD study 2016 </w:t>
      </w:r>
      <w:r w:rsidRPr="00CF59C9">
        <w:rPr>
          <w:color w:val="000000" w:themeColor="text1"/>
          <w:lang w:val="en-US"/>
        </w:rPr>
        <w:fldChar w:fldCharType="begin"/>
      </w:r>
      <w:r>
        <w:rPr>
          <w:color w:val="000000" w:themeColor="text1"/>
          <w:lang w:val="en-US"/>
        </w:rPr>
        <w:instrText xml:space="preserve"> ADDIN EN.CITE &lt;EndNote&gt;&lt;Cite&gt;&lt;Author&gt;GBD 2016 Risk Factor Collaborators&lt;/Author&gt;&lt;Year&gt;2017&lt;/Year&gt;&lt;RecNum&gt;367&lt;/RecNum&gt;&lt;DisplayText&gt;[1]&lt;/DisplayText&gt;&lt;record&gt;&lt;rec-number&gt;367&lt;/rec-number&gt;&lt;foreign-keys&gt;&lt;key app="EN" db-id="a2t9esttlrar08e22pspvrpb2dxxwxvsv5xe" timestamp="1507891468"&gt;367&lt;/key&gt;&lt;/foreign-keys&gt;&lt;ref-type name="Journal Article"&gt;17&lt;/ref-type&gt;&lt;contributors&gt;&lt;authors&gt;&lt;author&gt;GBD 2016 Risk Factor Collaborators, ;&lt;/author&gt;&lt;/authors&gt;&lt;/contributors&gt;&lt;titles&gt;&lt;title&gt;Global, regional, and national comparative risk assessment of 84 behavioural, environmental and occupational, and metabolic risks or clusters of risks, 1990–2016: a systematic analysis for the Global Burden of Disease Study 2016&lt;/title&gt;&lt;secondary-title&gt;Lancet&lt;/secondary-title&gt;&lt;/titles&gt;&lt;periodical&gt;&lt;full-title&gt;Lancet&lt;/full-title&gt;&lt;abbr-1&gt;Lancet&lt;/abbr-1&gt;&lt;abbr-2&gt;Lancet&lt;/abbr-2&gt;&lt;/periodical&gt;&lt;pages&gt;1345-1422&lt;/pages&gt;&lt;volume&gt;390&lt;/volume&gt;&lt;number&gt;10100&lt;/number&gt;&lt;dates&gt;&lt;year&gt;2017&lt;/year&gt;&lt;pub-dates&gt;&lt;date&gt;Sep 16&lt;/date&gt;&lt;/pub-dates&gt;&lt;/dates&gt;&lt;isbn&gt;0140-6736&lt;/isbn&gt;&lt;accession-num&gt;28919119&lt;/accession-num&gt;&lt;urls&gt;&lt;related-urls&gt;&lt;url&gt;http://dx.doi.org/10.1016/S0140-6736(17)32366-8&lt;/url&gt;&lt;/related-urls&gt;&lt;/urls&gt;&lt;custom2&gt;Pmc5614451&lt;/custom2&gt;&lt;custom6&gt;Ems74189&lt;/custom6&gt;&lt;electronic-resource-num&gt;http://dx.doi.org/10.1016/S0140-6736(17)32366-8&lt;/electronic-resource-num&gt;&lt;access-date&gt;2017/10/13&lt;/access-date&gt;&lt;/record&gt;&lt;/Cite&gt;&lt;/EndNote&gt;</w:instrText>
      </w:r>
      <w:r w:rsidRPr="00CF59C9">
        <w:rPr>
          <w:color w:val="000000" w:themeColor="text1"/>
          <w:lang w:val="en-US"/>
        </w:rPr>
        <w:fldChar w:fldCharType="separate"/>
      </w:r>
      <w:r>
        <w:rPr>
          <w:noProof/>
          <w:color w:val="000000" w:themeColor="text1"/>
          <w:lang w:val="en-US"/>
        </w:rPr>
        <w:t>[1]</w:t>
      </w:r>
      <w:r w:rsidRPr="00CF59C9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>.</w:t>
      </w:r>
    </w:p>
    <w:p w:rsidR="00C64C76" w:rsidRDefault="00C64C76" w:rsidP="00C64C76">
      <w:pPr>
        <w:rPr>
          <w:lang w:val="en-US"/>
        </w:rPr>
      </w:pPr>
      <w:r>
        <w:rPr>
          <w:lang w:val="en-US"/>
        </w:rPr>
        <w:t xml:space="preserve">In order to obtain relative risk </w:t>
      </w:r>
      <w:r w:rsidRPr="00017EF1">
        <w:t xml:space="preserve">relating </w:t>
      </w:r>
      <w:r>
        <w:t xml:space="preserve">matching our </w:t>
      </w:r>
      <w:r w:rsidR="001F12FF">
        <w:t>ten</w:t>
      </w:r>
      <w:r>
        <w:t xml:space="preserve"> intake categories</w:t>
      </w:r>
      <w:r w:rsidR="001F12FF">
        <w:t xml:space="preserve"> </w:t>
      </w:r>
      <w:r w:rsidR="001F12FF" w:rsidRPr="001F12FF">
        <w:t>(</w:t>
      </w:r>
      <w:r w:rsidR="004D6922" w:rsidRPr="00103EEA">
        <w:rPr>
          <w:rFonts w:cs="Times New Roman"/>
        </w:rPr>
        <w:t>≤</w:t>
      </w:r>
      <w:r w:rsidR="001F12FF" w:rsidRPr="001F12FF">
        <w:rPr>
          <w:rFonts w:cs="Times New Roman"/>
        </w:rPr>
        <w:t>1</w:t>
      </w:r>
      <w:r w:rsidR="001F12FF" w:rsidRPr="001F12FF">
        <w:t>0</w:t>
      </w:r>
      <w:r w:rsidR="004D6922">
        <w:t>%E,</w:t>
      </w:r>
      <w:r w:rsidR="004D6922" w:rsidRPr="004D6922">
        <w:rPr>
          <w:rFonts w:cs="Times New Roman"/>
        </w:rPr>
        <w:t xml:space="preserve"> </w:t>
      </w:r>
      <w:r w:rsidR="004D6922" w:rsidRPr="001F12FF">
        <w:rPr>
          <w:rFonts w:cs="Times New Roman"/>
        </w:rPr>
        <w:t>&gt;1</w:t>
      </w:r>
      <w:r w:rsidR="004D6922">
        <w:t>0</w:t>
      </w:r>
      <w:r w:rsidR="001F12FF" w:rsidRPr="001F12FF">
        <w:rPr>
          <w:rFonts w:cs="Times New Roman"/>
        </w:rPr>
        <w:t>≤</w:t>
      </w:r>
      <w:r w:rsidR="004D6922">
        <w:t xml:space="preserve">12%, </w:t>
      </w:r>
      <w:r w:rsidR="001F12FF" w:rsidRPr="001F12FF">
        <w:rPr>
          <w:rFonts w:cs="Times New Roman"/>
        </w:rPr>
        <w:t>&gt;1</w:t>
      </w:r>
      <w:r w:rsidR="001F12FF" w:rsidRPr="001F12FF">
        <w:t xml:space="preserve">2 </w:t>
      </w:r>
      <w:r w:rsidR="001F12FF" w:rsidRPr="001F12FF">
        <w:rPr>
          <w:rFonts w:cs="Times New Roman"/>
        </w:rPr>
        <w:t>≤</w:t>
      </w:r>
      <w:r w:rsidR="001F12FF" w:rsidRPr="001F12FF">
        <w:t xml:space="preserve">14%E, </w:t>
      </w:r>
      <w:r w:rsidR="001F12FF" w:rsidRPr="001F12FF">
        <w:rPr>
          <w:rFonts w:cs="Times New Roman"/>
        </w:rPr>
        <w:t>&gt;1</w:t>
      </w:r>
      <w:r w:rsidR="001F12FF" w:rsidRPr="001F12FF">
        <w:t xml:space="preserve">4 </w:t>
      </w:r>
      <w:r w:rsidR="001F12FF" w:rsidRPr="001F12FF">
        <w:rPr>
          <w:rFonts w:cs="Times New Roman"/>
        </w:rPr>
        <w:t>≤</w:t>
      </w:r>
      <w:r w:rsidR="001F12FF" w:rsidRPr="001F12FF">
        <w:t xml:space="preserve">16%E, </w:t>
      </w:r>
      <w:r w:rsidR="001F12FF" w:rsidRPr="001F12FF">
        <w:rPr>
          <w:rFonts w:cs="Times New Roman"/>
        </w:rPr>
        <w:t>&gt;1</w:t>
      </w:r>
      <w:r w:rsidR="001F12FF" w:rsidRPr="001F12FF">
        <w:t xml:space="preserve">6 </w:t>
      </w:r>
      <w:r w:rsidR="001F12FF" w:rsidRPr="001F12FF">
        <w:rPr>
          <w:rFonts w:cs="Times New Roman"/>
        </w:rPr>
        <w:t>≤</w:t>
      </w:r>
      <w:r w:rsidR="001F12FF" w:rsidRPr="001F12FF">
        <w:t xml:space="preserve">18%E, </w:t>
      </w:r>
      <w:r w:rsidR="001F12FF" w:rsidRPr="001F12FF">
        <w:rPr>
          <w:rFonts w:cs="Times New Roman"/>
        </w:rPr>
        <w:t>&gt;1</w:t>
      </w:r>
      <w:r w:rsidR="001F12FF" w:rsidRPr="001F12FF">
        <w:t xml:space="preserve">8 </w:t>
      </w:r>
      <w:r w:rsidR="001F12FF" w:rsidRPr="001F12FF">
        <w:rPr>
          <w:rFonts w:cs="Times New Roman"/>
        </w:rPr>
        <w:t>≤</w:t>
      </w:r>
      <w:r w:rsidR="001F12FF" w:rsidRPr="001F12FF">
        <w:t xml:space="preserve">20%E, </w:t>
      </w:r>
      <w:r w:rsidR="001F12FF" w:rsidRPr="001F12FF">
        <w:rPr>
          <w:rFonts w:cs="Times New Roman"/>
        </w:rPr>
        <w:t>&gt;20</w:t>
      </w:r>
      <w:r w:rsidR="001F12FF" w:rsidRPr="001F12FF">
        <w:t xml:space="preserve"> </w:t>
      </w:r>
      <w:r w:rsidR="001F12FF" w:rsidRPr="001F12FF">
        <w:rPr>
          <w:rFonts w:cs="Times New Roman"/>
        </w:rPr>
        <w:t>≤</w:t>
      </w:r>
      <w:r w:rsidR="001F12FF" w:rsidRPr="001F12FF">
        <w:t xml:space="preserve">22%E, </w:t>
      </w:r>
      <w:r w:rsidR="001F12FF" w:rsidRPr="001F12FF">
        <w:rPr>
          <w:rFonts w:cs="Times New Roman"/>
        </w:rPr>
        <w:t>&gt;22</w:t>
      </w:r>
      <w:r w:rsidR="001F12FF" w:rsidRPr="001F12FF">
        <w:t xml:space="preserve"> </w:t>
      </w:r>
      <w:r w:rsidR="001F12FF" w:rsidRPr="001F12FF">
        <w:rPr>
          <w:rFonts w:cs="Times New Roman"/>
        </w:rPr>
        <w:t>≤</w:t>
      </w:r>
      <w:r w:rsidR="001F12FF" w:rsidRPr="001F12FF">
        <w:t xml:space="preserve">24%E, </w:t>
      </w:r>
      <w:r w:rsidR="001F12FF" w:rsidRPr="001F12FF">
        <w:rPr>
          <w:rFonts w:cs="Times New Roman"/>
        </w:rPr>
        <w:t>&gt;24</w:t>
      </w:r>
      <w:r w:rsidR="001F12FF" w:rsidRPr="001F12FF">
        <w:t xml:space="preserve"> </w:t>
      </w:r>
      <w:r w:rsidR="001F12FF" w:rsidRPr="001F12FF">
        <w:rPr>
          <w:rFonts w:cs="Times New Roman"/>
        </w:rPr>
        <w:t>≤</w:t>
      </w:r>
      <w:r w:rsidR="001F12FF" w:rsidRPr="001F12FF">
        <w:t xml:space="preserve">26%E, </w:t>
      </w:r>
      <w:r w:rsidR="001F12FF" w:rsidRPr="001F12FF">
        <w:rPr>
          <w:rFonts w:cs="Times New Roman"/>
        </w:rPr>
        <w:t>&gt;26</w:t>
      </w:r>
      <w:r w:rsidR="001F12FF" w:rsidRPr="001F12FF">
        <w:t xml:space="preserve"> </w:t>
      </w:r>
      <w:r w:rsidR="001F12FF" w:rsidRPr="001F12FF">
        <w:rPr>
          <w:rFonts w:cs="Times New Roman"/>
        </w:rPr>
        <w:t>≤</w:t>
      </w:r>
      <w:r w:rsidR="001F12FF">
        <w:t>100%E)</w:t>
      </w:r>
      <w:r>
        <w:t>, we transformed these relative risks according to the following steps:</w:t>
      </w:r>
    </w:p>
    <w:p w:rsidR="001F12FF" w:rsidRDefault="001F12FF" w:rsidP="001F12FF">
      <w:pPr>
        <w:rPr>
          <w:lang w:val="en-US"/>
        </w:rPr>
      </w:pPr>
      <w:r>
        <w:rPr>
          <w:lang w:val="en-US"/>
        </w:rPr>
        <w:t xml:space="preserve">1. Our reference </w:t>
      </w:r>
      <w:r w:rsidR="00B607CF">
        <w:rPr>
          <w:lang w:val="en-US"/>
        </w:rPr>
        <w:t>category with a SFA intake of 0–</w:t>
      </w:r>
      <w:r>
        <w:rPr>
          <w:lang w:val="en-US"/>
        </w:rPr>
        <w:t xml:space="preserve">10%E was assigned </w:t>
      </w:r>
      <w:proofErr w:type="gramStart"/>
      <w:r>
        <w:rPr>
          <w:lang w:val="en-US"/>
        </w:rPr>
        <w:t>a relative risks</w:t>
      </w:r>
      <w:proofErr w:type="gramEnd"/>
      <w:r>
        <w:rPr>
          <w:lang w:val="en-US"/>
        </w:rPr>
        <w:t xml:space="preserve"> of 1. </w:t>
      </w:r>
    </w:p>
    <w:p w:rsidR="001F12FF" w:rsidRDefault="001F12FF" w:rsidP="00C64C76">
      <w:pPr>
        <w:rPr>
          <w:lang w:val="en-US"/>
        </w:rPr>
      </w:pPr>
      <w:r>
        <w:rPr>
          <w:lang w:val="en-US"/>
        </w:rPr>
        <w:t>2. We</w:t>
      </w:r>
      <w:r w:rsidR="00CF4C9C">
        <w:rPr>
          <w:lang w:val="en-US"/>
        </w:rPr>
        <w:t xml:space="preserve"> calculated the </w:t>
      </w:r>
      <w:r w:rsidR="00CF4C9C" w:rsidRPr="008E44EC">
        <w:rPr>
          <w:lang w:val="en-US"/>
        </w:rPr>
        <w:t>log relative risk per unit change</w:t>
      </w:r>
      <w:r w:rsidR="00CF4C9C">
        <w:rPr>
          <w:lang w:val="en-US"/>
        </w:rPr>
        <w:t xml:space="preserve"> of SFA intake</w:t>
      </w:r>
      <w:r>
        <w:rPr>
          <w:lang w:val="en-US"/>
        </w:rPr>
        <w:t xml:space="preserve"> (in </w:t>
      </w:r>
      <w:r w:rsidR="00B607CF">
        <w:t>percent of total energy intake (%E)</w:t>
      </w:r>
      <w:r>
        <w:rPr>
          <w:lang w:val="en-US"/>
        </w:rPr>
        <w:t>) with</w:t>
      </w:r>
      <w:r w:rsidR="00CF4C9C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β=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e>
            </m:func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="00CF4C9C">
        <w:rPr>
          <w:lang w:val="en-US"/>
        </w:rPr>
        <w:t xml:space="preserve">, </w:t>
      </w:r>
      <w:r w:rsidR="00CF4C9C" w:rsidRPr="002727D7">
        <w:rPr>
          <w:lang w:val="en-US"/>
        </w:rPr>
        <w:t>where RR</w:t>
      </w:r>
      <w:r w:rsidR="00CF4C9C" w:rsidRPr="002727D7">
        <w:rPr>
          <w:vertAlign w:val="subscript"/>
          <w:lang w:val="en-US"/>
        </w:rPr>
        <w:t>5</w:t>
      </w:r>
      <w:r w:rsidR="00CF4C9C" w:rsidRPr="002727D7">
        <w:rPr>
          <w:lang w:val="en-US"/>
        </w:rPr>
        <w:t xml:space="preserve"> is the relative risk for a </w:t>
      </w:r>
      <w:r w:rsidR="00CF4C9C">
        <w:t>5%E</w:t>
      </w:r>
      <w:r w:rsidR="00CF4C9C" w:rsidRPr="00017EF1">
        <w:t xml:space="preserve"> </w:t>
      </w:r>
      <w:r w:rsidR="00CF4C9C" w:rsidRPr="008370EC">
        <w:rPr>
          <w:lang w:val="en-US"/>
        </w:rPr>
        <w:t>of increased SFA</w:t>
      </w:r>
      <w:r w:rsidR="00CF4C9C" w:rsidRPr="002727D7">
        <w:rPr>
          <w:lang w:val="en-US"/>
        </w:rPr>
        <w:t xml:space="preserve"> intake/day.</w:t>
      </w:r>
      <w:r w:rsidR="00CF4C9C">
        <w:rPr>
          <w:lang w:val="en-US"/>
        </w:rPr>
        <w:t xml:space="preserve"> </w:t>
      </w:r>
    </w:p>
    <w:p w:rsidR="001F12FF" w:rsidRDefault="001F12FF" w:rsidP="00F23272">
      <w:pPr>
        <w:rPr>
          <w:lang w:val="en-US"/>
        </w:rPr>
      </w:pPr>
      <w:r>
        <w:rPr>
          <w:lang w:val="en-US"/>
        </w:rPr>
        <w:t xml:space="preserve">3. We defined the </w:t>
      </w:r>
      <w:r w:rsidRPr="002727D7">
        <w:rPr>
          <w:lang w:val="en-US"/>
        </w:rPr>
        <w:t>midpoint x</w:t>
      </w:r>
      <w:r w:rsidRPr="002727D7">
        <w:rPr>
          <w:vertAlign w:val="subscript"/>
          <w:lang w:val="en-US"/>
        </w:rPr>
        <w:t>i</w:t>
      </w:r>
      <w:r>
        <w:rPr>
          <w:lang w:val="en-US"/>
        </w:rPr>
        <w:t xml:space="preserve"> for each of the remaining nine SFA intake categories, i.e. 11%E</w:t>
      </w:r>
      <w:r w:rsidRPr="002727D7">
        <w:rPr>
          <w:lang w:val="en-US"/>
        </w:rPr>
        <w:t xml:space="preserve">, </w:t>
      </w:r>
      <w:r>
        <w:rPr>
          <w:lang w:val="en-US"/>
        </w:rPr>
        <w:t>13%E</w:t>
      </w:r>
      <w:r w:rsidRPr="002727D7">
        <w:rPr>
          <w:lang w:val="en-US"/>
        </w:rPr>
        <w:t xml:space="preserve">, </w:t>
      </w:r>
      <w:r>
        <w:rPr>
          <w:lang w:val="en-US"/>
        </w:rPr>
        <w:t>15%E</w:t>
      </w:r>
      <w:r w:rsidRPr="002727D7">
        <w:rPr>
          <w:lang w:val="en-US"/>
        </w:rPr>
        <w:t xml:space="preserve">, </w:t>
      </w:r>
      <w:r>
        <w:rPr>
          <w:lang w:val="en-US"/>
        </w:rPr>
        <w:t>17%E</w:t>
      </w:r>
      <w:r w:rsidRPr="002727D7">
        <w:rPr>
          <w:lang w:val="en-US"/>
        </w:rPr>
        <w:t xml:space="preserve">, </w:t>
      </w:r>
      <w:r>
        <w:rPr>
          <w:lang w:val="en-US"/>
        </w:rPr>
        <w:t>19%E</w:t>
      </w:r>
      <w:r w:rsidRPr="002727D7">
        <w:rPr>
          <w:lang w:val="en-US"/>
        </w:rPr>
        <w:t xml:space="preserve">, </w:t>
      </w:r>
      <w:r>
        <w:rPr>
          <w:lang w:val="en-US"/>
        </w:rPr>
        <w:t>21%E</w:t>
      </w:r>
      <w:r w:rsidRPr="002727D7">
        <w:rPr>
          <w:lang w:val="en-US"/>
        </w:rPr>
        <w:t xml:space="preserve">, </w:t>
      </w:r>
      <w:r>
        <w:rPr>
          <w:lang w:val="en-US"/>
        </w:rPr>
        <w:t>23%E</w:t>
      </w:r>
      <w:r w:rsidRPr="002727D7">
        <w:rPr>
          <w:lang w:val="en-US"/>
        </w:rPr>
        <w:t xml:space="preserve">, </w:t>
      </w:r>
      <w:r>
        <w:rPr>
          <w:lang w:val="en-US"/>
        </w:rPr>
        <w:t>25%E</w:t>
      </w:r>
      <w:r w:rsidRPr="002727D7">
        <w:rPr>
          <w:lang w:val="en-US"/>
        </w:rPr>
        <w:t xml:space="preserve">, </w:t>
      </w:r>
      <w:r>
        <w:rPr>
          <w:lang w:val="en-US"/>
        </w:rPr>
        <w:t>and 27%E.</w:t>
      </w:r>
    </w:p>
    <w:p w:rsidR="00862D49" w:rsidRDefault="001F12FF" w:rsidP="00862D49">
      <w:pPr>
        <w:rPr>
          <w:lang w:val="en-US"/>
        </w:rPr>
      </w:pPr>
      <w:r>
        <w:rPr>
          <w:lang w:val="en-US"/>
        </w:rPr>
        <w:t>4. We calculated the relative risks for each of the category specific midpoints</w:t>
      </w:r>
      <w:r>
        <w:t xml:space="preserve"> with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β*(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-10)</m:t>
                </m:r>
              </m:e>
            </m:d>
          </m:e>
        </m:func>
      </m:oMath>
      <w:r>
        <w:rPr>
          <w:lang w:val="en-US"/>
        </w:rPr>
        <w:t xml:space="preserve">, where </w:t>
      </w:r>
      <w:r w:rsidRPr="002727D7">
        <w:rPr>
          <w:lang w:val="en-US"/>
        </w:rPr>
        <w:t>x</w:t>
      </w:r>
      <w:r w:rsidRPr="002727D7">
        <w:rPr>
          <w:vertAlign w:val="subscript"/>
          <w:lang w:val="en-US"/>
        </w:rPr>
        <w:t>i</w:t>
      </w:r>
      <w:r w:rsidRPr="002727D7">
        <w:rPr>
          <w:lang w:val="en-US"/>
        </w:rPr>
        <w:t xml:space="preserve"> is </w:t>
      </w:r>
      <w:r>
        <w:rPr>
          <w:lang w:val="en-US"/>
        </w:rPr>
        <w:t>defined</w:t>
      </w:r>
      <w:r w:rsidRPr="002727D7">
        <w:rPr>
          <w:lang w:val="en-US"/>
        </w:rPr>
        <w:t xml:space="preserve"> to be the </w:t>
      </w:r>
      <w:r>
        <w:rPr>
          <w:lang w:val="en-US"/>
        </w:rPr>
        <w:t>SFA</w:t>
      </w:r>
      <w:r w:rsidRPr="002727D7">
        <w:rPr>
          <w:lang w:val="en-US"/>
        </w:rPr>
        <w:t xml:space="preserve"> intake category specific </w:t>
      </w:r>
      <w:r>
        <w:rPr>
          <w:lang w:val="en-US"/>
        </w:rPr>
        <w:t xml:space="preserve">midpoint </w:t>
      </w:r>
      <w:r w:rsidR="00862D49">
        <w:rPr>
          <w:lang w:val="en-US"/>
        </w:rPr>
        <w:t xml:space="preserve">and the value of 10 corresponds to the upper bound of the reference category, because we assume that the relative risks are only increasing from an SFA intake of 10%E onwards. </w:t>
      </w:r>
    </w:p>
    <w:p w:rsidR="001F12FF" w:rsidRDefault="001F12FF" w:rsidP="00F23272">
      <w:pPr>
        <w:rPr>
          <w:lang w:val="en-US"/>
        </w:rPr>
      </w:pPr>
    </w:p>
    <w:p w:rsidR="00F23272" w:rsidRPr="001F12FF" w:rsidRDefault="004D6922" w:rsidP="00F23272">
      <w:pPr>
        <w:rPr>
          <w:b/>
        </w:rPr>
      </w:pPr>
      <w:r>
        <w:rPr>
          <w:b/>
        </w:rPr>
        <w:t>References</w:t>
      </w:r>
    </w:p>
    <w:p w:rsidR="00F23272" w:rsidRPr="00FB19C3" w:rsidRDefault="00F23272" w:rsidP="00F23272">
      <w:pPr>
        <w:pStyle w:val="EndNoteBibliography"/>
      </w:pPr>
      <w:r>
        <w:fldChar w:fldCharType="begin"/>
      </w:r>
      <w:r>
        <w:instrText xml:space="preserve"> ADDIN EN.SECTION.REFLIST </w:instrText>
      </w:r>
      <w:r>
        <w:fldChar w:fldCharType="separate"/>
      </w:r>
      <w:r w:rsidRPr="00FB19C3">
        <w:t>1.</w:t>
      </w:r>
      <w:r w:rsidRPr="00FB19C3">
        <w:tab/>
        <w:t>GBD 2016 Risk Factor Collaborators. Global, regional, and national comparative risk assessment of 84 behavioural, environmental and occupational, and metabolic risks or clusters of risks, 1990–2016: a systematic analysis for the Global Burden of Disease Study 2016. Lancet. 2017;390(10100):1345-422.</w:t>
      </w:r>
    </w:p>
    <w:p w:rsidR="00DD6300" w:rsidRDefault="00F23272" w:rsidP="00F23272">
      <w:r>
        <w:rPr>
          <w:lang w:val="en-US"/>
        </w:rPr>
        <w:fldChar w:fldCharType="end"/>
      </w:r>
    </w:p>
    <w:sectPr w:rsidR="00DD6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2"/>
    <w:rsid w:val="00003D31"/>
    <w:rsid w:val="0000508A"/>
    <w:rsid w:val="0000524B"/>
    <w:rsid w:val="00006E37"/>
    <w:rsid w:val="000079C0"/>
    <w:rsid w:val="00011982"/>
    <w:rsid w:val="00011E19"/>
    <w:rsid w:val="00014F19"/>
    <w:rsid w:val="00015C9B"/>
    <w:rsid w:val="0002132D"/>
    <w:rsid w:val="00021828"/>
    <w:rsid w:val="00030D09"/>
    <w:rsid w:val="000312E7"/>
    <w:rsid w:val="00034056"/>
    <w:rsid w:val="00037F3C"/>
    <w:rsid w:val="0004104A"/>
    <w:rsid w:val="0004189B"/>
    <w:rsid w:val="000419DB"/>
    <w:rsid w:val="00042ABB"/>
    <w:rsid w:val="000434B6"/>
    <w:rsid w:val="00047F8B"/>
    <w:rsid w:val="000522AF"/>
    <w:rsid w:val="00053D7C"/>
    <w:rsid w:val="0005698D"/>
    <w:rsid w:val="00056E32"/>
    <w:rsid w:val="00061407"/>
    <w:rsid w:val="00065137"/>
    <w:rsid w:val="0007283A"/>
    <w:rsid w:val="000731FE"/>
    <w:rsid w:val="000737BC"/>
    <w:rsid w:val="000763E1"/>
    <w:rsid w:val="00081F1F"/>
    <w:rsid w:val="00087BE2"/>
    <w:rsid w:val="000A02C8"/>
    <w:rsid w:val="000A0A47"/>
    <w:rsid w:val="000A0D44"/>
    <w:rsid w:val="000A3649"/>
    <w:rsid w:val="000A3818"/>
    <w:rsid w:val="000A5204"/>
    <w:rsid w:val="000B124C"/>
    <w:rsid w:val="000C6934"/>
    <w:rsid w:val="000C6AE9"/>
    <w:rsid w:val="000D120C"/>
    <w:rsid w:val="000D4128"/>
    <w:rsid w:val="000D6CC8"/>
    <w:rsid w:val="000E3734"/>
    <w:rsid w:val="000E48DA"/>
    <w:rsid w:val="000E6C70"/>
    <w:rsid w:val="000F0FEE"/>
    <w:rsid w:val="000F5CEA"/>
    <w:rsid w:val="00100E9D"/>
    <w:rsid w:val="00110142"/>
    <w:rsid w:val="00113547"/>
    <w:rsid w:val="001157A0"/>
    <w:rsid w:val="001171F1"/>
    <w:rsid w:val="001324C5"/>
    <w:rsid w:val="001333DC"/>
    <w:rsid w:val="00134383"/>
    <w:rsid w:val="00141FA0"/>
    <w:rsid w:val="00142FAC"/>
    <w:rsid w:val="00143E71"/>
    <w:rsid w:val="00152CD0"/>
    <w:rsid w:val="00152D1B"/>
    <w:rsid w:val="00153686"/>
    <w:rsid w:val="001565B8"/>
    <w:rsid w:val="00162E0F"/>
    <w:rsid w:val="001673AD"/>
    <w:rsid w:val="00167F74"/>
    <w:rsid w:val="00170598"/>
    <w:rsid w:val="00174129"/>
    <w:rsid w:val="00175AFD"/>
    <w:rsid w:val="0018606A"/>
    <w:rsid w:val="001944BD"/>
    <w:rsid w:val="0019680B"/>
    <w:rsid w:val="0019682B"/>
    <w:rsid w:val="0019732F"/>
    <w:rsid w:val="001A1184"/>
    <w:rsid w:val="001B10C4"/>
    <w:rsid w:val="001B3901"/>
    <w:rsid w:val="001C514F"/>
    <w:rsid w:val="001C64FB"/>
    <w:rsid w:val="001D08AF"/>
    <w:rsid w:val="001D3CC8"/>
    <w:rsid w:val="001E0F0A"/>
    <w:rsid w:val="001E2739"/>
    <w:rsid w:val="001E4E5F"/>
    <w:rsid w:val="001E6B96"/>
    <w:rsid w:val="001F12FF"/>
    <w:rsid w:val="001F37F8"/>
    <w:rsid w:val="001F47E4"/>
    <w:rsid w:val="001F5278"/>
    <w:rsid w:val="001F6946"/>
    <w:rsid w:val="002016D4"/>
    <w:rsid w:val="00201E9A"/>
    <w:rsid w:val="00205A54"/>
    <w:rsid w:val="00206321"/>
    <w:rsid w:val="002074A1"/>
    <w:rsid w:val="00210257"/>
    <w:rsid w:val="00214B6E"/>
    <w:rsid w:val="00215728"/>
    <w:rsid w:val="00216C30"/>
    <w:rsid w:val="002171C5"/>
    <w:rsid w:val="00221DA0"/>
    <w:rsid w:val="00224182"/>
    <w:rsid w:val="002335F9"/>
    <w:rsid w:val="002444E5"/>
    <w:rsid w:val="00250D19"/>
    <w:rsid w:val="00251788"/>
    <w:rsid w:val="00253314"/>
    <w:rsid w:val="00255357"/>
    <w:rsid w:val="0026225C"/>
    <w:rsid w:val="00264C53"/>
    <w:rsid w:val="0027280C"/>
    <w:rsid w:val="002728A6"/>
    <w:rsid w:val="0027544D"/>
    <w:rsid w:val="002762C1"/>
    <w:rsid w:val="00276B45"/>
    <w:rsid w:val="00277A29"/>
    <w:rsid w:val="0028713F"/>
    <w:rsid w:val="0029151F"/>
    <w:rsid w:val="0029196A"/>
    <w:rsid w:val="002A0487"/>
    <w:rsid w:val="002A3531"/>
    <w:rsid w:val="002B1511"/>
    <w:rsid w:val="002B363E"/>
    <w:rsid w:val="002B3D48"/>
    <w:rsid w:val="002D0034"/>
    <w:rsid w:val="002D17BD"/>
    <w:rsid w:val="002D2484"/>
    <w:rsid w:val="002D3A11"/>
    <w:rsid w:val="002E2DE7"/>
    <w:rsid w:val="002E4898"/>
    <w:rsid w:val="002E5CFF"/>
    <w:rsid w:val="002F23DB"/>
    <w:rsid w:val="002F3F9D"/>
    <w:rsid w:val="002F493A"/>
    <w:rsid w:val="002F7389"/>
    <w:rsid w:val="002F74AA"/>
    <w:rsid w:val="00304242"/>
    <w:rsid w:val="00305F49"/>
    <w:rsid w:val="0030675E"/>
    <w:rsid w:val="00306C38"/>
    <w:rsid w:val="0031044F"/>
    <w:rsid w:val="00310CDC"/>
    <w:rsid w:val="00310DD5"/>
    <w:rsid w:val="003132BB"/>
    <w:rsid w:val="003140B2"/>
    <w:rsid w:val="003145C1"/>
    <w:rsid w:val="003202B1"/>
    <w:rsid w:val="0032179D"/>
    <w:rsid w:val="00322917"/>
    <w:rsid w:val="00324250"/>
    <w:rsid w:val="00324C50"/>
    <w:rsid w:val="00324DAA"/>
    <w:rsid w:val="0032524C"/>
    <w:rsid w:val="00325EBA"/>
    <w:rsid w:val="003268DE"/>
    <w:rsid w:val="00330E86"/>
    <w:rsid w:val="003313C9"/>
    <w:rsid w:val="003315E3"/>
    <w:rsid w:val="0033161C"/>
    <w:rsid w:val="003318C7"/>
    <w:rsid w:val="0033326C"/>
    <w:rsid w:val="003340E9"/>
    <w:rsid w:val="003347D4"/>
    <w:rsid w:val="0033664D"/>
    <w:rsid w:val="00341906"/>
    <w:rsid w:val="00344F5D"/>
    <w:rsid w:val="0034690B"/>
    <w:rsid w:val="00350E43"/>
    <w:rsid w:val="003528E7"/>
    <w:rsid w:val="00353F8A"/>
    <w:rsid w:val="00354FF6"/>
    <w:rsid w:val="00355864"/>
    <w:rsid w:val="0035590C"/>
    <w:rsid w:val="003578ED"/>
    <w:rsid w:val="00361DFE"/>
    <w:rsid w:val="00363485"/>
    <w:rsid w:val="00363919"/>
    <w:rsid w:val="00364EFB"/>
    <w:rsid w:val="003743F3"/>
    <w:rsid w:val="00377499"/>
    <w:rsid w:val="0038368A"/>
    <w:rsid w:val="003860E5"/>
    <w:rsid w:val="00387405"/>
    <w:rsid w:val="003877D9"/>
    <w:rsid w:val="00393C50"/>
    <w:rsid w:val="00395EF3"/>
    <w:rsid w:val="003972C3"/>
    <w:rsid w:val="00397BFB"/>
    <w:rsid w:val="003A2F5F"/>
    <w:rsid w:val="003A5502"/>
    <w:rsid w:val="003B08DB"/>
    <w:rsid w:val="003B4602"/>
    <w:rsid w:val="003C28A0"/>
    <w:rsid w:val="003C519C"/>
    <w:rsid w:val="003C7320"/>
    <w:rsid w:val="003C73FC"/>
    <w:rsid w:val="003D3C03"/>
    <w:rsid w:val="003F7D17"/>
    <w:rsid w:val="0040358B"/>
    <w:rsid w:val="00406DD1"/>
    <w:rsid w:val="0040714A"/>
    <w:rsid w:val="00407ED4"/>
    <w:rsid w:val="00411554"/>
    <w:rsid w:val="004162BA"/>
    <w:rsid w:val="00421AAF"/>
    <w:rsid w:val="00422166"/>
    <w:rsid w:val="00426F48"/>
    <w:rsid w:val="00427FBC"/>
    <w:rsid w:val="00430AA3"/>
    <w:rsid w:val="004332B1"/>
    <w:rsid w:val="00433BBF"/>
    <w:rsid w:val="00437127"/>
    <w:rsid w:val="00441111"/>
    <w:rsid w:val="0044499B"/>
    <w:rsid w:val="00452E3F"/>
    <w:rsid w:val="00457279"/>
    <w:rsid w:val="00457B8F"/>
    <w:rsid w:val="00460D54"/>
    <w:rsid w:val="00460E58"/>
    <w:rsid w:val="00461B29"/>
    <w:rsid w:val="00462016"/>
    <w:rsid w:val="00462DEA"/>
    <w:rsid w:val="0047284C"/>
    <w:rsid w:val="004765A2"/>
    <w:rsid w:val="004837AE"/>
    <w:rsid w:val="00483AB2"/>
    <w:rsid w:val="004A727B"/>
    <w:rsid w:val="004A7D54"/>
    <w:rsid w:val="004B19AC"/>
    <w:rsid w:val="004B298E"/>
    <w:rsid w:val="004B3DEB"/>
    <w:rsid w:val="004B5DB2"/>
    <w:rsid w:val="004B5FF3"/>
    <w:rsid w:val="004B6CF2"/>
    <w:rsid w:val="004D03C5"/>
    <w:rsid w:val="004D6922"/>
    <w:rsid w:val="004D7745"/>
    <w:rsid w:val="004F7903"/>
    <w:rsid w:val="005014F6"/>
    <w:rsid w:val="005054F1"/>
    <w:rsid w:val="005078D1"/>
    <w:rsid w:val="00511248"/>
    <w:rsid w:val="00511340"/>
    <w:rsid w:val="00513294"/>
    <w:rsid w:val="00513D59"/>
    <w:rsid w:val="0051572F"/>
    <w:rsid w:val="005219FB"/>
    <w:rsid w:val="00523410"/>
    <w:rsid w:val="005308BC"/>
    <w:rsid w:val="005400C8"/>
    <w:rsid w:val="00541E4E"/>
    <w:rsid w:val="00542559"/>
    <w:rsid w:val="005428AC"/>
    <w:rsid w:val="005433AF"/>
    <w:rsid w:val="0054351B"/>
    <w:rsid w:val="005437E9"/>
    <w:rsid w:val="00545292"/>
    <w:rsid w:val="00547F39"/>
    <w:rsid w:val="0055110A"/>
    <w:rsid w:val="00551AB1"/>
    <w:rsid w:val="00556769"/>
    <w:rsid w:val="0055747D"/>
    <w:rsid w:val="00565B4F"/>
    <w:rsid w:val="005667AA"/>
    <w:rsid w:val="005703F6"/>
    <w:rsid w:val="00570B1C"/>
    <w:rsid w:val="00573BD6"/>
    <w:rsid w:val="005744BE"/>
    <w:rsid w:val="005747F5"/>
    <w:rsid w:val="00576C92"/>
    <w:rsid w:val="00584AAE"/>
    <w:rsid w:val="00586323"/>
    <w:rsid w:val="00590D31"/>
    <w:rsid w:val="00592F21"/>
    <w:rsid w:val="00595894"/>
    <w:rsid w:val="00597D06"/>
    <w:rsid w:val="005A0B8D"/>
    <w:rsid w:val="005A3262"/>
    <w:rsid w:val="005A5924"/>
    <w:rsid w:val="005B4ADE"/>
    <w:rsid w:val="005C6DA0"/>
    <w:rsid w:val="005D0F9E"/>
    <w:rsid w:val="005D16B8"/>
    <w:rsid w:val="005D22EF"/>
    <w:rsid w:val="005D4B04"/>
    <w:rsid w:val="005E1EE1"/>
    <w:rsid w:val="005E373D"/>
    <w:rsid w:val="005E428C"/>
    <w:rsid w:val="005E4BD1"/>
    <w:rsid w:val="005E681E"/>
    <w:rsid w:val="005F3072"/>
    <w:rsid w:val="005F48AF"/>
    <w:rsid w:val="00600D71"/>
    <w:rsid w:val="00601345"/>
    <w:rsid w:val="00605086"/>
    <w:rsid w:val="00620A34"/>
    <w:rsid w:val="00623122"/>
    <w:rsid w:val="00630BEF"/>
    <w:rsid w:val="006320D4"/>
    <w:rsid w:val="00633069"/>
    <w:rsid w:val="00633720"/>
    <w:rsid w:val="00633B66"/>
    <w:rsid w:val="00635EF7"/>
    <w:rsid w:val="00636675"/>
    <w:rsid w:val="00640A3F"/>
    <w:rsid w:val="0064241C"/>
    <w:rsid w:val="00644171"/>
    <w:rsid w:val="006513D2"/>
    <w:rsid w:val="006527E8"/>
    <w:rsid w:val="00657C22"/>
    <w:rsid w:val="00672B34"/>
    <w:rsid w:val="00675ECA"/>
    <w:rsid w:val="0068106B"/>
    <w:rsid w:val="0068285E"/>
    <w:rsid w:val="00683A14"/>
    <w:rsid w:val="00684227"/>
    <w:rsid w:val="00691245"/>
    <w:rsid w:val="00691A34"/>
    <w:rsid w:val="00692EE7"/>
    <w:rsid w:val="00697F0B"/>
    <w:rsid w:val="006A11CE"/>
    <w:rsid w:val="006A77FB"/>
    <w:rsid w:val="006B1EE5"/>
    <w:rsid w:val="006B2AAF"/>
    <w:rsid w:val="006B539D"/>
    <w:rsid w:val="006B62A6"/>
    <w:rsid w:val="006C0447"/>
    <w:rsid w:val="006C2578"/>
    <w:rsid w:val="006C4234"/>
    <w:rsid w:val="006C4E98"/>
    <w:rsid w:val="006C6725"/>
    <w:rsid w:val="006D1CA2"/>
    <w:rsid w:val="006D2EAC"/>
    <w:rsid w:val="006D505E"/>
    <w:rsid w:val="006D5A96"/>
    <w:rsid w:val="006D73EC"/>
    <w:rsid w:val="006E2077"/>
    <w:rsid w:val="006E3E4E"/>
    <w:rsid w:val="00701DF6"/>
    <w:rsid w:val="00705332"/>
    <w:rsid w:val="007106E3"/>
    <w:rsid w:val="0071185C"/>
    <w:rsid w:val="007141D0"/>
    <w:rsid w:val="00714EF5"/>
    <w:rsid w:val="007208B9"/>
    <w:rsid w:val="00721280"/>
    <w:rsid w:val="0072212A"/>
    <w:rsid w:val="0072219B"/>
    <w:rsid w:val="00722212"/>
    <w:rsid w:val="0072364B"/>
    <w:rsid w:val="007272AA"/>
    <w:rsid w:val="0072774A"/>
    <w:rsid w:val="00730E5F"/>
    <w:rsid w:val="0073431D"/>
    <w:rsid w:val="00735922"/>
    <w:rsid w:val="00735CC1"/>
    <w:rsid w:val="00737B65"/>
    <w:rsid w:val="00746136"/>
    <w:rsid w:val="00750ACD"/>
    <w:rsid w:val="00752256"/>
    <w:rsid w:val="00756DF8"/>
    <w:rsid w:val="0076425C"/>
    <w:rsid w:val="00774405"/>
    <w:rsid w:val="00777135"/>
    <w:rsid w:val="00780153"/>
    <w:rsid w:val="00791135"/>
    <w:rsid w:val="00791DB9"/>
    <w:rsid w:val="00795D2A"/>
    <w:rsid w:val="007A0D44"/>
    <w:rsid w:val="007A3AE8"/>
    <w:rsid w:val="007B178F"/>
    <w:rsid w:val="007B7F13"/>
    <w:rsid w:val="007D1672"/>
    <w:rsid w:val="007D460B"/>
    <w:rsid w:val="007E07A1"/>
    <w:rsid w:val="007E0967"/>
    <w:rsid w:val="007E2B63"/>
    <w:rsid w:val="007E3A61"/>
    <w:rsid w:val="007E7C09"/>
    <w:rsid w:val="007E7D66"/>
    <w:rsid w:val="007F1610"/>
    <w:rsid w:val="007F2470"/>
    <w:rsid w:val="007F3F6B"/>
    <w:rsid w:val="007F3FE5"/>
    <w:rsid w:val="007F508E"/>
    <w:rsid w:val="007F57F4"/>
    <w:rsid w:val="007F6170"/>
    <w:rsid w:val="007F6CFC"/>
    <w:rsid w:val="007F7B96"/>
    <w:rsid w:val="00800EA6"/>
    <w:rsid w:val="008017E9"/>
    <w:rsid w:val="0080220D"/>
    <w:rsid w:val="00802414"/>
    <w:rsid w:val="008049BC"/>
    <w:rsid w:val="0081013E"/>
    <w:rsid w:val="00812048"/>
    <w:rsid w:val="008129A2"/>
    <w:rsid w:val="00813AC8"/>
    <w:rsid w:val="00820C03"/>
    <w:rsid w:val="008225D5"/>
    <w:rsid w:val="008402BA"/>
    <w:rsid w:val="00840FF3"/>
    <w:rsid w:val="008426D3"/>
    <w:rsid w:val="0084419F"/>
    <w:rsid w:val="00846F71"/>
    <w:rsid w:val="00856A7A"/>
    <w:rsid w:val="00857D33"/>
    <w:rsid w:val="00861372"/>
    <w:rsid w:val="008614A3"/>
    <w:rsid w:val="00862D49"/>
    <w:rsid w:val="00872AB8"/>
    <w:rsid w:val="00872B8D"/>
    <w:rsid w:val="008744BA"/>
    <w:rsid w:val="00874A0C"/>
    <w:rsid w:val="0087717B"/>
    <w:rsid w:val="00877A8F"/>
    <w:rsid w:val="008815B0"/>
    <w:rsid w:val="00883F97"/>
    <w:rsid w:val="00892801"/>
    <w:rsid w:val="008973EA"/>
    <w:rsid w:val="008A1F74"/>
    <w:rsid w:val="008A3181"/>
    <w:rsid w:val="008A5ED3"/>
    <w:rsid w:val="008A78D3"/>
    <w:rsid w:val="008A7D4C"/>
    <w:rsid w:val="008C1766"/>
    <w:rsid w:val="008C4863"/>
    <w:rsid w:val="008C5417"/>
    <w:rsid w:val="008C7CAA"/>
    <w:rsid w:val="008D4F2D"/>
    <w:rsid w:val="008D772D"/>
    <w:rsid w:val="008E21FA"/>
    <w:rsid w:val="008E2BEA"/>
    <w:rsid w:val="008E751E"/>
    <w:rsid w:val="008F1342"/>
    <w:rsid w:val="008F6B85"/>
    <w:rsid w:val="00901B41"/>
    <w:rsid w:val="00905969"/>
    <w:rsid w:val="00910753"/>
    <w:rsid w:val="009123FE"/>
    <w:rsid w:val="00912E5C"/>
    <w:rsid w:val="00912E61"/>
    <w:rsid w:val="0091588E"/>
    <w:rsid w:val="00925115"/>
    <w:rsid w:val="00930A12"/>
    <w:rsid w:val="00930AB6"/>
    <w:rsid w:val="00932E84"/>
    <w:rsid w:val="009426E1"/>
    <w:rsid w:val="00952F63"/>
    <w:rsid w:val="00957873"/>
    <w:rsid w:val="00966521"/>
    <w:rsid w:val="009701C2"/>
    <w:rsid w:val="00971529"/>
    <w:rsid w:val="00972478"/>
    <w:rsid w:val="00972BF2"/>
    <w:rsid w:val="00972DED"/>
    <w:rsid w:val="009740FE"/>
    <w:rsid w:val="009764A4"/>
    <w:rsid w:val="009777A7"/>
    <w:rsid w:val="0098373C"/>
    <w:rsid w:val="00986FAD"/>
    <w:rsid w:val="00990671"/>
    <w:rsid w:val="009914BE"/>
    <w:rsid w:val="00991E39"/>
    <w:rsid w:val="009922BA"/>
    <w:rsid w:val="00993A58"/>
    <w:rsid w:val="00995B59"/>
    <w:rsid w:val="00996186"/>
    <w:rsid w:val="00996E7F"/>
    <w:rsid w:val="00997D9F"/>
    <w:rsid w:val="009A36BC"/>
    <w:rsid w:val="009B196A"/>
    <w:rsid w:val="009B33B9"/>
    <w:rsid w:val="009B7AF7"/>
    <w:rsid w:val="009C0AB3"/>
    <w:rsid w:val="009C39CF"/>
    <w:rsid w:val="009C3DAD"/>
    <w:rsid w:val="009C5C54"/>
    <w:rsid w:val="009D0076"/>
    <w:rsid w:val="009D3D59"/>
    <w:rsid w:val="009D529E"/>
    <w:rsid w:val="009D7A23"/>
    <w:rsid w:val="009F2B46"/>
    <w:rsid w:val="009F2E32"/>
    <w:rsid w:val="009F2EBC"/>
    <w:rsid w:val="009F3AB7"/>
    <w:rsid w:val="009F6E09"/>
    <w:rsid w:val="00A014EA"/>
    <w:rsid w:val="00A1303C"/>
    <w:rsid w:val="00A1304F"/>
    <w:rsid w:val="00A1440D"/>
    <w:rsid w:val="00A14A73"/>
    <w:rsid w:val="00A15D8B"/>
    <w:rsid w:val="00A22984"/>
    <w:rsid w:val="00A25324"/>
    <w:rsid w:val="00A3422E"/>
    <w:rsid w:val="00A344FD"/>
    <w:rsid w:val="00A3453C"/>
    <w:rsid w:val="00A35339"/>
    <w:rsid w:val="00A505E1"/>
    <w:rsid w:val="00A5225B"/>
    <w:rsid w:val="00A54BA9"/>
    <w:rsid w:val="00A63588"/>
    <w:rsid w:val="00A63BB5"/>
    <w:rsid w:val="00A67B39"/>
    <w:rsid w:val="00A67C07"/>
    <w:rsid w:val="00A71CB5"/>
    <w:rsid w:val="00A72D69"/>
    <w:rsid w:val="00A74943"/>
    <w:rsid w:val="00A74D91"/>
    <w:rsid w:val="00A778A8"/>
    <w:rsid w:val="00A81E61"/>
    <w:rsid w:val="00A831FB"/>
    <w:rsid w:val="00A84625"/>
    <w:rsid w:val="00A86FAC"/>
    <w:rsid w:val="00A91BC1"/>
    <w:rsid w:val="00A93D8A"/>
    <w:rsid w:val="00A9469D"/>
    <w:rsid w:val="00A94A72"/>
    <w:rsid w:val="00A971FD"/>
    <w:rsid w:val="00AA0013"/>
    <w:rsid w:val="00AA12FC"/>
    <w:rsid w:val="00AA1FAC"/>
    <w:rsid w:val="00AA458F"/>
    <w:rsid w:val="00AA468D"/>
    <w:rsid w:val="00AA50D4"/>
    <w:rsid w:val="00AA54C8"/>
    <w:rsid w:val="00AA6474"/>
    <w:rsid w:val="00AA64F0"/>
    <w:rsid w:val="00AA6CB7"/>
    <w:rsid w:val="00AB0B9C"/>
    <w:rsid w:val="00AB0E60"/>
    <w:rsid w:val="00AB13E1"/>
    <w:rsid w:val="00AB3437"/>
    <w:rsid w:val="00AB3551"/>
    <w:rsid w:val="00AB6233"/>
    <w:rsid w:val="00AC21A1"/>
    <w:rsid w:val="00AC5605"/>
    <w:rsid w:val="00AC7FD8"/>
    <w:rsid w:val="00AD751C"/>
    <w:rsid w:val="00AE1B0F"/>
    <w:rsid w:val="00AE4BB5"/>
    <w:rsid w:val="00AE51AA"/>
    <w:rsid w:val="00AF0784"/>
    <w:rsid w:val="00AF10ED"/>
    <w:rsid w:val="00AF3FEF"/>
    <w:rsid w:val="00AF4B7B"/>
    <w:rsid w:val="00AF4C62"/>
    <w:rsid w:val="00AF6754"/>
    <w:rsid w:val="00AF70D5"/>
    <w:rsid w:val="00AF715F"/>
    <w:rsid w:val="00AF71C3"/>
    <w:rsid w:val="00AF7DD1"/>
    <w:rsid w:val="00B0139F"/>
    <w:rsid w:val="00B035DD"/>
    <w:rsid w:val="00B04939"/>
    <w:rsid w:val="00B05091"/>
    <w:rsid w:val="00B14CCC"/>
    <w:rsid w:val="00B2229A"/>
    <w:rsid w:val="00B2413D"/>
    <w:rsid w:val="00B2558E"/>
    <w:rsid w:val="00B276DC"/>
    <w:rsid w:val="00B375B5"/>
    <w:rsid w:val="00B40F46"/>
    <w:rsid w:val="00B43B4E"/>
    <w:rsid w:val="00B44AA8"/>
    <w:rsid w:val="00B45EC0"/>
    <w:rsid w:val="00B45FA6"/>
    <w:rsid w:val="00B520E9"/>
    <w:rsid w:val="00B607CF"/>
    <w:rsid w:val="00B62B4B"/>
    <w:rsid w:val="00B64368"/>
    <w:rsid w:val="00B64552"/>
    <w:rsid w:val="00B712C5"/>
    <w:rsid w:val="00B731C1"/>
    <w:rsid w:val="00B74822"/>
    <w:rsid w:val="00B7777E"/>
    <w:rsid w:val="00B80A90"/>
    <w:rsid w:val="00B834FA"/>
    <w:rsid w:val="00B84381"/>
    <w:rsid w:val="00B856C1"/>
    <w:rsid w:val="00B86173"/>
    <w:rsid w:val="00B86CE2"/>
    <w:rsid w:val="00B86FE6"/>
    <w:rsid w:val="00BA302A"/>
    <w:rsid w:val="00BA30EE"/>
    <w:rsid w:val="00BA3E42"/>
    <w:rsid w:val="00BA40D5"/>
    <w:rsid w:val="00BA5B92"/>
    <w:rsid w:val="00BA7301"/>
    <w:rsid w:val="00BB19F2"/>
    <w:rsid w:val="00BC2A75"/>
    <w:rsid w:val="00BC6E07"/>
    <w:rsid w:val="00BD6E9A"/>
    <w:rsid w:val="00BD7BFC"/>
    <w:rsid w:val="00C07CF0"/>
    <w:rsid w:val="00C149A5"/>
    <w:rsid w:val="00C1504D"/>
    <w:rsid w:val="00C212B9"/>
    <w:rsid w:val="00C23522"/>
    <w:rsid w:val="00C25EED"/>
    <w:rsid w:val="00C375B7"/>
    <w:rsid w:val="00C43716"/>
    <w:rsid w:val="00C44BF7"/>
    <w:rsid w:val="00C527CA"/>
    <w:rsid w:val="00C54712"/>
    <w:rsid w:val="00C556F8"/>
    <w:rsid w:val="00C576F5"/>
    <w:rsid w:val="00C6205E"/>
    <w:rsid w:val="00C6263D"/>
    <w:rsid w:val="00C627F5"/>
    <w:rsid w:val="00C62997"/>
    <w:rsid w:val="00C62A0F"/>
    <w:rsid w:val="00C64A9D"/>
    <w:rsid w:val="00C64C76"/>
    <w:rsid w:val="00C6508E"/>
    <w:rsid w:val="00C650C8"/>
    <w:rsid w:val="00C67194"/>
    <w:rsid w:val="00C707A3"/>
    <w:rsid w:val="00C76E94"/>
    <w:rsid w:val="00C77407"/>
    <w:rsid w:val="00C779D3"/>
    <w:rsid w:val="00C8173F"/>
    <w:rsid w:val="00C838E9"/>
    <w:rsid w:val="00C90C3C"/>
    <w:rsid w:val="00C90DBB"/>
    <w:rsid w:val="00C92469"/>
    <w:rsid w:val="00C93027"/>
    <w:rsid w:val="00C94A77"/>
    <w:rsid w:val="00C95DA0"/>
    <w:rsid w:val="00C974B6"/>
    <w:rsid w:val="00CA026B"/>
    <w:rsid w:val="00CA093E"/>
    <w:rsid w:val="00CA1F29"/>
    <w:rsid w:val="00CA1FF4"/>
    <w:rsid w:val="00CA226C"/>
    <w:rsid w:val="00CA76AA"/>
    <w:rsid w:val="00CB0928"/>
    <w:rsid w:val="00CB42C4"/>
    <w:rsid w:val="00CB6689"/>
    <w:rsid w:val="00CB66B6"/>
    <w:rsid w:val="00CB6B51"/>
    <w:rsid w:val="00CC21B4"/>
    <w:rsid w:val="00CC7349"/>
    <w:rsid w:val="00CD35EF"/>
    <w:rsid w:val="00CE1C4B"/>
    <w:rsid w:val="00CE729D"/>
    <w:rsid w:val="00CE7B12"/>
    <w:rsid w:val="00CF2355"/>
    <w:rsid w:val="00CF2600"/>
    <w:rsid w:val="00CF4192"/>
    <w:rsid w:val="00CF4482"/>
    <w:rsid w:val="00CF4C9C"/>
    <w:rsid w:val="00CF637E"/>
    <w:rsid w:val="00D01DFD"/>
    <w:rsid w:val="00D04268"/>
    <w:rsid w:val="00D05E5D"/>
    <w:rsid w:val="00D06269"/>
    <w:rsid w:val="00D065F5"/>
    <w:rsid w:val="00D0687E"/>
    <w:rsid w:val="00D0764E"/>
    <w:rsid w:val="00D07997"/>
    <w:rsid w:val="00D120D8"/>
    <w:rsid w:val="00D12154"/>
    <w:rsid w:val="00D12A69"/>
    <w:rsid w:val="00D12D90"/>
    <w:rsid w:val="00D13326"/>
    <w:rsid w:val="00D21E04"/>
    <w:rsid w:val="00D2452D"/>
    <w:rsid w:val="00D251A8"/>
    <w:rsid w:val="00D3074E"/>
    <w:rsid w:val="00D3420A"/>
    <w:rsid w:val="00D5272D"/>
    <w:rsid w:val="00D55905"/>
    <w:rsid w:val="00D55BE6"/>
    <w:rsid w:val="00D57DBA"/>
    <w:rsid w:val="00D61AE1"/>
    <w:rsid w:val="00D7085B"/>
    <w:rsid w:val="00D74912"/>
    <w:rsid w:val="00D811F3"/>
    <w:rsid w:val="00D90D7F"/>
    <w:rsid w:val="00D9235A"/>
    <w:rsid w:val="00D92410"/>
    <w:rsid w:val="00D948E0"/>
    <w:rsid w:val="00D94B4D"/>
    <w:rsid w:val="00D95AA5"/>
    <w:rsid w:val="00D96869"/>
    <w:rsid w:val="00DA24B0"/>
    <w:rsid w:val="00DA3DA6"/>
    <w:rsid w:val="00DA4294"/>
    <w:rsid w:val="00DA4CB1"/>
    <w:rsid w:val="00DA61CE"/>
    <w:rsid w:val="00DA675E"/>
    <w:rsid w:val="00DB069D"/>
    <w:rsid w:val="00DB6C95"/>
    <w:rsid w:val="00DB6DA2"/>
    <w:rsid w:val="00DB6E70"/>
    <w:rsid w:val="00DC4133"/>
    <w:rsid w:val="00DC4E7D"/>
    <w:rsid w:val="00DD23A3"/>
    <w:rsid w:val="00DD3ACC"/>
    <w:rsid w:val="00DD4AAE"/>
    <w:rsid w:val="00DD55F8"/>
    <w:rsid w:val="00DD6300"/>
    <w:rsid w:val="00DE0E21"/>
    <w:rsid w:val="00DE4FC7"/>
    <w:rsid w:val="00DE5332"/>
    <w:rsid w:val="00DE75B3"/>
    <w:rsid w:val="00DE7D9E"/>
    <w:rsid w:val="00DF2A60"/>
    <w:rsid w:val="00E07A48"/>
    <w:rsid w:val="00E11197"/>
    <w:rsid w:val="00E13A5E"/>
    <w:rsid w:val="00E15247"/>
    <w:rsid w:val="00E15BE0"/>
    <w:rsid w:val="00E167FE"/>
    <w:rsid w:val="00E16EE9"/>
    <w:rsid w:val="00E17E6B"/>
    <w:rsid w:val="00E208BD"/>
    <w:rsid w:val="00E21DFD"/>
    <w:rsid w:val="00E223C5"/>
    <w:rsid w:val="00E2601F"/>
    <w:rsid w:val="00E32A43"/>
    <w:rsid w:val="00E50B8F"/>
    <w:rsid w:val="00E51FB7"/>
    <w:rsid w:val="00E54E08"/>
    <w:rsid w:val="00E559BB"/>
    <w:rsid w:val="00E564DD"/>
    <w:rsid w:val="00E60DFF"/>
    <w:rsid w:val="00E62A18"/>
    <w:rsid w:val="00E63062"/>
    <w:rsid w:val="00E67305"/>
    <w:rsid w:val="00E71FC2"/>
    <w:rsid w:val="00E73FE4"/>
    <w:rsid w:val="00E82A3A"/>
    <w:rsid w:val="00E86E6A"/>
    <w:rsid w:val="00E9133B"/>
    <w:rsid w:val="00EA1370"/>
    <w:rsid w:val="00EA1AF9"/>
    <w:rsid w:val="00EA24F5"/>
    <w:rsid w:val="00EA7BDE"/>
    <w:rsid w:val="00EB0575"/>
    <w:rsid w:val="00EB201B"/>
    <w:rsid w:val="00EB4B3A"/>
    <w:rsid w:val="00EB51DC"/>
    <w:rsid w:val="00EB71BA"/>
    <w:rsid w:val="00EC01EE"/>
    <w:rsid w:val="00EC65DA"/>
    <w:rsid w:val="00EC6A8C"/>
    <w:rsid w:val="00EC72D4"/>
    <w:rsid w:val="00ED11AC"/>
    <w:rsid w:val="00ED508A"/>
    <w:rsid w:val="00ED67B2"/>
    <w:rsid w:val="00EE1AB4"/>
    <w:rsid w:val="00EE4095"/>
    <w:rsid w:val="00EE6557"/>
    <w:rsid w:val="00EF6E28"/>
    <w:rsid w:val="00F00B9B"/>
    <w:rsid w:val="00F046A3"/>
    <w:rsid w:val="00F0662F"/>
    <w:rsid w:val="00F06C48"/>
    <w:rsid w:val="00F11478"/>
    <w:rsid w:val="00F1167E"/>
    <w:rsid w:val="00F11F97"/>
    <w:rsid w:val="00F136B0"/>
    <w:rsid w:val="00F149A0"/>
    <w:rsid w:val="00F21901"/>
    <w:rsid w:val="00F2249A"/>
    <w:rsid w:val="00F23272"/>
    <w:rsid w:val="00F27834"/>
    <w:rsid w:val="00F33F37"/>
    <w:rsid w:val="00F419AF"/>
    <w:rsid w:val="00F4589E"/>
    <w:rsid w:val="00F4709C"/>
    <w:rsid w:val="00F51E8F"/>
    <w:rsid w:val="00F579A0"/>
    <w:rsid w:val="00F61596"/>
    <w:rsid w:val="00F6720C"/>
    <w:rsid w:val="00F71393"/>
    <w:rsid w:val="00F7177B"/>
    <w:rsid w:val="00F73B03"/>
    <w:rsid w:val="00F83DE3"/>
    <w:rsid w:val="00F91F01"/>
    <w:rsid w:val="00F950FA"/>
    <w:rsid w:val="00F965FD"/>
    <w:rsid w:val="00FA5FD7"/>
    <w:rsid w:val="00FC002F"/>
    <w:rsid w:val="00FC01B6"/>
    <w:rsid w:val="00FC3DEB"/>
    <w:rsid w:val="00FC43AA"/>
    <w:rsid w:val="00FE1DAB"/>
    <w:rsid w:val="00FE6116"/>
    <w:rsid w:val="00FE637D"/>
    <w:rsid w:val="00FE666C"/>
    <w:rsid w:val="00FF05AE"/>
    <w:rsid w:val="00FF12F9"/>
    <w:rsid w:val="00FF14CB"/>
    <w:rsid w:val="00FF4B2C"/>
    <w:rsid w:val="00FF747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D5A"/>
  <w15:chartTrackingRefBased/>
  <w15:docId w15:val="{CFB67B60-9379-47CE-B89A-647FF53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272"/>
    <w:pPr>
      <w:spacing w:before="120" w:after="120" w:line="48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327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3272"/>
    <w:rPr>
      <w:rFonts w:ascii="Times New Roman" w:eastAsiaTheme="majorEastAsia" w:hAnsi="Times New Roman" w:cstheme="majorBidi"/>
      <w:b/>
      <w:sz w:val="36"/>
      <w:szCs w:val="32"/>
    </w:rPr>
  </w:style>
  <w:style w:type="paragraph" w:customStyle="1" w:styleId="EndNoteBibliography">
    <w:name w:val="EndNote Bibliography"/>
    <w:basedOn w:val="Standard"/>
    <w:link w:val="EndNoteBibliographyZchn"/>
    <w:rsid w:val="00F2327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23272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Schönbach</dc:creator>
  <cp:keywords/>
  <dc:description/>
  <cp:lastModifiedBy>Johanna Schönbach</cp:lastModifiedBy>
  <cp:revision>9</cp:revision>
  <dcterms:created xsi:type="dcterms:W3CDTF">2019-02-07T15:28:00Z</dcterms:created>
  <dcterms:modified xsi:type="dcterms:W3CDTF">2019-06-06T14:35:00Z</dcterms:modified>
</cp:coreProperties>
</file>