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0" w:rsidRPr="007A77D9" w:rsidRDefault="00280B90" w:rsidP="00280B90">
      <w:pPr>
        <w:rPr>
          <w:rFonts w:ascii="Times New Roman" w:eastAsia="바탕" w:hAnsi="Times New Roman"/>
          <w:sz w:val="24"/>
          <w:szCs w:val="20"/>
        </w:rPr>
      </w:pPr>
      <w:r w:rsidRPr="007A77D9">
        <w:rPr>
          <w:rFonts w:ascii="Times New Roman" w:eastAsia="바탕" w:hAnsi="Times New Roman" w:hint="eastAsia"/>
          <w:sz w:val="24"/>
          <w:szCs w:val="20"/>
        </w:rPr>
        <w:t>S</w:t>
      </w:r>
      <w:r>
        <w:rPr>
          <w:rFonts w:ascii="Times New Roman" w:eastAsia="바탕" w:hAnsi="Times New Roman"/>
          <w:sz w:val="24"/>
          <w:szCs w:val="20"/>
        </w:rPr>
        <w:t>1 T</w:t>
      </w:r>
      <w:r w:rsidRPr="007A77D9">
        <w:rPr>
          <w:rFonts w:ascii="Times New Roman" w:eastAsia="바탕" w:hAnsi="Times New Roman"/>
          <w:sz w:val="24"/>
          <w:szCs w:val="20"/>
        </w:rPr>
        <w:t xml:space="preserve">able. Multivariate logistic regression analysis on predictors for sustained remission in each cohort  </w:t>
      </w:r>
    </w:p>
    <w:tbl>
      <w:tblPr>
        <w:tblStyle w:val="LightShading11"/>
        <w:tblW w:w="13778" w:type="dxa"/>
        <w:tblLayout w:type="fixed"/>
        <w:tblLook w:val="0420" w:firstRow="1" w:lastRow="0" w:firstColumn="0" w:lastColumn="0" w:noHBand="0" w:noVBand="1"/>
      </w:tblPr>
      <w:tblGrid>
        <w:gridCol w:w="2835"/>
        <w:gridCol w:w="795"/>
        <w:gridCol w:w="722"/>
        <w:gridCol w:w="1626"/>
        <w:gridCol w:w="361"/>
        <w:gridCol w:w="993"/>
        <w:gridCol w:w="993"/>
        <w:gridCol w:w="1626"/>
        <w:gridCol w:w="271"/>
        <w:gridCol w:w="993"/>
        <w:gridCol w:w="1084"/>
        <w:gridCol w:w="1479"/>
      </w:tblGrid>
      <w:tr w:rsidR="00280B90" w:rsidRPr="007A77D9" w:rsidTr="00227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tcW w:w="2835" w:type="dxa"/>
            <w:vMerge w:val="restart"/>
            <w:vAlign w:val="center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Variables</w:t>
            </w:r>
          </w:p>
        </w:tc>
        <w:tc>
          <w:tcPr>
            <w:tcW w:w="3143" w:type="dxa"/>
            <w:gridSpan w:val="3"/>
            <w:vAlign w:val="center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  <w:szCs w:val="20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Total</w:t>
            </w:r>
          </w:p>
        </w:tc>
        <w:tc>
          <w:tcPr>
            <w:tcW w:w="361" w:type="dxa"/>
            <w:tcBorders>
              <w:bottom w:val="nil"/>
            </w:tcBorders>
            <w:vAlign w:val="center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3612" w:type="dxa"/>
            <w:gridSpan w:val="3"/>
            <w:vAlign w:val="center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BRASS</w:t>
            </w:r>
          </w:p>
        </w:tc>
        <w:tc>
          <w:tcPr>
            <w:tcW w:w="271" w:type="dxa"/>
            <w:tcBorders>
              <w:bottom w:val="nil"/>
            </w:tcBorders>
            <w:vAlign w:val="center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  <w:szCs w:val="20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KORONA</w:t>
            </w:r>
          </w:p>
        </w:tc>
      </w:tr>
      <w:tr w:rsidR="00280B90" w:rsidRPr="007A77D9" w:rsidTr="00227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bCs/>
                <w:color w:val="auto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bCs/>
                <w:color w:val="auto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P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bCs/>
                <w:color w:val="auto"/>
                <w:szCs w:val="20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OR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bCs/>
                <w:color w:val="auto"/>
                <w:szCs w:val="20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95% CI</w:t>
            </w:r>
          </w:p>
        </w:tc>
        <w:tc>
          <w:tcPr>
            <w:tcW w:w="3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bCs/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bCs/>
                <w:color w:val="auto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bCs/>
                <w:color w:val="auto"/>
                <w:szCs w:val="20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OR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bCs/>
                <w:color w:val="auto"/>
                <w:szCs w:val="20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95% CI</w:t>
            </w: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bCs/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bCs/>
                <w:color w:val="auto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P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bCs/>
                <w:color w:val="auto"/>
                <w:szCs w:val="20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OR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bCs/>
                <w:color w:val="auto"/>
                <w:szCs w:val="20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95% CI</w:t>
            </w:r>
          </w:p>
        </w:tc>
      </w:tr>
      <w:tr w:rsidR="00280B90" w:rsidRPr="007A77D9" w:rsidTr="002277CD">
        <w:trPr>
          <w:trHeight w:val="345"/>
        </w:trPr>
        <w:tc>
          <w:tcPr>
            <w:tcW w:w="2835" w:type="dxa"/>
            <w:tcBorders>
              <w:top w:val="single" w:sz="4" w:space="0" w:color="auto"/>
            </w:tcBorders>
          </w:tcPr>
          <w:p w:rsidR="00280B90" w:rsidRPr="007A77D9" w:rsidRDefault="00280B90" w:rsidP="002277CD">
            <w:pPr>
              <w:spacing w:after="0" w:line="240" w:lineRule="auto"/>
              <w:rPr>
                <w:rFonts w:ascii="Times New Roman" w:eastAsia="바탕" w:hAnsi="Times New Roman"/>
                <w:b/>
                <w:bCs/>
                <w:color w:val="auto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Cohort</w:t>
            </w:r>
          </w:p>
          <w:p w:rsidR="00280B90" w:rsidRPr="007A77D9" w:rsidRDefault="00280B90" w:rsidP="002277CD">
            <w:pPr>
              <w:spacing w:after="0" w:line="240" w:lineRule="auto"/>
              <w:ind w:firstLineChars="50" w:firstLine="110"/>
              <w:rPr>
                <w:rFonts w:ascii="Times New Roman" w:eastAsia="바탕" w:hAnsi="Times New Roman"/>
                <w:b/>
                <w:bCs/>
                <w:color w:val="auto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BRASS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0.85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1.06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(0.58-1.95)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</w:tr>
      <w:tr w:rsidR="00280B90" w:rsidRPr="007A77D9" w:rsidTr="00227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2835" w:type="dxa"/>
          </w:tcPr>
          <w:p w:rsidR="00280B90" w:rsidRPr="007A77D9" w:rsidRDefault="00280B90" w:rsidP="002277CD">
            <w:pPr>
              <w:spacing w:after="0" w:line="240" w:lineRule="auto"/>
              <w:rPr>
                <w:rFonts w:ascii="Times New Roman" w:eastAsia="바탕" w:hAnsi="Times New Roman"/>
                <w:b/>
                <w:bCs/>
                <w:color w:val="auto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Age (years)</w:t>
            </w:r>
          </w:p>
          <w:p w:rsidR="00280B90" w:rsidRPr="007A77D9" w:rsidRDefault="00280B90" w:rsidP="002277CD">
            <w:pPr>
              <w:spacing w:after="0" w:line="240" w:lineRule="auto"/>
              <w:ind w:firstLineChars="50" w:firstLine="110"/>
              <w:rPr>
                <w:rFonts w:ascii="Times New Roman" w:eastAsia="바탕" w:hAnsi="Times New Roman"/>
                <w:b/>
                <w:bCs/>
                <w:color w:val="auto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65 ~</w:t>
            </w:r>
          </w:p>
          <w:p w:rsidR="00280B90" w:rsidRPr="007A77D9" w:rsidRDefault="00280B90" w:rsidP="002277CD">
            <w:pPr>
              <w:spacing w:after="0" w:line="240" w:lineRule="auto"/>
              <w:ind w:firstLineChars="50" w:firstLine="110"/>
              <w:rPr>
                <w:rFonts w:ascii="Times New Roman" w:eastAsia="바탕" w:hAnsi="Times New Roman"/>
                <w:b/>
                <w:bCs/>
                <w:color w:val="auto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45 ~ 64</w:t>
            </w:r>
          </w:p>
          <w:p w:rsidR="00280B90" w:rsidRPr="007A77D9" w:rsidRDefault="00280B90" w:rsidP="002277CD">
            <w:pPr>
              <w:spacing w:after="0" w:line="240" w:lineRule="auto"/>
              <w:ind w:firstLineChars="50" w:firstLine="110"/>
              <w:rPr>
                <w:rFonts w:ascii="Times New Roman" w:eastAsia="바탕" w:hAnsi="Times New Roman"/>
                <w:b/>
                <w:bCs/>
                <w:color w:val="auto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~ 44</w:t>
            </w:r>
          </w:p>
        </w:tc>
        <w:tc>
          <w:tcPr>
            <w:tcW w:w="795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0.31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0.25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0.13</w:t>
            </w:r>
          </w:p>
        </w:tc>
        <w:tc>
          <w:tcPr>
            <w:tcW w:w="722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1.33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1.66</w:t>
            </w:r>
          </w:p>
        </w:tc>
        <w:tc>
          <w:tcPr>
            <w:tcW w:w="1626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(0.82-2.17)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(0.86-3.21)</w:t>
            </w:r>
          </w:p>
        </w:tc>
        <w:tc>
          <w:tcPr>
            <w:tcW w:w="361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0.81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0.52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0.76</w:t>
            </w: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0.65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0.76</w:t>
            </w:r>
          </w:p>
        </w:tc>
        <w:tc>
          <w:tcPr>
            <w:tcW w:w="1626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(0.18-2.36)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(0.13-4.44)</w:t>
            </w:r>
          </w:p>
        </w:tc>
        <w:tc>
          <w:tcPr>
            <w:tcW w:w="271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0.12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0.09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0.05</w:t>
            </w:r>
          </w:p>
        </w:tc>
        <w:tc>
          <w:tcPr>
            <w:tcW w:w="1084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1.62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2.13</w:t>
            </w:r>
          </w:p>
        </w:tc>
        <w:tc>
          <w:tcPr>
            <w:tcW w:w="1479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(0.93-2.82)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 xml:space="preserve"> (1.00-4.51)</w:t>
            </w:r>
            <w:r w:rsidRPr="007A77D9">
              <w:rPr>
                <w:rFonts w:ascii="Times New Roman" w:eastAsia="바탕" w:hAnsi="Times New Roman"/>
                <w:color w:val="auto"/>
                <w:vertAlign w:val="superscript"/>
              </w:rPr>
              <w:t xml:space="preserve"> *</w:t>
            </w:r>
          </w:p>
        </w:tc>
      </w:tr>
      <w:tr w:rsidR="00280B90" w:rsidRPr="007A77D9" w:rsidTr="002277CD">
        <w:trPr>
          <w:trHeight w:val="345"/>
        </w:trPr>
        <w:tc>
          <w:tcPr>
            <w:tcW w:w="2835" w:type="dxa"/>
          </w:tcPr>
          <w:p w:rsidR="00280B90" w:rsidRPr="007A77D9" w:rsidRDefault="00280B90" w:rsidP="002277CD">
            <w:pPr>
              <w:spacing w:after="0" w:line="240" w:lineRule="auto"/>
              <w:rPr>
                <w:rFonts w:ascii="Times New Roman" w:eastAsia="바탕" w:hAnsi="Times New Roman"/>
                <w:b/>
                <w:bCs/>
                <w:color w:val="auto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RA duration (years)</w:t>
            </w:r>
          </w:p>
          <w:p w:rsidR="00280B90" w:rsidRPr="007A77D9" w:rsidRDefault="00280B90" w:rsidP="002277CD">
            <w:pPr>
              <w:spacing w:after="0" w:line="240" w:lineRule="auto"/>
              <w:ind w:firstLineChars="50" w:firstLine="110"/>
              <w:rPr>
                <w:rFonts w:ascii="Times New Roman" w:hAnsi="Times New Roman"/>
                <w:b/>
                <w:bCs/>
                <w:color w:val="auto"/>
              </w:rPr>
            </w:pPr>
            <w:r w:rsidRPr="007A77D9">
              <w:rPr>
                <w:rFonts w:ascii="Times New Roman" w:hAnsi="Times New Roman"/>
                <w:bCs/>
                <w:color w:val="auto"/>
              </w:rPr>
              <w:t>15 ~</w:t>
            </w:r>
          </w:p>
          <w:p w:rsidR="00280B90" w:rsidRPr="007A77D9" w:rsidRDefault="00280B90" w:rsidP="002277CD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contextualSpacing/>
              <w:rPr>
                <w:rFonts w:ascii="Times New Roman" w:hAnsi="Times New Roman"/>
                <w:b/>
                <w:bCs/>
                <w:color w:val="auto"/>
              </w:rPr>
            </w:pPr>
            <w:r w:rsidRPr="007A77D9">
              <w:rPr>
                <w:rFonts w:ascii="Times New Roman" w:hAnsi="Times New Roman"/>
                <w:bCs/>
                <w:color w:val="auto"/>
              </w:rPr>
              <w:t>10 ~ 14.9</w:t>
            </w:r>
          </w:p>
          <w:p w:rsidR="00280B90" w:rsidRPr="007A77D9" w:rsidRDefault="00280B90" w:rsidP="002277CD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contextualSpacing/>
              <w:rPr>
                <w:rFonts w:ascii="Times New Roman" w:hAnsi="Times New Roman"/>
                <w:b/>
                <w:bCs/>
                <w:color w:val="auto"/>
              </w:rPr>
            </w:pPr>
            <w:r w:rsidRPr="007A77D9">
              <w:rPr>
                <w:rFonts w:ascii="Times New Roman" w:hAnsi="Times New Roman"/>
                <w:bCs/>
                <w:color w:val="auto"/>
              </w:rPr>
              <w:t>5 ~ 9.9</w:t>
            </w:r>
          </w:p>
          <w:p w:rsidR="00280B90" w:rsidRPr="007A77D9" w:rsidRDefault="00280B90" w:rsidP="002277CD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contextualSpacing/>
              <w:rPr>
                <w:rFonts w:ascii="Times New Roman" w:eastAsia="바탕" w:hAnsi="Times New Roman"/>
                <w:b/>
                <w:bCs/>
                <w:color w:val="auto"/>
              </w:rPr>
            </w:pPr>
            <w:r w:rsidRPr="007A77D9">
              <w:rPr>
                <w:rFonts w:ascii="Times New Roman" w:hAnsi="Times New Roman"/>
                <w:bCs/>
                <w:color w:val="auto"/>
              </w:rPr>
              <w:t>~ 4.9</w:t>
            </w:r>
          </w:p>
        </w:tc>
        <w:tc>
          <w:tcPr>
            <w:tcW w:w="795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0.16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0.08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0.09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0.03</w:t>
            </w:r>
          </w:p>
        </w:tc>
        <w:tc>
          <w:tcPr>
            <w:tcW w:w="722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1.82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1.68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1.96</w:t>
            </w:r>
          </w:p>
        </w:tc>
        <w:tc>
          <w:tcPr>
            <w:tcW w:w="1626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(0.93-3.55)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(0.93-3.04)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 xml:space="preserve"> (1.08-3.58)</w:t>
            </w:r>
            <w:r w:rsidRPr="007A77D9">
              <w:rPr>
                <w:rFonts w:ascii="Times New Roman" w:eastAsia="바탕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361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0.11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0.04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0.04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0.47</w:t>
            </w: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5.07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3.75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1.89</w:t>
            </w:r>
          </w:p>
        </w:tc>
        <w:tc>
          <w:tcPr>
            <w:tcW w:w="1626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 xml:space="preserve"> (1.12-22.9)</w:t>
            </w:r>
            <w:r w:rsidRPr="007A77D9">
              <w:rPr>
                <w:rFonts w:ascii="Times New Roman" w:eastAsia="바탕" w:hAnsi="Times New Roman"/>
                <w:color w:val="auto"/>
                <w:vertAlign w:val="superscript"/>
              </w:rPr>
              <w:t xml:space="preserve"> *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 xml:space="preserve"> (1.04-13.6)</w:t>
            </w:r>
            <w:r w:rsidRPr="007A77D9">
              <w:rPr>
                <w:rFonts w:ascii="Times New Roman" w:eastAsia="바탕" w:hAnsi="Times New Roman"/>
                <w:color w:val="auto"/>
                <w:vertAlign w:val="superscript"/>
              </w:rPr>
              <w:t xml:space="preserve"> *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(0.34-3.35)</w:t>
            </w:r>
          </w:p>
        </w:tc>
        <w:tc>
          <w:tcPr>
            <w:tcW w:w="271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0.73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0.72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0.56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0.29</w:t>
            </w:r>
          </w:p>
        </w:tc>
        <w:tc>
          <w:tcPr>
            <w:tcW w:w="1084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1.16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1.24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1.45</w:t>
            </w:r>
          </w:p>
        </w:tc>
        <w:tc>
          <w:tcPr>
            <w:tcW w:w="1479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(0.51-2.61)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(0.61-2.52)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(0.73-2.88)</w:t>
            </w:r>
          </w:p>
        </w:tc>
      </w:tr>
      <w:tr w:rsidR="00280B90" w:rsidRPr="007A77D9" w:rsidTr="00227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2835" w:type="dxa"/>
          </w:tcPr>
          <w:p w:rsidR="00280B90" w:rsidRPr="007A77D9" w:rsidRDefault="00280B90" w:rsidP="002277CD">
            <w:pPr>
              <w:spacing w:after="0" w:line="240" w:lineRule="auto"/>
              <w:rPr>
                <w:rFonts w:ascii="Times New Roman" w:eastAsia="바탕" w:hAnsi="Times New Roman"/>
                <w:b/>
                <w:bCs/>
                <w:color w:val="auto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Education</w:t>
            </w:r>
          </w:p>
          <w:p w:rsidR="00280B90" w:rsidRPr="007A77D9" w:rsidRDefault="00280B90" w:rsidP="002277CD">
            <w:pPr>
              <w:spacing w:after="0" w:line="240" w:lineRule="auto"/>
              <w:ind w:firstLineChars="50" w:firstLine="110"/>
              <w:rPr>
                <w:rFonts w:ascii="Times New Roman" w:eastAsia="바탕" w:hAnsi="Times New Roman"/>
                <w:b/>
                <w:bCs/>
                <w:color w:val="auto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~ high school</w:t>
            </w:r>
          </w:p>
          <w:p w:rsidR="00280B90" w:rsidRPr="007A77D9" w:rsidRDefault="00280B90" w:rsidP="002277CD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contextualSpacing/>
              <w:rPr>
                <w:rFonts w:ascii="Times New Roman" w:eastAsia="바탕" w:hAnsi="Times New Roman"/>
                <w:b/>
                <w:bCs/>
                <w:color w:val="auto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college ~</w:t>
            </w:r>
          </w:p>
        </w:tc>
        <w:tc>
          <w:tcPr>
            <w:tcW w:w="795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0.22</w:t>
            </w:r>
          </w:p>
        </w:tc>
        <w:tc>
          <w:tcPr>
            <w:tcW w:w="722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1.34</w:t>
            </w:r>
          </w:p>
        </w:tc>
        <w:tc>
          <w:tcPr>
            <w:tcW w:w="1626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(0.84-2.15)</w:t>
            </w:r>
          </w:p>
        </w:tc>
        <w:tc>
          <w:tcPr>
            <w:tcW w:w="361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0.83</w:t>
            </w: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1.14</w:t>
            </w:r>
          </w:p>
        </w:tc>
        <w:tc>
          <w:tcPr>
            <w:tcW w:w="1626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(0.35-3.72)</w:t>
            </w:r>
          </w:p>
        </w:tc>
        <w:tc>
          <w:tcPr>
            <w:tcW w:w="271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0.44</w:t>
            </w:r>
          </w:p>
        </w:tc>
        <w:tc>
          <w:tcPr>
            <w:tcW w:w="1084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</w:t>
            </w: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1.23</w:t>
            </w:r>
          </w:p>
        </w:tc>
        <w:tc>
          <w:tcPr>
            <w:tcW w:w="1479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(0.61-2.52)</w:t>
            </w:r>
          </w:p>
        </w:tc>
      </w:tr>
      <w:tr w:rsidR="00280B90" w:rsidRPr="007A77D9" w:rsidTr="002277CD">
        <w:trPr>
          <w:trHeight w:val="345"/>
        </w:trPr>
        <w:tc>
          <w:tcPr>
            <w:tcW w:w="2835" w:type="dxa"/>
          </w:tcPr>
          <w:p w:rsidR="00280B90" w:rsidRPr="007A77D9" w:rsidRDefault="00280B90" w:rsidP="002277CD">
            <w:pPr>
              <w:spacing w:after="0" w:line="240" w:lineRule="auto"/>
              <w:rPr>
                <w:rFonts w:ascii="Times New Roman" w:eastAsia="바탕" w:hAnsi="Times New Roman"/>
                <w:b/>
                <w:bCs/>
                <w:color w:val="auto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Sex</w:t>
            </w:r>
          </w:p>
          <w:p w:rsidR="00280B90" w:rsidRPr="007A77D9" w:rsidRDefault="00280B90" w:rsidP="002277CD">
            <w:pPr>
              <w:spacing w:after="0" w:line="240" w:lineRule="auto"/>
              <w:ind w:firstLineChars="50" w:firstLine="110"/>
              <w:rPr>
                <w:rFonts w:ascii="Times New Roman" w:eastAsia="바탕" w:hAnsi="Times New Roman"/>
                <w:b/>
                <w:bCs/>
                <w:color w:val="auto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Male</w:t>
            </w:r>
          </w:p>
        </w:tc>
        <w:tc>
          <w:tcPr>
            <w:tcW w:w="795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0.30</w:t>
            </w:r>
          </w:p>
        </w:tc>
        <w:tc>
          <w:tcPr>
            <w:tcW w:w="722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1.21</w:t>
            </w:r>
          </w:p>
        </w:tc>
        <w:tc>
          <w:tcPr>
            <w:tcW w:w="1626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(0.78-1.86)</w:t>
            </w:r>
          </w:p>
        </w:tc>
        <w:tc>
          <w:tcPr>
            <w:tcW w:w="361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0.67</w:t>
            </w: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1.31</w:t>
            </w:r>
          </w:p>
        </w:tc>
        <w:tc>
          <w:tcPr>
            <w:tcW w:w="1626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(0.38-4.47)</w:t>
            </w:r>
          </w:p>
        </w:tc>
        <w:tc>
          <w:tcPr>
            <w:tcW w:w="271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0.21</w:t>
            </w:r>
          </w:p>
        </w:tc>
        <w:tc>
          <w:tcPr>
            <w:tcW w:w="1084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1.47</w:t>
            </w:r>
          </w:p>
        </w:tc>
        <w:tc>
          <w:tcPr>
            <w:tcW w:w="1479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(0.81-2.69)</w:t>
            </w:r>
          </w:p>
        </w:tc>
      </w:tr>
      <w:tr w:rsidR="00280B90" w:rsidRPr="007A77D9" w:rsidTr="00227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2835" w:type="dxa"/>
          </w:tcPr>
          <w:p w:rsidR="00280B90" w:rsidRPr="007A77D9" w:rsidRDefault="00280B90" w:rsidP="002277CD">
            <w:pPr>
              <w:spacing w:after="0" w:line="240" w:lineRule="auto"/>
              <w:rPr>
                <w:rFonts w:ascii="Times New Roman" w:eastAsia="바탕" w:hAnsi="Times New Roman"/>
                <w:b/>
                <w:bCs/>
                <w:color w:val="auto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Modified HAQ</w:t>
            </w:r>
          </w:p>
          <w:p w:rsidR="00280B90" w:rsidRPr="007A77D9" w:rsidRDefault="00280B90" w:rsidP="002277CD">
            <w:pPr>
              <w:spacing w:after="0" w:line="240" w:lineRule="auto"/>
              <w:ind w:firstLineChars="50" w:firstLine="110"/>
              <w:rPr>
                <w:rFonts w:ascii="Times New Roman" w:eastAsia="바탕" w:hAnsi="Times New Roman"/>
                <w:b/>
                <w:bCs/>
                <w:color w:val="auto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Score=0 (no disability)</w:t>
            </w:r>
          </w:p>
        </w:tc>
        <w:tc>
          <w:tcPr>
            <w:tcW w:w="795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0.01</w:t>
            </w:r>
          </w:p>
        </w:tc>
        <w:tc>
          <w:tcPr>
            <w:tcW w:w="722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1.80</w:t>
            </w:r>
          </w:p>
        </w:tc>
        <w:tc>
          <w:tcPr>
            <w:tcW w:w="1626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(1.18-2.74)</w:t>
            </w:r>
            <w:r w:rsidRPr="007A77D9">
              <w:rPr>
                <w:rFonts w:ascii="Times New Roman" w:eastAsia="바탕" w:hAnsi="Times New Roman"/>
                <w:color w:val="auto"/>
                <w:vertAlign w:val="superscript"/>
              </w:rPr>
              <w:t xml:space="preserve"> *</w:t>
            </w:r>
          </w:p>
        </w:tc>
        <w:tc>
          <w:tcPr>
            <w:tcW w:w="361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0.99</w:t>
            </w: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0.99</w:t>
            </w:r>
          </w:p>
        </w:tc>
        <w:tc>
          <w:tcPr>
            <w:tcW w:w="1626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(0.35-3.72)</w:t>
            </w:r>
          </w:p>
        </w:tc>
        <w:tc>
          <w:tcPr>
            <w:tcW w:w="271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&lt;0.01</w:t>
            </w:r>
          </w:p>
        </w:tc>
        <w:tc>
          <w:tcPr>
            <w:tcW w:w="1084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1.96</w:t>
            </w:r>
          </w:p>
        </w:tc>
        <w:tc>
          <w:tcPr>
            <w:tcW w:w="1479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 xml:space="preserve"> (1.21-3.16)</w:t>
            </w:r>
            <w:r w:rsidRPr="007A77D9">
              <w:rPr>
                <w:rFonts w:ascii="Times New Roman" w:eastAsia="바탕" w:hAnsi="Times New Roman"/>
                <w:color w:val="auto"/>
                <w:vertAlign w:val="superscript"/>
              </w:rPr>
              <w:t xml:space="preserve"> *</w:t>
            </w:r>
          </w:p>
        </w:tc>
      </w:tr>
      <w:tr w:rsidR="00280B90" w:rsidRPr="007A77D9" w:rsidTr="002277CD">
        <w:trPr>
          <w:trHeight w:val="345"/>
        </w:trPr>
        <w:tc>
          <w:tcPr>
            <w:tcW w:w="2835" w:type="dxa"/>
          </w:tcPr>
          <w:p w:rsidR="00280B90" w:rsidRPr="007A77D9" w:rsidRDefault="00280B90" w:rsidP="002277CD">
            <w:pPr>
              <w:spacing w:after="0" w:line="240" w:lineRule="auto"/>
              <w:rPr>
                <w:rFonts w:ascii="Times New Roman" w:eastAsia="바탕" w:hAnsi="Times New Roman"/>
                <w:b/>
                <w:bCs/>
                <w:color w:val="auto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Glucocorticoid use</w:t>
            </w:r>
          </w:p>
          <w:p w:rsidR="00280B90" w:rsidRPr="007A77D9" w:rsidRDefault="00280B90" w:rsidP="002277CD">
            <w:pPr>
              <w:spacing w:after="0" w:line="240" w:lineRule="auto"/>
              <w:ind w:firstLineChars="50" w:firstLine="110"/>
              <w:rPr>
                <w:rFonts w:ascii="Times New Roman" w:eastAsia="바탕" w:hAnsi="Times New Roman"/>
                <w:b/>
                <w:bCs/>
                <w:color w:val="auto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No</w:t>
            </w:r>
          </w:p>
        </w:tc>
        <w:tc>
          <w:tcPr>
            <w:tcW w:w="795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0.05</w:t>
            </w:r>
          </w:p>
        </w:tc>
        <w:tc>
          <w:tcPr>
            <w:tcW w:w="722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1.58</w:t>
            </w:r>
          </w:p>
        </w:tc>
        <w:tc>
          <w:tcPr>
            <w:tcW w:w="1626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(1.01-2.47)</w:t>
            </w:r>
            <w:r w:rsidRPr="007A77D9">
              <w:rPr>
                <w:rFonts w:ascii="Times New Roman" w:eastAsia="바탕" w:hAnsi="Times New Roman"/>
                <w:color w:val="auto"/>
                <w:vertAlign w:val="superscript"/>
              </w:rPr>
              <w:t xml:space="preserve"> *</w:t>
            </w:r>
          </w:p>
        </w:tc>
        <w:tc>
          <w:tcPr>
            <w:tcW w:w="361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0.53</w:t>
            </w: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1.74</w:t>
            </w:r>
          </w:p>
        </w:tc>
        <w:tc>
          <w:tcPr>
            <w:tcW w:w="1626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(0.31-9.74)</w:t>
            </w:r>
          </w:p>
        </w:tc>
        <w:tc>
          <w:tcPr>
            <w:tcW w:w="271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0.12</w:t>
            </w:r>
          </w:p>
        </w:tc>
        <w:tc>
          <w:tcPr>
            <w:tcW w:w="1084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1.48</w:t>
            </w:r>
          </w:p>
        </w:tc>
        <w:tc>
          <w:tcPr>
            <w:tcW w:w="1479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(0.90-2.41)</w:t>
            </w:r>
          </w:p>
        </w:tc>
      </w:tr>
      <w:tr w:rsidR="00280B90" w:rsidRPr="007A77D9" w:rsidTr="00227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2835" w:type="dxa"/>
          </w:tcPr>
          <w:p w:rsidR="00280B90" w:rsidRPr="007A77D9" w:rsidRDefault="00280B90" w:rsidP="002277CD">
            <w:pPr>
              <w:spacing w:after="0" w:line="240" w:lineRule="auto"/>
              <w:rPr>
                <w:rFonts w:ascii="Times New Roman" w:eastAsia="바탕" w:hAnsi="Times New Roman"/>
                <w:b/>
                <w:bCs/>
                <w:color w:val="auto"/>
              </w:rPr>
            </w:pPr>
            <w:proofErr w:type="spellStart"/>
            <w:r w:rsidRPr="007A77D9">
              <w:rPr>
                <w:rFonts w:ascii="Times New Roman" w:eastAsia="바탕" w:hAnsi="Times New Roman" w:hint="eastAsia"/>
                <w:bCs/>
                <w:color w:val="auto"/>
              </w:rPr>
              <w:t>C</w:t>
            </w:r>
            <w:r w:rsidRPr="007A77D9">
              <w:rPr>
                <w:rFonts w:ascii="Times New Roman" w:eastAsia="바탕" w:hAnsi="Times New Roman"/>
                <w:bCs/>
                <w:color w:val="auto"/>
              </w:rPr>
              <w:t>harlson</w:t>
            </w:r>
            <w:proofErr w:type="spellEnd"/>
            <w:r w:rsidRPr="007A77D9">
              <w:rPr>
                <w:rFonts w:ascii="Times New Roman" w:eastAsia="바탕" w:hAnsi="Times New Roman"/>
                <w:bCs/>
                <w:color w:val="auto"/>
              </w:rPr>
              <w:t xml:space="preserve"> comorbidity index</w:t>
            </w:r>
          </w:p>
          <w:p w:rsidR="00280B90" w:rsidRPr="007A77D9" w:rsidRDefault="00280B90" w:rsidP="002277CD">
            <w:pPr>
              <w:spacing w:after="0" w:line="240" w:lineRule="auto"/>
              <w:ind w:firstLineChars="50" w:firstLine="110"/>
              <w:rPr>
                <w:rFonts w:ascii="Times New Roman" w:eastAsia="바탕" w:hAnsi="Times New Roman"/>
                <w:b/>
                <w:bCs/>
                <w:color w:val="auto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No</w:t>
            </w:r>
          </w:p>
        </w:tc>
        <w:tc>
          <w:tcPr>
            <w:tcW w:w="795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0.39</w:t>
            </w:r>
          </w:p>
        </w:tc>
        <w:tc>
          <w:tcPr>
            <w:tcW w:w="722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1.21</w:t>
            </w:r>
          </w:p>
        </w:tc>
        <w:tc>
          <w:tcPr>
            <w:tcW w:w="1626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(0.78-1.87)</w:t>
            </w:r>
          </w:p>
        </w:tc>
        <w:tc>
          <w:tcPr>
            <w:tcW w:w="361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0.07</w:t>
            </w: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3.26</w:t>
            </w:r>
          </w:p>
        </w:tc>
        <w:tc>
          <w:tcPr>
            <w:tcW w:w="1626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(0.93-11.5)</w:t>
            </w:r>
          </w:p>
        </w:tc>
        <w:tc>
          <w:tcPr>
            <w:tcW w:w="271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0.78</w:t>
            </w:r>
          </w:p>
        </w:tc>
        <w:tc>
          <w:tcPr>
            <w:tcW w:w="1084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1.07</w:t>
            </w:r>
          </w:p>
        </w:tc>
        <w:tc>
          <w:tcPr>
            <w:tcW w:w="1479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(0.67-3.06)</w:t>
            </w:r>
          </w:p>
        </w:tc>
      </w:tr>
      <w:tr w:rsidR="00280B90" w:rsidRPr="007A77D9" w:rsidTr="002277CD">
        <w:trPr>
          <w:trHeight w:val="345"/>
        </w:trPr>
        <w:tc>
          <w:tcPr>
            <w:tcW w:w="2835" w:type="dxa"/>
          </w:tcPr>
          <w:p w:rsidR="00280B90" w:rsidRPr="007A77D9" w:rsidRDefault="00280B90" w:rsidP="002277CD">
            <w:pPr>
              <w:spacing w:after="0" w:line="240" w:lineRule="auto"/>
              <w:rPr>
                <w:rFonts w:ascii="Times New Roman" w:eastAsia="바탕" w:hAnsi="Times New Roman"/>
                <w:b/>
                <w:bCs/>
                <w:color w:val="auto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Rheumatoid factor</w:t>
            </w:r>
          </w:p>
          <w:p w:rsidR="00280B90" w:rsidRPr="007A77D9" w:rsidRDefault="00280B90" w:rsidP="002277CD">
            <w:pPr>
              <w:spacing w:after="0" w:line="240" w:lineRule="auto"/>
              <w:ind w:firstLineChars="50" w:firstLine="110"/>
              <w:rPr>
                <w:rFonts w:ascii="Times New Roman" w:eastAsia="바탕" w:hAnsi="Times New Roman"/>
                <w:b/>
                <w:bCs/>
                <w:color w:val="auto"/>
              </w:rPr>
            </w:pPr>
            <w:r w:rsidRPr="007A77D9">
              <w:rPr>
                <w:rFonts w:ascii="Times New Roman" w:eastAsia="바탕" w:hAnsi="Times New Roman"/>
                <w:bCs/>
                <w:color w:val="auto"/>
              </w:rPr>
              <w:t>Negative</w:t>
            </w:r>
          </w:p>
        </w:tc>
        <w:tc>
          <w:tcPr>
            <w:tcW w:w="795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0.44</w:t>
            </w:r>
          </w:p>
        </w:tc>
        <w:tc>
          <w:tcPr>
            <w:tcW w:w="722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1.27</w:t>
            </w:r>
          </w:p>
        </w:tc>
        <w:tc>
          <w:tcPr>
            <w:tcW w:w="1626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(0.69-2.35)</w:t>
            </w:r>
          </w:p>
        </w:tc>
        <w:tc>
          <w:tcPr>
            <w:tcW w:w="361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0.69</w:t>
            </w: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0.81</w:t>
            </w:r>
          </w:p>
        </w:tc>
        <w:tc>
          <w:tcPr>
            <w:tcW w:w="1626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(0.28-2.36)</w:t>
            </w:r>
          </w:p>
        </w:tc>
        <w:tc>
          <w:tcPr>
            <w:tcW w:w="271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</w:tc>
        <w:tc>
          <w:tcPr>
            <w:tcW w:w="993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0.41</w:t>
            </w:r>
          </w:p>
        </w:tc>
        <w:tc>
          <w:tcPr>
            <w:tcW w:w="1084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1.39</w:t>
            </w:r>
          </w:p>
        </w:tc>
        <w:tc>
          <w:tcPr>
            <w:tcW w:w="1479" w:type="dxa"/>
          </w:tcPr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</w:p>
          <w:p w:rsidR="00280B90" w:rsidRPr="007A77D9" w:rsidRDefault="00280B90" w:rsidP="002277CD">
            <w:pPr>
              <w:spacing w:after="0" w:line="240" w:lineRule="auto"/>
              <w:jc w:val="center"/>
              <w:rPr>
                <w:rFonts w:ascii="Times New Roman" w:eastAsia="바탕" w:hAnsi="Times New Roman"/>
                <w:color w:val="auto"/>
              </w:rPr>
            </w:pPr>
            <w:r w:rsidRPr="007A77D9">
              <w:rPr>
                <w:rFonts w:ascii="Times New Roman" w:eastAsia="바탕" w:hAnsi="Times New Roman"/>
                <w:color w:val="auto"/>
              </w:rPr>
              <w:t>(0.63-3.06)</w:t>
            </w:r>
          </w:p>
        </w:tc>
      </w:tr>
    </w:tbl>
    <w:p w:rsidR="00280B90" w:rsidRPr="007A77D9" w:rsidRDefault="00280B90" w:rsidP="00280B90">
      <w:pPr>
        <w:rPr>
          <w:rFonts w:ascii="Times New Roman" w:eastAsia="바탕" w:hAnsi="Times New Roman"/>
          <w:sz w:val="24"/>
          <w:szCs w:val="20"/>
        </w:rPr>
      </w:pPr>
      <w:r w:rsidRPr="007A77D9">
        <w:rPr>
          <w:rFonts w:ascii="Times New Roman" w:eastAsia="바탕" w:hAnsi="Times New Roman"/>
          <w:b/>
          <w:kern w:val="0"/>
          <w:sz w:val="24"/>
          <w:szCs w:val="24"/>
          <w:vertAlign w:val="superscript"/>
        </w:rPr>
        <w:t>*</w:t>
      </w:r>
      <w:r w:rsidRPr="007A77D9">
        <w:rPr>
          <w:rFonts w:ascii="Times New Roman" w:eastAsia="바탕" w:hAnsi="Times New Roman"/>
          <w:kern w:val="0"/>
          <w:szCs w:val="20"/>
        </w:rPr>
        <w:t xml:space="preserve">P&lt;0.05; BRASS, Brigham Rheumatoid Arthritis Sequential Study; KORONA, </w:t>
      </w:r>
      <w:proofErr w:type="spellStart"/>
      <w:r w:rsidRPr="007A77D9">
        <w:rPr>
          <w:rFonts w:ascii="Times New Roman" w:eastAsia="바탕" w:hAnsi="Times New Roman"/>
          <w:kern w:val="0"/>
          <w:szCs w:val="20"/>
        </w:rPr>
        <w:t>KORean</w:t>
      </w:r>
      <w:proofErr w:type="spellEnd"/>
      <w:r w:rsidRPr="007A77D9">
        <w:rPr>
          <w:rFonts w:ascii="Times New Roman" w:eastAsia="바탕" w:hAnsi="Times New Roman"/>
          <w:kern w:val="0"/>
          <w:szCs w:val="20"/>
        </w:rPr>
        <w:t xml:space="preserve"> Observational </w:t>
      </w:r>
      <w:proofErr w:type="gramStart"/>
      <w:r w:rsidRPr="007A77D9">
        <w:rPr>
          <w:rFonts w:ascii="Times New Roman" w:eastAsia="바탕" w:hAnsi="Times New Roman"/>
          <w:kern w:val="0"/>
          <w:szCs w:val="20"/>
        </w:rPr>
        <w:t>study</w:t>
      </w:r>
      <w:proofErr w:type="gramEnd"/>
      <w:r w:rsidRPr="007A77D9">
        <w:rPr>
          <w:rFonts w:ascii="Times New Roman" w:eastAsia="바탕" w:hAnsi="Times New Roman"/>
          <w:kern w:val="0"/>
          <w:szCs w:val="20"/>
        </w:rPr>
        <w:t xml:space="preserve"> Network for Arthritis; OR, odds ratio; CI, 95% confidence interval; HAQ, health assessment questionnaire </w:t>
      </w:r>
    </w:p>
    <w:p w:rsidR="002C57E2" w:rsidRPr="00280B90" w:rsidRDefault="002C57E2">
      <w:bookmarkStart w:id="0" w:name="_GoBack"/>
      <w:bookmarkEnd w:id="0"/>
    </w:p>
    <w:sectPr w:rsidR="002C57E2" w:rsidRPr="00280B90" w:rsidSect="00DC548D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90"/>
    <w:rsid w:val="00280B90"/>
    <w:rsid w:val="002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55811-B34D-4983-8F6C-98CAD569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90"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MS Mincho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ghtShading11">
    <w:name w:val="Light Shading11"/>
    <w:basedOn w:val="a1"/>
    <w:uiPriority w:val="60"/>
    <w:rsid w:val="00280B90"/>
    <w:pPr>
      <w:spacing w:after="0" w:line="240" w:lineRule="auto"/>
      <w:jc w:val="left"/>
    </w:pPr>
    <w:rPr>
      <w:rFonts w:ascii="맑은 고딕" w:eastAsia="MS Mincho" w:hAnsi="맑은 고딕" w:cs="Times New Roman"/>
      <w:color w:val="000000"/>
      <w:kern w:val="0"/>
      <w:sz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Cho, Sookyung</dc:creator>
  <cp:keywords/>
  <dc:description/>
  <cp:lastModifiedBy>Cho, Sookyung</cp:lastModifiedBy>
  <cp:revision>1</cp:revision>
  <dcterms:created xsi:type="dcterms:W3CDTF">2019-04-11T22:34:00Z</dcterms:created>
  <dcterms:modified xsi:type="dcterms:W3CDTF">2019-04-11T22:35:00Z</dcterms:modified>
</cp:coreProperties>
</file>