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30" w:rsidRPr="004E6F45" w:rsidRDefault="009E61CD" w:rsidP="00206F30">
      <w:pPr>
        <w:outlineLvl w:val="0"/>
        <w:rPr>
          <w:b/>
        </w:rPr>
      </w:pPr>
      <w:bookmarkStart w:id="0" w:name="_GoBack"/>
      <w:bookmarkEnd w:id="0"/>
      <w:r w:rsidRPr="004E6F45">
        <w:rPr>
          <w:b/>
        </w:rPr>
        <w:t>S</w:t>
      </w:r>
      <w:r>
        <w:rPr>
          <w:b/>
        </w:rPr>
        <w:t>1</w:t>
      </w:r>
      <w:r w:rsidRPr="004E6F45">
        <w:rPr>
          <w:b/>
        </w:rPr>
        <w:t xml:space="preserve"> </w:t>
      </w:r>
      <w:r w:rsidR="00206F30" w:rsidRPr="004E6F45">
        <w:rPr>
          <w:b/>
        </w:rPr>
        <w:t>T</w:t>
      </w:r>
      <w:r w:rsidR="00206F30">
        <w:rPr>
          <w:b/>
        </w:rPr>
        <w:t>able</w:t>
      </w:r>
      <w:r>
        <w:rPr>
          <w:b/>
        </w:rPr>
        <w:t>:</w:t>
      </w:r>
      <w:r w:rsidR="00206F30" w:rsidRPr="004E6F45">
        <w:rPr>
          <w:b/>
        </w:rPr>
        <w:t xml:space="preserve"> </w:t>
      </w:r>
      <w:r w:rsidR="0035462F">
        <w:rPr>
          <w:b/>
        </w:rPr>
        <w:t>D</w:t>
      </w:r>
      <w:r w:rsidR="0035462F" w:rsidRPr="004E6F45">
        <w:rPr>
          <w:b/>
        </w:rPr>
        <w:t xml:space="preserve">efinitions </w:t>
      </w:r>
      <w:r w:rsidR="0035462F">
        <w:rPr>
          <w:b/>
        </w:rPr>
        <w:t>for the components of the Socio-ecological Levels of C</w:t>
      </w:r>
      <w:r w:rsidR="00206F30" w:rsidRPr="004E6F45">
        <w:rPr>
          <w:b/>
        </w:rPr>
        <w:t>ontext</w:t>
      </w:r>
      <w:r w:rsidR="00206F30" w:rsidRPr="004E6F45">
        <w:rPr>
          <w:noProof/>
        </w:rPr>
        <w:t xml:space="preserve"> </w:t>
      </w:r>
      <w:r w:rsidR="00206F30" w:rsidRPr="004E6F45">
        <w:rPr>
          <w:b/>
        </w:rPr>
        <w:t>framework</w:t>
      </w:r>
      <w:r w:rsidR="00206F30">
        <w:rPr>
          <w:b/>
        </w:rPr>
        <w:t>.</w:t>
      </w:r>
    </w:p>
    <w:tbl>
      <w:tblPr>
        <w:tblW w:w="5000" w:type="pct"/>
        <w:tblBorders>
          <w:top w:val="single" w:sz="4" w:space="0" w:color="auto"/>
          <w:bottom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762"/>
        <w:gridCol w:w="11638"/>
      </w:tblGrid>
      <w:tr w:rsidR="00206F30" w:rsidRPr="00671C8E" w:rsidTr="004C2983">
        <w:trPr>
          <w:trHeight w:val="454"/>
        </w:trPr>
        <w:tc>
          <w:tcPr>
            <w:tcW w:w="959" w:type="pct"/>
            <w:shd w:val="clear" w:color="auto" w:fill="FFFFFF" w:themeFill="background1"/>
            <w:vAlign w:val="center"/>
          </w:tcPr>
          <w:p w:rsidR="00206F30" w:rsidRPr="00671C8E" w:rsidRDefault="00206F30" w:rsidP="004C2983">
            <w:pPr>
              <w:spacing w:after="0" w:line="240" w:lineRule="auto"/>
              <w:rPr>
                <w:rFonts w:ascii="Calibri" w:eastAsia="Times New Roman" w:hAnsi="Calibri" w:cs="Times New Roman"/>
                <w:i/>
                <w:color w:val="000000"/>
                <w:sz w:val="20"/>
                <w:szCs w:val="20"/>
              </w:rPr>
            </w:pPr>
            <w:r w:rsidRPr="00671C8E">
              <w:rPr>
                <w:rFonts w:ascii="Calibri" w:eastAsia="Times New Roman" w:hAnsi="Calibri" w:cs="Times New Roman"/>
                <w:b/>
                <w:color w:val="000000"/>
                <w:sz w:val="20"/>
              </w:rPr>
              <w:t>Level of Context &amp; Sub-level</w:t>
            </w:r>
          </w:p>
        </w:tc>
        <w:tc>
          <w:tcPr>
            <w:tcW w:w="4041" w:type="pct"/>
            <w:shd w:val="clear" w:color="auto" w:fill="FFFFFF" w:themeFill="background1"/>
            <w:vAlign w:val="center"/>
          </w:tcPr>
          <w:p w:rsidR="00206F30" w:rsidRPr="00671C8E" w:rsidRDefault="00206F30" w:rsidP="004C2983">
            <w:pPr>
              <w:spacing w:after="0" w:line="240" w:lineRule="auto"/>
              <w:jc w:val="center"/>
              <w:rPr>
                <w:rFonts w:ascii="Calibri" w:eastAsia="Times New Roman" w:hAnsi="Calibri" w:cs="Times New Roman"/>
                <w:b/>
                <w:bCs/>
                <w:color w:val="000000"/>
                <w:sz w:val="20"/>
              </w:rPr>
            </w:pPr>
            <w:r w:rsidRPr="00671C8E">
              <w:rPr>
                <w:rFonts w:ascii="Calibri" w:eastAsia="Times New Roman" w:hAnsi="Calibri" w:cs="Times New Roman"/>
                <w:b/>
                <w:bCs/>
                <w:color w:val="000000"/>
                <w:sz w:val="20"/>
              </w:rPr>
              <w:t>Definitions</w:t>
            </w:r>
          </w:p>
        </w:tc>
      </w:tr>
      <w:tr w:rsidR="00206F30" w:rsidRPr="00671C8E" w:rsidTr="004C2983">
        <w:trPr>
          <w:trHeight w:val="454"/>
        </w:trPr>
        <w:tc>
          <w:tcPr>
            <w:tcW w:w="5000" w:type="pct"/>
            <w:gridSpan w:val="2"/>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6"/>
              </w:rPr>
            </w:pPr>
            <w:r w:rsidRPr="00671C8E">
              <w:rPr>
                <w:rFonts w:ascii="Calibri" w:eastAsia="Times New Roman" w:hAnsi="Calibri" w:cs="Times New Roman"/>
                <w:b/>
                <w:bCs/>
                <w:color w:val="000000"/>
                <w:sz w:val="16"/>
                <w:szCs w:val="16"/>
              </w:rPr>
              <w:t>INDIVIDUAL OR FAMILY</w:t>
            </w:r>
          </w:p>
        </w:tc>
      </w:tr>
      <w:tr w:rsidR="00206F30" w:rsidRPr="00671C8E" w:rsidTr="004C2983">
        <w:trPr>
          <w:trHeight w:val="553"/>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20"/>
              </w:rPr>
            </w:pPr>
            <w:r w:rsidRPr="00671C8E">
              <w:rPr>
                <w:rFonts w:ascii="Calibri" w:eastAsia="Times New Roman" w:hAnsi="Calibri" w:cs="Times New Roman"/>
                <w:b/>
                <w:i/>
                <w:color w:val="000000"/>
                <w:sz w:val="16"/>
                <w:szCs w:val="20"/>
              </w:rPr>
              <w:t>Ability to Pay</w:t>
            </w:r>
          </w:p>
        </w:tc>
        <w:tc>
          <w:tcPr>
            <w:tcW w:w="4041" w:type="pct"/>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8"/>
              </w:rPr>
            </w:pPr>
            <w:r w:rsidRPr="00671C8E">
              <w:rPr>
                <w:sz w:val="16"/>
                <w:szCs w:val="23"/>
              </w:rPr>
              <w:t>Describes the capacity to generate economic resources - through income, savings, borrowing or loans - to pay for health care services without catastrophic expenditure of resources required for basic necessities (e.g. sale of home).</w:t>
            </w:r>
            <w:r w:rsidRPr="00671C8E">
              <w:rPr>
                <w:sz w:val="16"/>
                <w:szCs w:val="23"/>
              </w:rPr>
              <w:fldChar w:fldCharType="begin" w:fldLock="1"/>
            </w:r>
            <w:r>
              <w:rPr>
                <w:sz w:val="16"/>
                <w:szCs w:val="23"/>
              </w:rPr>
              <w:instrText>ADDIN CSL_CITATION { "citationItems" : [ { "id" : "ITEM-1", "itemData" : { "DOI" : "10.1186/1475-9276-12-18", "ISSN" : "1475-9276", "author" : [ { "dropping-particle" : "", "family" : "Levesque", "given" : "Jean-Frederic", "non-dropping-particle" : "", "parse-names" : false, "suffix" : "" }, { "dropping-particle" : "", "family" : "Harris", "given" : "Mark F", "non-dropping-particle" : "", "parse-names" : false, "suffix" : "" }, { "dropping-particle" : "", "family" : "Russell", "given" : "Grant", "non-dropping-particle" : "", "parse-names" : false, "suffix" : "" } ], "container-title" : "International Journal for Equity in Health", "id" : "ITEM-1", "issue" : "1", "issued" : { "date-parts" : [ [ "2013" ] ] }, "page" : "18", "title" : "Patient-centred access to health care: conceptualising access at the interface of health systems and populations", "type" : "article-journal", "volume" : "12" }, "uris" : [ "http://www.mendeley.com/documents/?uuid=fe235c65-657b-46a2-9c0d-87e69b8bf6ea" ] } ], "mendeley" : { "formattedCitation" : "[26]", "plainTextFormattedCitation" : "[26]", "previouslyFormattedCitation" : "(26)" }, "properties" : {  }, "schema" : "https://github.com/citation-style-language/schema/raw/master/csl-citation.json" }</w:instrText>
            </w:r>
            <w:r w:rsidRPr="00671C8E">
              <w:rPr>
                <w:sz w:val="16"/>
                <w:szCs w:val="23"/>
              </w:rPr>
              <w:fldChar w:fldCharType="separate"/>
            </w:r>
            <w:r w:rsidRPr="00494030">
              <w:rPr>
                <w:noProof/>
                <w:sz w:val="16"/>
                <w:szCs w:val="23"/>
              </w:rPr>
              <w:t>[26]</w:t>
            </w:r>
            <w:r w:rsidRPr="00671C8E">
              <w:rPr>
                <w:sz w:val="16"/>
                <w:szCs w:val="23"/>
              </w:rPr>
              <w:fldChar w:fldCharType="end"/>
            </w:r>
          </w:p>
        </w:tc>
      </w:tr>
      <w:tr w:rsidR="00206F30" w:rsidRPr="00671C8E" w:rsidTr="004C2983">
        <w:trPr>
          <w:trHeight w:val="1389"/>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20"/>
              </w:rPr>
            </w:pPr>
            <w:r w:rsidRPr="00671C8E">
              <w:rPr>
                <w:rFonts w:ascii="Calibri" w:eastAsia="Times New Roman" w:hAnsi="Calibri" w:cs="Times New Roman"/>
                <w:b/>
                <w:i/>
                <w:color w:val="000000"/>
                <w:sz w:val="16"/>
                <w:szCs w:val="20"/>
              </w:rPr>
              <w:t>Social Protection</w:t>
            </w:r>
          </w:p>
        </w:tc>
        <w:tc>
          <w:tcPr>
            <w:tcW w:w="4041" w:type="pct"/>
            <w:shd w:val="clear" w:color="auto" w:fill="FFFFFF" w:themeFill="background1"/>
            <w:vAlign w:val="center"/>
          </w:tcPr>
          <w:p w:rsidR="00206F30" w:rsidRPr="00671C8E" w:rsidRDefault="00206F30" w:rsidP="004C2983">
            <w:pPr>
              <w:spacing w:after="0" w:line="240" w:lineRule="auto"/>
              <w:rPr>
                <w:sz w:val="16"/>
                <w:szCs w:val="23"/>
              </w:rPr>
            </w:pPr>
            <w:r w:rsidRPr="00671C8E">
              <w:rPr>
                <w:sz w:val="16"/>
                <w:szCs w:val="23"/>
              </w:rPr>
              <w:t xml:space="preserve">At the individual level, this refers to whether the individual or family is eligible for or availing any of the following: </w:t>
            </w:r>
          </w:p>
          <w:p w:rsidR="00206F30" w:rsidRPr="00671C8E" w:rsidRDefault="00206F30" w:rsidP="004C2983">
            <w:pPr>
              <w:spacing w:after="0" w:line="240" w:lineRule="auto"/>
              <w:rPr>
                <w:sz w:val="16"/>
                <w:szCs w:val="23"/>
              </w:rPr>
            </w:pPr>
            <w:r w:rsidRPr="00671C8E">
              <w:rPr>
                <w:sz w:val="16"/>
                <w:szCs w:val="23"/>
              </w:rPr>
              <w:t>1) “public and private initiatives that provide income or consumption transfers to the poor, protect the vulnerable against livelihood risks and enhance the social status and rights of the marginalized; with the overall objective of reducing the economic and social vulnerability of poor, vulnerable and marginalized groups”;</w:t>
            </w:r>
            <w:r w:rsidRPr="00671C8E">
              <w:rPr>
                <w:sz w:val="16"/>
                <w:szCs w:val="23"/>
              </w:rPr>
              <w:fldChar w:fldCharType="begin" w:fldLock="1"/>
            </w:r>
            <w:r>
              <w:rPr>
                <w:sz w:val="16"/>
                <w:szCs w:val="23"/>
              </w:rPr>
              <w:instrText>ADDIN CSL_CITATION { "citationItems" : [ { "id" : "ITEM-1", "itemData" : { "author" : [ { "dropping-particle" : "", "family" : "Devereux", "given" : "Stephen", "non-dropping-particle" : "", "parse-names" : false, "suffix" : "" }, { "dropping-particle" : "", "family" : "Sabates-Wheeler", "given" : "Rachel", "non-dropping-particle" : "", "parse-names" : false, "suffix" : "" } ], "collection-title" : "IDS Working Paper 232", "id" : "ITEM-1", "issued" : { "date-parts" : [ [ "2004" ] ] }, "publisher-place" : "Brighton, Sussex", "title" : "Transformative social protection", "type" : "report" }, "uris" : [ "http://www.mendeley.com/documents/?uuid=d5f55f64-257a-4ef6-8b77-b698a6b8bec1" ] } ], "mendeley" : { "formattedCitation" : "[27]", "plainTextFormattedCitation" : "[27]", "previouslyFormattedCitation" : "(27)" }, "properties" : {  }, "schema" : "https://github.com/citation-style-language/schema/raw/master/csl-citation.json" }</w:instrText>
            </w:r>
            <w:r w:rsidRPr="00671C8E">
              <w:rPr>
                <w:sz w:val="16"/>
                <w:szCs w:val="23"/>
              </w:rPr>
              <w:fldChar w:fldCharType="separate"/>
            </w:r>
            <w:r w:rsidRPr="00494030">
              <w:rPr>
                <w:noProof/>
                <w:sz w:val="16"/>
                <w:szCs w:val="23"/>
              </w:rPr>
              <w:t>[27]</w:t>
            </w:r>
            <w:r w:rsidRPr="00671C8E">
              <w:rPr>
                <w:sz w:val="16"/>
                <w:szCs w:val="23"/>
              </w:rPr>
              <w:fldChar w:fldCharType="end"/>
            </w:r>
            <w:r w:rsidRPr="00671C8E">
              <w:rPr>
                <w:sz w:val="16"/>
                <w:szCs w:val="23"/>
              </w:rPr>
              <w:t xml:space="preserve"> </w:t>
            </w:r>
          </w:p>
          <w:p w:rsidR="00206F30" w:rsidRPr="00671C8E" w:rsidRDefault="00206F30" w:rsidP="004C2983">
            <w:pPr>
              <w:spacing w:after="0" w:line="240" w:lineRule="auto"/>
              <w:rPr>
                <w:sz w:val="16"/>
                <w:szCs w:val="23"/>
              </w:rPr>
            </w:pPr>
            <w:r w:rsidRPr="00671C8E">
              <w:rPr>
                <w:sz w:val="16"/>
                <w:szCs w:val="23"/>
              </w:rPr>
              <w:t>2) Includes social policy definitions in high-income countries where social protection is usually provided by the state. It is theoretically conceived as part of the ‘state-citizen’ contract, in which states and citizens have rights and responsibilities to each other;</w:t>
            </w:r>
            <w:r w:rsidRPr="00671C8E">
              <w:rPr>
                <w:sz w:val="16"/>
                <w:szCs w:val="23"/>
              </w:rPr>
              <w:fldChar w:fldCharType="begin" w:fldLock="1"/>
            </w:r>
            <w:r>
              <w:rPr>
                <w:sz w:val="16"/>
                <w:szCs w:val="23"/>
              </w:rPr>
              <w:instrText>ADDIN CSL_CITATION { "citationItems" : [ { "id" : "ITEM-1", "itemData" : { "author" : [ { "dropping-particle" : "", "family" : "Devereux", "given" : "Stephen", "non-dropping-particle" : "", "parse-names" : false, "suffix" : "" }, { "dropping-particle" : "", "family" : "Sabates-Wheeler", "given" : "Rachel", "non-dropping-particle" : "", "parse-names" : false, "suffix" : "" } ], "collection-title" : "IDS Working Paper 232", "id" : "ITEM-1", "issued" : { "date-parts" : [ [ "2004" ] ] }, "publisher-place" : "Brighton, Sussex", "title" : "Transformative social protection", "type" : "report" }, "uris" : [ "http://www.mendeley.com/documents/?uuid=d5f55f64-257a-4ef6-8b77-b698a6b8bec1" ] } ], "mendeley" : { "formattedCitation" : "[27]", "plainTextFormattedCitation" : "[27]", "previouslyFormattedCitation" : "(27)" }, "properties" : {  }, "schema" : "https://github.com/citation-style-language/schema/raw/master/csl-citation.json" }</w:instrText>
            </w:r>
            <w:r w:rsidRPr="00671C8E">
              <w:rPr>
                <w:sz w:val="16"/>
                <w:szCs w:val="23"/>
              </w:rPr>
              <w:fldChar w:fldCharType="separate"/>
            </w:r>
            <w:r w:rsidRPr="00494030">
              <w:rPr>
                <w:noProof/>
                <w:sz w:val="16"/>
                <w:szCs w:val="23"/>
              </w:rPr>
              <w:t>[27]</w:t>
            </w:r>
            <w:r w:rsidRPr="00671C8E">
              <w:rPr>
                <w:sz w:val="16"/>
                <w:szCs w:val="23"/>
              </w:rPr>
              <w:fldChar w:fldCharType="end"/>
            </w:r>
            <w:r w:rsidRPr="00671C8E">
              <w:rPr>
                <w:sz w:val="16"/>
                <w:szCs w:val="23"/>
              </w:rPr>
              <w:t xml:space="preserve"> and</w:t>
            </w:r>
          </w:p>
          <w:p w:rsidR="00206F30" w:rsidRPr="00671C8E" w:rsidRDefault="00206F30" w:rsidP="004C2983">
            <w:pPr>
              <w:spacing w:after="0" w:line="240" w:lineRule="auto"/>
              <w:rPr>
                <w:rFonts w:eastAsia="Times New Roman" w:cs="Times New Roman"/>
                <w:color w:val="000000"/>
                <w:sz w:val="16"/>
                <w:szCs w:val="18"/>
              </w:rPr>
            </w:pPr>
            <w:r w:rsidRPr="00671C8E">
              <w:rPr>
                <w:sz w:val="16"/>
                <w:szCs w:val="23"/>
              </w:rPr>
              <w:t>3) Includes private/public/employer provided health insurance or other health benefits that cover part or whole healthcare costs incurred by the individual in both HICs and LMICs.</w:t>
            </w:r>
          </w:p>
        </w:tc>
      </w:tr>
      <w:tr w:rsidR="00206F30" w:rsidRPr="00671C8E" w:rsidTr="004C2983">
        <w:trPr>
          <w:trHeight w:val="807"/>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20"/>
              </w:rPr>
            </w:pPr>
            <w:r w:rsidRPr="00671C8E">
              <w:rPr>
                <w:rFonts w:ascii="Calibri" w:eastAsia="Times New Roman" w:hAnsi="Calibri" w:cs="Times New Roman"/>
                <w:b/>
                <w:i/>
                <w:color w:val="000000"/>
                <w:sz w:val="16"/>
                <w:szCs w:val="20"/>
              </w:rPr>
              <w:t>Sources of knowledge</w:t>
            </w:r>
          </w:p>
        </w:tc>
        <w:tc>
          <w:tcPr>
            <w:tcW w:w="4041" w:type="pct"/>
            <w:shd w:val="clear" w:color="auto" w:fill="FFFFFF" w:themeFill="background1"/>
            <w:noWrap/>
            <w:vAlign w:val="center"/>
          </w:tcPr>
          <w:p w:rsidR="00206F30" w:rsidRPr="00671C8E" w:rsidRDefault="00206F30" w:rsidP="004C2983">
            <w:pPr>
              <w:spacing w:after="0" w:line="240" w:lineRule="auto"/>
              <w:rPr>
                <w:rFonts w:eastAsia="Times New Roman" w:cs="Times New Roman"/>
                <w:color w:val="000000"/>
                <w:sz w:val="16"/>
                <w:szCs w:val="18"/>
              </w:rPr>
            </w:pPr>
            <w:r w:rsidRPr="00671C8E">
              <w:rPr>
                <w:sz w:val="16"/>
                <w:szCs w:val="23"/>
              </w:rPr>
              <w:t>Refers to all access points used by health consumers (patients and their care givers) to better understand their health condition or support their health-related decisions. This could range from evidence-based medical opinions of experts and specialists, advice of friends and family, brochures and pamphlets from local health centers, or freely available or unauthenticated internet-based information.</w:t>
            </w:r>
          </w:p>
        </w:tc>
      </w:tr>
      <w:tr w:rsidR="00206F30" w:rsidRPr="00671C8E" w:rsidTr="004C2983">
        <w:trPr>
          <w:trHeight w:val="595"/>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20"/>
              </w:rPr>
            </w:pPr>
            <w:r w:rsidRPr="00671C8E">
              <w:rPr>
                <w:rFonts w:ascii="Calibri" w:eastAsia="Times New Roman" w:hAnsi="Calibri" w:cs="Times New Roman"/>
                <w:b/>
                <w:i/>
                <w:color w:val="000000"/>
                <w:sz w:val="16"/>
                <w:szCs w:val="20"/>
              </w:rPr>
              <w:t>Embedded social conditions</w:t>
            </w:r>
          </w:p>
        </w:tc>
        <w:tc>
          <w:tcPr>
            <w:tcW w:w="4041" w:type="pct"/>
            <w:shd w:val="clear" w:color="auto" w:fill="FFFFFF" w:themeFill="background1"/>
            <w:vAlign w:val="center"/>
          </w:tcPr>
          <w:p w:rsidR="00206F30" w:rsidRPr="00671C8E" w:rsidRDefault="00206F30" w:rsidP="004C2983">
            <w:pPr>
              <w:pStyle w:val="Default"/>
              <w:rPr>
                <w:sz w:val="16"/>
                <w:szCs w:val="23"/>
              </w:rPr>
            </w:pPr>
            <w:r w:rsidRPr="00671C8E">
              <w:rPr>
                <w:sz w:val="16"/>
                <w:szCs w:val="23"/>
              </w:rPr>
              <w:t>The situation an individual has in society because of his/her income, occupation or level of education. This includes the consequences of these social conditions such as class, stigma, discrimination, gender or power relations.</w:t>
            </w:r>
          </w:p>
        </w:tc>
      </w:tr>
      <w:tr w:rsidR="00206F30" w:rsidRPr="00671C8E" w:rsidTr="004C2983">
        <w:trPr>
          <w:trHeight w:val="454"/>
        </w:trPr>
        <w:tc>
          <w:tcPr>
            <w:tcW w:w="5000" w:type="pct"/>
            <w:gridSpan w:val="2"/>
            <w:shd w:val="clear" w:color="auto" w:fill="FFFFFF" w:themeFill="background1"/>
            <w:vAlign w:val="center"/>
          </w:tcPr>
          <w:p w:rsidR="00206F30" w:rsidRPr="00671C8E" w:rsidRDefault="00206F30" w:rsidP="004C2983">
            <w:pPr>
              <w:spacing w:after="0" w:line="240" w:lineRule="auto"/>
              <w:rPr>
                <w:rFonts w:eastAsia="Times New Roman" w:cs="Times New Roman"/>
                <w:b/>
                <w:color w:val="000000"/>
                <w:sz w:val="16"/>
                <w:szCs w:val="16"/>
              </w:rPr>
            </w:pPr>
            <w:r w:rsidRPr="00671C8E">
              <w:rPr>
                <w:rFonts w:ascii="Calibri" w:eastAsia="Times New Roman" w:hAnsi="Calibri" w:cs="Times New Roman"/>
                <w:b/>
                <w:color w:val="000000"/>
                <w:sz w:val="16"/>
                <w:szCs w:val="16"/>
              </w:rPr>
              <w:t>COMMUNITY</w:t>
            </w:r>
          </w:p>
        </w:tc>
      </w:tr>
      <w:tr w:rsidR="00206F30" w:rsidRPr="00671C8E" w:rsidTr="004C2983">
        <w:trPr>
          <w:trHeight w:val="554"/>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16"/>
              </w:rPr>
            </w:pPr>
            <w:r w:rsidRPr="00671C8E">
              <w:rPr>
                <w:rFonts w:ascii="Calibri" w:eastAsia="Times New Roman" w:hAnsi="Calibri" w:cs="Times New Roman"/>
                <w:b/>
                <w:i/>
                <w:color w:val="000000"/>
                <w:sz w:val="16"/>
                <w:szCs w:val="16"/>
              </w:rPr>
              <w:t>Community engagement</w:t>
            </w:r>
          </w:p>
        </w:tc>
        <w:tc>
          <w:tcPr>
            <w:tcW w:w="4041" w:type="pct"/>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6"/>
              </w:rPr>
            </w:pPr>
            <w:r w:rsidRPr="00671C8E">
              <w:rPr>
                <w:sz w:val="16"/>
                <w:szCs w:val="16"/>
              </w:rPr>
              <w:t>'Community engagement' is a planned process with the specific purpose of working with identified groups of people, whether they are connected by geographic location, special interest, or affiliation or identity to address issues affecting their collective health and well-being.</w:t>
            </w:r>
          </w:p>
        </w:tc>
      </w:tr>
      <w:tr w:rsidR="00206F30" w:rsidRPr="00671C8E" w:rsidTr="004C2983">
        <w:trPr>
          <w:trHeight w:val="406"/>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16"/>
              </w:rPr>
            </w:pPr>
            <w:r w:rsidRPr="00671C8E">
              <w:rPr>
                <w:rFonts w:ascii="Calibri" w:eastAsia="Times New Roman" w:hAnsi="Calibri" w:cs="Times New Roman"/>
                <w:b/>
                <w:i/>
                <w:color w:val="000000"/>
                <w:sz w:val="16"/>
                <w:szCs w:val="16"/>
              </w:rPr>
              <w:t>Social norms</w:t>
            </w:r>
          </w:p>
        </w:tc>
        <w:tc>
          <w:tcPr>
            <w:tcW w:w="4041" w:type="pct"/>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6"/>
              </w:rPr>
            </w:pPr>
            <w:r w:rsidRPr="00671C8E">
              <w:rPr>
                <w:sz w:val="16"/>
                <w:szCs w:val="16"/>
              </w:rPr>
              <w:t>Social norms are the customary rules that govern behavior in groups and societies.</w:t>
            </w:r>
            <w:r w:rsidRPr="00671C8E">
              <w:rPr>
                <w:sz w:val="16"/>
                <w:szCs w:val="16"/>
              </w:rPr>
              <w:fldChar w:fldCharType="begin" w:fldLock="1"/>
            </w:r>
            <w:r>
              <w:rPr>
                <w:sz w:val="16"/>
                <w:szCs w:val="16"/>
              </w:rPr>
              <w:instrText>ADDIN CSL_CITATION { "citationItems" : [ { "id" : "ITEM-1", "itemData" : { "URL" : "https://plato.stanford.edu/entries/social-norms/", "accessed" : { "date-parts" : [ [ "2018", "2", "19" ] ] }, "author" : [ { "dropping-particle" : "", "family" : "Stanford Encyclopedia of Philosophy", "given" : "", "non-dropping-particle" : "", "parse-names" : false, "suffix" : "" } ], "id" : "ITEM-1", "issued" : { "date-parts" : [ [ "2011" ] ] }, "title" : "Social Norms", "type" : "webpage" }, "uris" : [ "http://www.mendeley.com/documents/?uuid=7b7e8dd2-7b33-4ac5-b781-7841792cfc2f" ] } ], "mendeley" : { "formattedCitation" : "[28]", "plainTextFormattedCitation" : "[28]", "previouslyFormattedCitation" : "(28)" }, "properties" : {  }, "schema" : "https://github.com/citation-style-language/schema/raw/master/csl-citation.json" }</w:instrText>
            </w:r>
            <w:r w:rsidRPr="00671C8E">
              <w:rPr>
                <w:sz w:val="16"/>
                <w:szCs w:val="16"/>
              </w:rPr>
              <w:fldChar w:fldCharType="separate"/>
            </w:r>
            <w:r w:rsidRPr="00494030">
              <w:rPr>
                <w:noProof/>
                <w:sz w:val="16"/>
                <w:szCs w:val="16"/>
              </w:rPr>
              <w:t>[28]</w:t>
            </w:r>
            <w:r w:rsidRPr="00671C8E">
              <w:rPr>
                <w:sz w:val="16"/>
                <w:szCs w:val="16"/>
              </w:rPr>
              <w:fldChar w:fldCharType="end"/>
            </w:r>
            <w:r w:rsidRPr="00671C8E">
              <w:rPr>
                <w:rFonts w:eastAsia="Times New Roman" w:cs="Times New Roman"/>
                <w:color w:val="000000"/>
                <w:sz w:val="16"/>
                <w:szCs w:val="16"/>
              </w:rPr>
              <w:t xml:space="preserve"> </w:t>
            </w:r>
          </w:p>
        </w:tc>
      </w:tr>
      <w:tr w:rsidR="00206F30" w:rsidRPr="00671C8E" w:rsidTr="004C2983">
        <w:trPr>
          <w:trHeight w:val="581"/>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16"/>
              </w:rPr>
            </w:pPr>
            <w:r w:rsidRPr="00671C8E">
              <w:rPr>
                <w:rFonts w:ascii="Calibri" w:eastAsia="Times New Roman" w:hAnsi="Calibri" w:cs="Times New Roman"/>
                <w:b/>
                <w:i/>
                <w:color w:val="000000"/>
                <w:sz w:val="16"/>
                <w:szCs w:val="16"/>
              </w:rPr>
              <w:t xml:space="preserve">Sources of support </w:t>
            </w:r>
            <w:r w:rsidRPr="00671C8E">
              <w:rPr>
                <w:sz w:val="16"/>
                <w:szCs w:val="16"/>
              </w:rPr>
              <w:t>(and degree of social support)</w:t>
            </w:r>
          </w:p>
        </w:tc>
        <w:tc>
          <w:tcPr>
            <w:tcW w:w="4041" w:type="pct"/>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6"/>
              </w:rPr>
            </w:pPr>
            <w:r w:rsidRPr="00671C8E">
              <w:rPr>
                <w:sz w:val="16"/>
                <w:szCs w:val="16"/>
              </w:rPr>
              <w:t>Social support is a protective factor for emotional and physical well-being. Sources of social support range from close and stable relations, including friends, to more distant and unstable relations and even unrelated but influential members such as a religious leader or lay health workers.</w:t>
            </w:r>
          </w:p>
        </w:tc>
      </w:tr>
      <w:tr w:rsidR="00206F30" w:rsidRPr="00671C8E" w:rsidTr="004C2983">
        <w:trPr>
          <w:trHeight w:val="454"/>
        </w:trPr>
        <w:tc>
          <w:tcPr>
            <w:tcW w:w="5000" w:type="pct"/>
            <w:gridSpan w:val="2"/>
            <w:shd w:val="clear" w:color="auto" w:fill="FFFFFF" w:themeFill="background1"/>
            <w:vAlign w:val="center"/>
          </w:tcPr>
          <w:p w:rsidR="00206F30" w:rsidRPr="00671C8E" w:rsidRDefault="00206F30" w:rsidP="004C2983">
            <w:pPr>
              <w:spacing w:after="0" w:line="240" w:lineRule="auto"/>
              <w:rPr>
                <w:rFonts w:eastAsia="Times New Roman" w:cs="Times New Roman"/>
                <w:b/>
                <w:color w:val="000000"/>
                <w:sz w:val="16"/>
                <w:szCs w:val="16"/>
              </w:rPr>
            </w:pPr>
            <w:r w:rsidRPr="00671C8E">
              <w:rPr>
                <w:rFonts w:ascii="Calibri" w:eastAsia="Times New Roman" w:hAnsi="Calibri" w:cs="Times New Roman"/>
                <w:b/>
                <w:color w:val="000000"/>
                <w:sz w:val="16"/>
                <w:szCs w:val="16"/>
              </w:rPr>
              <w:t>HEALTHCARE SETTING</w:t>
            </w:r>
          </w:p>
        </w:tc>
      </w:tr>
      <w:tr w:rsidR="00206F30" w:rsidRPr="00671C8E" w:rsidTr="004C2983">
        <w:trPr>
          <w:trHeight w:val="781"/>
        </w:trPr>
        <w:tc>
          <w:tcPr>
            <w:tcW w:w="959" w:type="pct"/>
            <w:shd w:val="clear" w:color="auto" w:fill="FFFFFF" w:themeFill="background1"/>
            <w:vAlign w:val="center"/>
            <w:hideMark/>
          </w:tcPr>
          <w:p w:rsidR="00206F30" w:rsidRPr="00671C8E" w:rsidRDefault="00206F30" w:rsidP="004C2983">
            <w:pPr>
              <w:autoSpaceDE w:val="0"/>
              <w:autoSpaceDN w:val="0"/>
              <w:adjustRightInd w:val="0"/>
              <w:spacing w:after="0" w:line="240" w:lineRule="auto"/>
              <w:rPr>
                <w:rFonts w:ascii="Calibri" w:eastAsia="Times New Roman" w:hAnsi="Calibri" w:cs="Times New Roman"/>
                <w:i/>
                <w:color w:val="000000"/>
                <w:sz w:val="16"/>
                <w:szCs w:val="16"/>
              </w:rPr>
            </w:pPr>
            <w:r w:rsidRPr="00671C8E">
              <w:rPr>
                <w:rFonts w:ascii="Calibri" w:eastAsia="Times New Roman" w:hAnsi="Calibri" w:cs="Times New Roman"/>
                <w:b/>
                <w:i/>
                <w:color w:val="000000"/>
                <w:sz w:val="16"/>
                <w:szCs w:val="16"/>
              </w:rPr>
              <w:t>Facilities &amp; staffing</w:t>
            </w:r>
            <w:r w:rsidRPr="00671C8E">
              <w:rPr>
                <w:rFonts w:ascii="Calibri" w:eastAsia="Times New Roman" w:hAnsi="Calibri" w:cs="Times New Roman"/>
                <w:i/>
                <w:color w:val="000000"/>
                <w:sz w:val="16"/>
                <w:szCs w:val="16"/>
              </w:rPr>
              <w:t xml:space="preserve"> (individual healthcare facility/setting such as primary care setting) </w:t>
            </w:r>
          </w:p>
        </w:tc>
        <w:tc>
          <w:tcPr>
            <w:tcW w:w="4041" w:type="pct"/>
            <w:shd w:val="clear" w:color="auto" w:fill="FFFFFF" w:themeFill="background1"/>
            <w:vAlign w:val="center"/>
          </w:tcPr>
          <w:p w:rsidR="00206F30" w:rsidRPr="00671C8E" w:rsidRDefault="00206F30" w:rsidP="004C2983">
            <w:pPr>
              <w:autoSpaceDE w:val="0"/>
              <w:autoSpaceDN w:val="0"/>
              <w:adjustRightInd w:val="0"/>
              <w:spacing w:after="0" w:line="240" w:lineRule="auto"/>
              <w:rPr>
                <w:rFonts w:ascii="Calibri" w:hAnsi="Calibri" w:cs="Calibri"/>
                <w:color w:val="000000"/>
                <w:sz w:val="16"/>
                <w:szCs w:val="16"/>
              </w:rPr>
            </w:pPr>
            <w:r w:rsidRPr="00671C8E">
              <w:rPr>
                <w:rFonts w:ascii="Calibri" w:hAnsi="Calibri" w:cs="Calibri"/>
                <w:color w:val="000000"/>
                <w:sz w:val="16"/>
                <w:szCs w:val="16"/>
              </w:rPr>
              <w:t xml:space="preserve">Infrastructure, staffing and facilities available in healthcare for the condition under study, e.g. diabetes, hypertension, etc. </w:t>
            </w:r>
          </w:p>
          <w:p w:rsidR="00206F30" w:rsidRPr="00671C8E" w:rsidRDefault="00206F30" w:rsidP="004C2983">
            <w:pPr>
              <w:spacing w:after="0" w:line="240" w:lineRule="auto"/>
              <w:rPr>
                <w:rFonts w:eastAsia="Times New Roman" w:cs="Times New Roman"/>
                <w:color w:val="000000"/>
                <w:sz w:val="16"/>
                <w:szCs w:val="16"/>
              </w:rPr>
            </w:pPr>
          </w:p>
        </w:tc>
      </w:tr>
      <w:tr w:rsidR="00206F30" w:rsidRPr="00671C8E" w:rsidTr="004C2983">
        <w:trPr>
          <w:trHeight w:val="543"/>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i/>
                <w:color w:val="000000"/>
                <w:sz w:val="16"/>
                <w:szCs w:val="16"/>
              </w:rPr>
            </w:pPr>
            <w:r w:rsidRPr="00671C8E">
              <w:rPr>
                <w:rFonts w:ascii="Calibri" w:eastAsia="Times New Roman" w:hAnsi="Calibri" w:cs="Times New Roman"/>
                <w:b/>
                <w:i/>
                <w:color w:val="000000"/>
                <w:sz w:val="16"/>
                <w:szCs w:val="16"/>
              </w:rPr>
              <w:t>Cost of care</w:t>
            </w:r>
            <w:r w:rsidRPr="00671C8E">
              <w:rPr>
                <w:rFonts w:ascii="Calibri" w:eastAsia="Times New Roman" w:hAnsi="Calibri" w:cs="Times New Roman"/>
                <w:i/>
                <w:color w:val="000000"/>
                <w:sz w:val="16"/>
                <w:szCs w:val="16"/>
              </w:rPr>
              <w:t xml:space="preserve"> (system perspective)</w:t>
            </w:r>
          </w:p>
        </w:tc>
        <w:tc>
          <w:tcPr>
            <w:tcW w:w="4041" w:type="pct"/>
            <w:shd w:val="clear" w:color="auto" w:fill="FFFFFF" w:themeFill="background1"/>
            <w:noWrap/>
            <w:vAlign w:val="center"/>
          </w:tcPr>
          <w:p w:rsidR="00206F30" w:rsidRPr="00671C8E" w:rsidRDefault="00206F30" w:rsidP="004C2983">
            <w:pPr>
              <w:spacing w:after="0" w:line="240" w:lineRule="auto"/>
              <w:rPr>
                <w:rFonts w:eastAsia="Times New Roman" w:cs="Times New Roman"/>
                <w:color w:val="000000"/>
                <w:sz w:val="16"/>
                <w:szCs w:val="16"/>
              </w:rPr>
            </w:pPr>
            <w:r w:rsidRPr="00671C8E">
              <w:rPr>
                <w:rFonts w:ascii="Calibri" w:hAnsi="Calibri" w:cs="Calibri"/>
                <w:color w:val="000000"/>
                <w:sz w:val="16"/>
                <w:szCs w:val="16"/>
              </w:rPr>
              <w:t>Resources utilized, or cost incurred by the healthcare system or state to provide healthcare services to its citizens. For example, systemic / incremental costs can be estimated for new interventions or policies.</w:t>
            </w:r>
          </w:p>
        </w:tc>
      </w:tr>
      <w:tr w:rsidR="00206F30" w:rsidRPr="00671C8E" w:rsidTr="004C2983">
        <w:trPr>
          <w:trHeight w:val="1153"/>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i/>
                <w:color w:val="000000"/>
                <w:sz w:val="16"/>
                <w:szCs w:val="16"/>
              </w:rPr>
            </w:pPr>
            <w:r>
              <w:rPr>
                <w:rFonts w:ascii="Calibri" w:eastAsia="Times New Roman" w:hAnsi="Calibri" w:cs="Times New Roman"/>
                <w:b/>
                <w:i/>
                <w:color w:val="000000"/>
                <w:sz w:val="16"/>
                <w:szCs w:val="16"/>
              </w:rPr>
              <w:t xml:space="preserve">Organizational </w:t>
            </w:r>
            <w:r w:rsidRPr="00671C8E">
              <w:rPr>
                <w:rFonts w:ascii="Calibri" w:eastAsia="Times New Roman" w:hAnsi="Calibri" w:cs="Times New Roman"/>
                <w:b/>
                <w:i/>
                <w:color w:val="000000"/>
                <w:sz w:val="16"/>
                <w:szCs w:val="16"/>
              </w:rPr>
              <w:t>culture</w:t>
            </w:r>
            <w:r w:rsidRPr="00671C8E">
              <w:rPr>
                <w:rFonts w:ascii="Calibri" w:eastAsia="Times New Roman" w:hAnsi="Calibri" w:cs="Times New Roman"/>
                <w:i/>
                <w:color w:val="000000"/>
                <w:sz w:val="16"/>
                <w:szCs w:val="16"/>
              </w:rPr>
              <w:t xml:space="preserve"> (includes organization of services and related practices including unauthorized but prevalent practices such as informal payments)</w:t>
            </w:r>
          </w:p>
        </w:tc>
        <w:tc>
          <w:tcPr>
            <w:tcW w:w="4041" w:type="pct"/>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6"/>
              </w:rPr>
            </w:pPr>
            <w:r w:rsidRPr="00671C8E">
              <w:rPr>
                <w:rFonts w:ascii="Calibri" w:hAnsi="Calibri" w:cs="Calibri"/>
                <w:color w:val="000000"/>
                <w:sz w:val="16"/>
                <w:szCs w:val="16"/>
              </w:rPr>
              <w:t>Organizational culture is a system of shared assumptions, values, and beliefs, which governs how people dress, act and perform their jobs in organizations.</w:t>
            </w:r>
            <w:r w:rsidRPr="00671C8E">
              <w:rPr>
                <w:rFonts w:ascii="Calibri" w:hAnsi="Calibri" w:cs="Calibri"/>
                <w:color w:val="000000"/>
                <w:sz w:val="16"/>
                <w:szCs w:val="16"/>
              </w:rPr>
              <w:fldChar w:fldCharType="begin" w:fldLock="1"/>
            </w:r>
            <w:r>
              <w:rPr>
                <w:rFonts w:ascii="Calibri" w:hAnsi="Calibri" w:cs="Calibri"/>
                <w:color w:val="000000"/>
                <w:sz w:val="16"/>
                <w:szCs w:val="16"/>
              </w:rPr>
              <w:instrText>ADDIN CSL_CITATION { "citationItems" : [ { "id" : "ITEM-1", "itemData" : { "ISSN" : "1474-8231", "PMID" : "21887935", "abstract" : "Organizational culture is defined as the shared values and beliefs that guide behavior within each organization, and it matters because it is related to performance. While culture is generally considered important, it is mysterious and intangible to most leaders. The first step toward understanding organizational culture is to measure it properly. This chapter describes methods for measuring culture in health-care organizations and how these methods were implemented in a large academic medical center. Because of the consistent empirical link between the dimension of communication, other culture dimensions, and employee satisfaction, special attention is focused in this area. Specifically, a case study of successful communication behaviors during a major \"change management\" initiative at a large academic medical center is described. In summary, the purpose of this chapter is to demystify the concept of culture and demonstrate how to improve it.", "author" : [ { "dropping-particle" : "", "family" : "Pellegrin", "given" : "Karen L", "non-dropping-particle" : "", "parse-names" : false, "suffix" : "" }, { "dropping-particle" : "", "family" : "Currey", "given" : "Hal S", "non-dropping-particle" : "", "parse-names" : false, "suffix" : "" } ], "container-title" : "Advances in health care management", "id" : "ITEM-1", "issued" : { "date-parts" : [ [ "2011" ] ] }, "page" : "3-23", "title" : "Demystifying and improving organizational culture in health-care.", "type" : "article-journal", "volume" : "10" }, "uris" : [ "http://www.mendeley.com/documents/?uuid=360ff4ec-ebeb-4b15-8d46-92b6dba6f64c" ] } ], "mendeley" : { "formattedCitation" : "[29]", "plainTextFormattedCitation" : "[29]", "previouslyFormattedCitation" : "(29)" }, "properties" : {  }, "schema" : "https://github.com/citation-style-language/schema/raw/master/csl-citation.json" }</w:instrText>
            </w:r>
            <w:r w:rsidRPr="00671C8E">
              <w:rPr>
                <w:rFonts w:ascii="Calibri" w:hAnsi="Calibri" w:cs="Calibri"/>
                <w:color w:val="000000"/>
                <w:sz w:val="16"/>
                <w:szCs w:val="16"/>
              </w:rPr>
              <w:fldChar w:fldCharType="separate"/>
            </w:r>
            <w:r w:rsidRPr="00494030">
              <w:rPr>
                <w:rFonts w:ascii="Calibri" w:hAnsi="Calibri" w:cs="Calibri"/>
                <w:noProof/>
                <w:color w:val="000000"/>
                <w:sz w:val="16"/>
                <w:szCs w:val="16"/>
              </w:rPr>
              <w:t>[29]</w:t>
            </w:r>
            <w:r w:rsidRPr="00671C8E">
              <w:rPr>
                <w:rFonts w:ascii="Calibri" w:hAnsi="Calibri" w:cs="Calibri"/>
                <w:color w:val="000000"/>
                <w:sz w:val="16"/>
                <w:szCs w:val="16"/>
              </w:rPr>
              <w:fldChar w:fldCharType="end"/>
            </w:r>
          </w:p>
        </w:tc>
      </w:tr>
      <w:tr w:rsidR="00206F30" w:rsidRPr="00671C8E" w:rsidTr="004C2983">
        <w:trPr>
          <w:trHeight w:val="454"/>
        </w:trPr>
        <w:tc>
          <w:tcPr>
            <w:tcW w:w="5000" w:type="pct"/>
            <w:gridSpan w:val="2"/>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6"/>
              </w:rPr>
            </w:pPr>
            <w:r w:rsidRPr="00671C8E">
              <w:rPr>
                <w:rFonts w:ascii="Calibri" w:eastAsia="Times New Roman" w:hAnsi="Calibri" w:cs="Times New Roman"/>
                <w:b/>
                <w:color w:val="000000"/>
                <w:sz w:val="16"/>
                <w:szCs w:val="16"/>
              </w:rPr>
              <w:t>LOCAL OR DISTRICT LEVEL</w:t>
            </w:r>
          </w:p>
        </w:tc>
      </w:tr>
      <w:tr w:rsidR="00206F30" w:rsidRPr="00671C8E" w:rsidTr="004C2983">
        <w:trPr>
          <w:trHeight w:val="482"/>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16"/>
              </w:rPr>
            </w:pPr>
            <w:r w:rsidRPr="00671C8E">
              <w:rPr>
                <w:rFonts w:ascii="Calibri" w:eastAsia="Times New Roman" w:hAnsi="Calibri" w:cs="Times New Roman"/>
                <w:b/>
                <w:i/>
                <w:color w:val="000000"/>
                <w:sz w:val="16"/>
                <w:szCs w:val="16"/>
              </w:rPr>
              <w:t>Leadership &amp; administrative practices</w:t>
            </w:r>
          </w:p>
        </w:tc>
        <w:tc>
          <w:tcPr>
            <w:tcW w:w="4041" w:type="pct"/>
            <w:shd w:val="clear" w:color="auto" w:fill="FFFFFF" w:themeFill="background1"/>
            <w:noWrap/>
            <w:vAlign w:val="center"/>
          </w:tcPr>
          <w:p w:rsidR="00206F30" w:rsidRPr="00671C8E" w:rsidRDefault="00206F30" w:rsidP="004C2983">
            <w:pPr>
              <w:spacing w:after="0" w:line="240" w:lineRule="auto"/>
              <w:rPr>
                <w:rFonts w:eastAsia="Times New Roman" w:cs="Times New Roman"/>
                <w:color w:val="000000"/>
                <w:sz w:val="16"/>
                <w:szCs w:val="16"/>
              </w:rPr>
            </w:pPr>
            <w:r w:rsidRPr="00671C8E">
              <w:rPr>
                <w:rFonts w:ascii="Calibri" w:hAnsi="Calibri" w:cs="Calibri"/>
                <w:color w:val="000000"/>
                <w:sz w:val="16"/>
                <w:szCs w:val="16"/>
              </w:rPr>
              <w:t>How healthcare is organized/administered/practiced at the sub-national levels, e.g. identifying the healthcare remuneration system or staff recruitment policy in the district/state in which a specific health facility belongs.</w:t>
            </w:r>
          </w:p>
        </w:tc>
      </w:tr>
      <w:tr w:rsidR="00206F30" w:rsidRPr="00671C8E" w:rsidTr="004C2983">
        <w:trPr>
          <w:trHeight w:val="463"/>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16"/>
              </w:rPr>
            </w:pPr>
            <w:r w:rsidRPr="00671C8E">
              <w:rPr>
                <w:rFonts w:ascii="Calibri" w:eastAsia="Times New Roman" w:hAnsi="Calibri" w:cs="Times New Roman"/>
                <w:b/>
                <w:i/>
                <w:color w:val="000000"/>
                <w:sz w:val="16"/>
                <w:szCs w:val="16"/>
              </w:rPr>
              <w:lastRenderedPageBreak/>
              <w:t>Physical environment</w:t>
            </w:r>
          </w:p>
        </w:tc>
        <w:tc>
          <w:tcPr>
            <w:tcW w:w="4041" w:type="pct"/>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6"/>
              </w:rPr>
            </w:pPr>
            <w:r w:rsidRPr="00671C8E">
              <w:rPr>
                <w:rFonts w:ascii="Calibri" w:hAnsi="Calibri" w:cs="Calibri"/>
                <w:color w:val="000000"/>
                <w:sz w:val="16"/>
                <w:szCs w:val="16"/>
              </w:rPr>
              <w:t>Physical conditions of the environment in which people are born, live, learn, play, work, and age that are favorable or unfavorable to an active and healthy lifestyle.</w:t>
            </w:r>
          </w:p>
        </w:tc>
      </w:tr>
      <w:tr w:rsidR="00206F30" w:rsidRPr="00671C8E" w:rsidTr="004C2983">
        <w:trPr>
          <w:trHeight w:val="454"/>
        </w:trPr>
        <w:tc>
          <w:tcPr>
            <w:tcW w:w="5000" w:type="pct"/>
            <w:gridSpan w:val="2"/>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6"/>
              </w:rPr>
            </w:pPr>
            <w:r w:rsidRPr="00671C8E">
              <w:rPr>
                <w:rFonts w:ascii="Calibri" w:eastAsia="Times New Roman" w:hAnsi="Calibri" w:cs="Times New Roman"/>
                <w:b/>
                <w:color w:val="000000"/>
                <w:sz w:val="16"/>
                <w:szCs w:val="16"/>
              </w:rPr>
              <w:t>STATE OR NATIONAL LEVEL</w:t>
            </w:r>
          </w:p>
        </w:tc>
      </w:tr>
      <w:tr w:rsidR="00206F30" w:rsidRPr="00671C8E" w:rsidTr="004C2983">
        <w:trPr>
          <w:trHeight w:val="737"/>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16"/>
              </w:rPr>
            </w:pPr>
            <w:r w:rsidRPr="00671C8E">
              <w:rPr>
                <w:rFonts w:ascii="Calibri" w:eastAsia="Times New Roman" w:hAnsi="Calibri" w:cs="Times New Roman"/>
                <w:b/>
                <w:i/>
                <w:color w:val="000000"/>
                <w:sz w:val="16"/>
                <w:szCs w:val="16"/>
              </w:rPr>
              <w:t>Socio-political climate</w:t>
            </w:r>
          </w:p>
        </w:tc>
        <w:tc>
          <w:tcPr>
            <w:tcW w:w="4041" w:type="pct"/>
            <w:shd w:val="clear" w:color="auto" w:fill="FFFFFF" w:themeFill="background1"/>
            <w:vAlign w:val="center"/>
          </w:tcPr>
          <w:p w:rsidR="00206F30" w:rsidRPr="00671C8E" w:rsidRDefault="00206F30" w:rsidP="004C2983">
            <w:pPr>
              <w:spacing w:after="0" w:line="240" w:lineRule="auto"/>
              <w:rPr>
                <w:rFonts w:eastAsia="Times New Roman" w:cs="Times New Roman"/>
                <w:color w:val="000000"/>
                <w:sz w:val="16"/>
                <w:szCs w:val="16"/>
              </w:rPr>
            </w:pPr>
            <w:r w:rsidRPr="00671C8E">
              <w:rPr>
                <w:rFonts w:ascii="Calibri" w:hAnsi="Calibri" w:cs="Calibri"/>
                <w:color w:val="000000"/>
                <w:sz w:val="16"/>
                <w:szCs w:val="16"/>
              </w:rPr>
              <w:t>It is the aggregate, current mood and opinions of a populace on issues currently affecting that population and is influenced by both social attitudes towards and by political policies or viewpoints about the issue in question. For example, national policies governing migration create a socio-political climate in Europe that has an impact on research involving immigrant populations</w:t>
            </w:r>
          </w:p>
        </w:tc>
      </w:tr>
      <w:tr w:rsidR="00206F30" w:rsidRPr="00671C8E" w:rsidTr="004C2983">
        <w:trPr>
          <w:trHeight w:val="907"/>
        </w:trPr>
        <w:tc>
          <w:tcPr>
            <w:tcW w:w="959" w:type="pct"/>
            <w:shd w:val="clear" w:color="auto" w:fill="FFFFFF" w:themeFill="background1"/>
            <w:vAlign w:val="center"/>
            <w:hideMark/>
          </w:tcPr>
          <w:p w:rsidR="00206F30" w:rsidRPr="00671C8E" w:rsidRDefault="00206F30" w:rsidP="004C2983">
            <w:pPr>
              <w:spacing w:after="0" w:line="240" w:lineRule="auto"/>
              <w:rPr>
                <w:rFonts w:ascii="Calibri" w:eastAsia="Times New Roman" w:hAnsi="Calibri" w:cs="Times New Roman"/>
                <w:b/>
                <w:i/>
                <w:color w:val="000000"/>
                <w:sz w:val="16"/>
                <w:szCs w:val="16"/>
              </w:rPr>
            </w:pPr>
            <w:r w:rsidRPr="00671C8E">
              <w:rPr>
                <w:rFonts w:ascii="Calibri" w:eastAsia="Times New Roman" w:hAnsi="Calibri" w:cs="Times New Roman"/>
                <w:b/>
                <w:i/>
                <w:color w:val="000000"/>
                <w:sz w:val="16"/>
                <w:szCs w:val="16"/>
              </w:rPr>
              <w:t>National health &amp; welfare policies</w:t>
            </w:r>
          </w:p>
        </w:tc>
        <w:tc>
          <w:tcPr>
            <w:tcW w:w="4041" w:type="pct"/>
            <w:shd w:val="clear" w:color="auto" w:fill="FFFFFF" w:themeFill="background1"/>
            <w:vAlign w:val="center"/>
          </w:tcPr>
          <w:p w:rsidR="00206F30" w:rsidRPr="00671C8E" w:rsidRDefault="00206F30" w:rsidP="004C2983">
            <w:pPr>
              <w:spacing w:after="0" w:line="240" w:lineRule="auto"/>
              <w:rPr>
                <w:rFonts w:ascii="Calibri" w:eastAsia="Times New Roman" w:hAnsi="Calibri" w:cs="Times New Roman"/>
                <w:color w:val="000000"/>
                <w:sz w:val="16"/>
                <w:szCs w:val="16"/>
              </w:rPr>
            </w:pPr>
            <w:r w:rsidRPr="00671C8E">
              <w:rPr>
                <w:sz w:val="16"/>
                <w:szCs w:val="16"/>
              </w:rPr>
              <w:t>Refers to health and social services provided by a government for its citizens. Health policies generally include health promotion activities, primary care, and maternal and child health services. It could also include other preventive, curative or palliative services as decided by the state. Social welfare usually includes additional healthcare benefits for disadvantaged or vulnerable populations, specific subsidies or assistance for needy families, food benefits or housing assistance. Other programs, such as workers compensation, unemployment insurance and Social Security benefits are also included under social welfare policies and is variable across settings.</w:t>
            </w:r>
          </w:p>
        </w:tc>
      </w:tr>
    </w:tbl>
    <w:p w:rsidR="00206F30" w:rsidRPr="00671C8E" w:rsidRDefault="00206F30" w:rsidP="00206F30">
      <w:pPr>
        <w:pStyle w:val="Default"/>
        <w:rPr>
          <w:b/>
          <w:bCs/>
          <w:sz w:val="16"/>
          <w:szCs w:val="16"/>
        </w:rPr>
      </w:pPr>
    </w:p>
    <w:p w:rsidR="00206F30" w:rsidRPr="00671C8E" w:rsidRDefault="00206F30" w:rsidP="00206F30">
      <w:pPr>
        <w:pStyle w:val="Default"/>
        <w:outlineLvl w:val="0"/>
        <w:rPr>
          <w:sz w:val="16"/>
          <w:szCs w:val="16"/>
        </w:rPr>
      </w:pPr>
      <w:r w:rsidRPr="00671C8E">
        <w:rPr>
          <w:b/>
          <w:bCs/>
          <w:sz w:val="16"/>
          <w:szCs w:val="16"/>
        </w:rPr>
        <w:t xml:space="preserve">OVERARCHING THEME (applicable to all levels) </w:t>
      </w:r>
    </w:p>
    <w:p w:rsidR="00206F30" w:rsidRDefault="00206F30" w:rsidP="00206F30">
      <w:pPr>
        <w:pStyle w:val="Default"/>
        <w:rPr>
          <w:sz w:val="16"/>
          <w:szCs w:val="16"/>
        </w:rPr>
      </w:pPr>
      <w:r w:rsidRPr="00671C8E">
        <w:rPr>
          <w:b/>
          <w:bCs/>
          <w:sz w:val="16"/>
          <w:szCs w:val="16"/>
        </w:rPr>
        <w:t xml:space="preserve">Temporal trends: </w:t>
      </w:r>
      <w:r w:rsidRPr="00671C8E">
        <w:rPr>
          <w:sz w:val="16"/>
          <w:szCs w:val="16"/>
        </w:rPr>
        <w:t xml:space="preserve">This is originally a concept </w:t>
      </w:r>
      <w:r>
        <w:rPr>
          <w:sz w:val="16"/>
          <w:szCs w:val="16"/>
        </w:rPr>
        <w:t xml:space="preserve">in statistics and epidemiology, </w:t>
      </w:r>
      <w:r w:rsidRPr="00671C8E">
        <w:rPr>
          <w:sz w:val="16"/>
          <w:szCs w:val="16"/>
        </w:rPr>
        <w:t xml:space="preserve">and refers to background trends which occur normally in any setting that are not initiated or governed by the intervention or implementation activities but by virtue of its influence can affect the outcome of the intervention or implementation study. For example, a sudden increase in inflation rates leading to an increase in price of fruits and vegetables or a news report about pesticide contamination of local produce. Neither of these examples are a consequence of the intervention or implementation activities but will definitely affect the outcome, if the intervention has a </w:t>
      </w:r>
      <w:r>
        <w:rPr>
          <w:sz w:val="16"/>
          <w:szCs w:val="16"/>
        </w:rPr>
        <w:t>dietary / lifestyle component</w:t>
      </w:r>
    </w:p>
    <w:p w:rsidR="005F1D4F" w:rsidRDefault="005F1D4F" w:rsidP="00206F30">
      <w:pPr>
        <w:pStyle w:val="Default"/>
        <w:rPr>
          <w:sz w:val="16"/>
          <w:szCs w:val="16"/>
        </w:rPr>
      </w:pPr>
    </w:p>
    <w:p w:rsidR="007E790E" w:rsidRDefault="007E790E"/>
    <w:sectPr w:rsidR="007E790E" w:rsidSect="00E7659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48"/>
    <w:rsid w:val="00205B24"/>
    <w:rsid w:val="00206F30"/>
    <w:rsid w:val="0035462F"/>
    <w:rsid w:val="003A0253"/>
    <w:rsid w:val="004130C4"/>
    <w:rsid w:val="005F1D4F"/>
    <w:rsid w:val="006A51A5"/>
    <w:rsid w:val="00726980"/>
    <w:rsid w:val="007E790E"/>
    <w:rsid w:val="009E61CD"/>
    <w:rsid w:val="00AC7DB9"/>
    <w:rsid w:val="00AE2248"/>
    <w:rsid w:val="00CA42E9"/>
    <w:rsid w:val="00FC6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1600"/>
  <w15:chartTrackingRefBased/>
  <w15:docId w15:val="{87337DD0-D778-4322-8A0D-AFEEA777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A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AAC"/>
    <w:pPr>
      <w:spacing w:after="0" w:line="240" w:lineRule="auto"/>
    </w:pPr>
    <w:rPr>
      <w:lang w:val="en-US"/>
    </w:rPr>
  </w:style>
  <w:style w:type="table" w:styleId="PlainTable2">
    <w:name w:val="Plain Table 2"/>
    <w:basedOn w:val="TableNormal"/>
    <w:uiPriority w:val="42"/>
    <w:rsid w:val="00FC6AAC"/>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06F30"/>
    <w:pPr>
      <w:autoSpaceDE w:val="0"/>
      <w:autoSpaceDN w:val="0"/>
      <w:adjustRightInd w:val="0"/>
      <w:spacing w:after="0" w:line="240" w:lineRule="auto"/>
    </w:pPr>
    <w:rPr>
      <w:rFonts w:ascii="Calibri" w:hAnsi="Calibri" w:cs="Calibri"/>
      <w:color w:val="000000"/>
      <w:sz w:val="24"/>
      <w:szCs w:val="24"/>
      <w:lang w:val="en-US"/>
    </w:rPr>
  </w:style>
  <w:style w:type="character" w:styleId="LineNumber">
    <w:name w:val="line number"/>
    <w:basedOn w:val="DefaultParagraphFont"/>
    <w:uiPriority w:val="99"/>
    <w:semiHidden/>
    <w:unhideWhenUsed/>
    <w:rsid w:val="005F1D4F"/>
  </w:style>
  <w:style w:type="paragraph" w:styleId="CommentText">
    <w:name w:val="annotation text"/>
    <w:basedOn w:val="Normal"/>
    <w:link w:val="CommentTextChar"/>
    <w:uiPriority w:val="99"/>
    <w:unhideWhenUsed/>
    <w:rsid w:val="005F1D4F"/>
    <w:pPr>
      <w:spacing w:line="240" w:lineRule="auto"/>
    </w:pPr>
    <w:rPr>
      <w:sz w:val="20"/>
      <w:szCs w:val="20"/>
    </w:rPr>
  </w:style>
  <w:style w:type="character" w:customStyle="1" w:styleId="CommentTextChar">
    <w:name w:val="Comment Text Char"/>
    <w:basedOn w:val="DefaultParagraphFont"/>
    <w:link w:val="CommentText"/>
    <w:uiPriority w:val="99"/>
    <w:rsid w:val="005F1D4F"/>
    <w:rPr>
      <w:sz w:val="20"/>
      <w:szCs w:val="20"/>
      <w:lang w:val="en-US"/>
    </w:rPr>
  </w:style>
  <w:style w:type="paragraph" w:styleId="BalloonText">
    <w:name w:val="Balloon Text"/>
    <w:basedOn w:val="Normal"/>
    <w:link w:val="BalloonTextChar"/>
    <w:uiPriority w:val="99"/>
    <w:semiHidden/>
    <w:unhideWhenUsed/>
    <w:rsid w:val="005F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D4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Karolinska Institutet</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Sidney Annerstedt</dc:creator>
  <cp:keywords/>
  <dc:description/>
  <cp:lastModifiedBy>Kristi Sidney Annerstedt</cp:lastModifiedBy>
  <cp:revision>3</cp:revision>
  <dcterms:created xsi:type="dcterms:W3CDTF">2019-03-29T14:26:00Z</dcterms:created>
  <dcterms:modified xsi:type="dcterms:W3CDTF">2019-03-29T14:29:00Z</dcterms:modified>
</cp:coreProperties>
</file>