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6924" w:rsidRDefault="00C166DD" w:rsidP="00B87FA0">
      <w:pPr>
        <w:spacing w:line="360" w:lineRule="auto"/>
        <w:rPr>
          <w:sz w:val="28"/>
          <w:szCs w:val="28"/>
          <w:lang w:val="en-US"/>
        </w:rPr>
      </w:pPr>
      <w:proofErr w:type="gramStart"/>
      <w:r w:rsidRPr="00D93B12">
        <w:rPr>
          <w:sz w:val="28"/>
          <w:szCs w:val="28"/>
          <w:lang w:val="en-US"/>
        </w:rPr>
        <w:t xml:space="preserve">S1 </w:t>
      </w:r>
      <w:r w:rsidR="00361CF2">
        <w:rPr>
          <w:sz w:val="28"/>
          <w:szCs w:val="28"/>
          <w:lang w:val="en-US"/>
        </w:rPr>
        <w:t>Supporting Information</w:t>
      </w:r>
      <w:r w:rsidRPr="00D93B12">
        <w:rPr>
          <w:sz w:val="28"/>
          <w:szCs w:val="28"/>
          <w:lang w:val="en-US"/>
        </w:rPr>
        <w:t>.</w:t>
      </w:r>
      <w:proofErr w:type="gramEnd"/>
      <w:r w:rsidRPr="00D93B12">
        <w:rPr>
          <w:sz w:val="28"/>
          <w:szCs w:val="28"/>
          <w:lang w:val="en-US"/>
        </w:rPr>
        <w:t xml:space="preserve">  Portable-</w:t>
      </w:r>
      <w:r w:rsidR="00684A8D" w:rsidRPr="00D93B12">
        <w:rPr>
          <w:sz w:val="28"/>
          <w:szCs w:val="28"/>
          <w:lang w:val="en-US"/>
        </w:rPr>
        <w:t>XRF</w:t>
      </w:r>
      <w:r w:rsidR="00EB7911" w:rsidRPr="00D93B12">
        <w:rPr>
          <w:sz w:val="28"/>
          <w:szCs w:val="28"/>
          <w:lang w:val="en-US"/>
        </w:rPr>
        <w:t xml:space="preserve"> </w:t>
      </w:r>
      <w:r w:rsidR="00D01B26" w:rsidRPr="00D93B12">
        <w:rPr>
          <w:sz w:val="28"/>
          <w:szCs w:val="28"/>
          <w:lang w:val="en-US"/>
        </w:rPr>
        <w:t xml:space="preserve">– </w:t>
      </w:r>
      <w:r w:rsidR="005456AB" w:rsidRPr="00D93B12">
        <w:rPr>
          <w:sz w:val="28"/>
          <w:szCs w:val="28"/>
          <w:lang w:val="en-US"/>
        </w:rPr>
        <w:t>method</w:t>
      </w:r>
      <w:r w:rsidR="00B87FA0" w:rsidRPr="00D93B12">
        <w:rPr>
          <w:sz w:val="28"/>
          <w:szCs w:val="28"/>
          <w:lang w:val="en-US"/>
        </w:rPr>
        <w:t>s</w:t>
      </w:r>
      <w:r w:rsidR="005456AB" w:rsidRPr="00D93B12">
        <w:rPr>
          <w:sz w:val="28"/>
          <w:szCs w:val="28"/>
          <w:lang w:val="en-US"/>
        </w:rPr>
        <w:t xml:space="preserve"> and</w:t>
      </w:r>
      <w:r w:rsidR="00F06E26" w:rsidRPr="00D93B12">
        <w:rPr>
          <w:sz w:val="28"/>
          <w:szCs w:val="28"/>
          <w:lang w:val="en-US"/>
        </w:rPr>
        <w:t xml:space="preserve"> </w:t>
      </w:r>
      <w:r w:rsidR="005456AB" w:rsidRPr="00D93B12">
        <w:rPr>
          <w:sz w:val="28"/>
          <w:szCs w:val="28"/>
          <w:lang w:val="en-US"/>
        </w:rPr>
        <w:t>limitations</w:t>
      </w:r>
    </w:p>
    <w:p w:rsidR="006528D2" w:rsidRPr="00D93B12" w:rsidRDefault="006528D2" w:rsidP="00B87FA0">
      <w:pPr>
        <w:spacing w:line="360" w:lineRule="auto"/>
        <w:rPr>
          <w:sz w:val="28"/>
          <w:szCs w:val="28"/>
          <w:lang w:val="en-US"/>
        </w:rPr>
      </w:pPr>
    </w:p>
    <w:p w:rsidR="00A71E5A" w:rsidRDefault="008D3ECB" w:rsidP="00B87FA0">
      <w:pPr>
        <w:spacing w:line="360" w:lineRule="auto"/>
        <w:rPr>
          <w:lang w:val="en-US"/>
        </w:rPr>
      </w:pPr>
      <w:r w:rsidRPr="00725664">
        <w:rPr>
          <w:lang w:val="en-US"/>
        </w:rPr>
        <w:t xml:space="preserve">The decision to use </w:t>
      </w:r>
      <w:r w:rsidR="00B87FA0">
        <w:rPr>
          <w:lang w:val="en-US"/>
        </w:rPr>
        <w:t xml:space="preserve">a </w:t>
      </w:r>
      <w:r w:rsidRPr="00725664">
        <w:rPr>
          <w:lang w:val="en-US"/>
        </w:rPr>
        <w:t>p</w:t>
      </w:r>
      <w:r w:rsidR="00B87FA0">
        <w:rPr>
          <w:lang w:val="en-US"/>
        </w:rPr>
        <w:t>-</w:t>
      </w:r>
      <w:r w:rsidR="00EB7911" w:rsidRPr="00725664">
        <w:rPr>
          <w:lang w:val="en-US"/>
        </w:rPr>
        <w:t xml:space="preserve">XRF </w:t>
      </w:r>
      <w:r w:rsidR="00B87FA0">
        <w:rPr>
          <w:lang w:val="en-US"/>
        </w:rPr>
        <w:t>device</w:t>
      </w:r>
      <w:r w:rsidR="00E93584">
        <w:rPr>
          <w:lang w:val="en-US"/>
        </w:rPr>
        <w:t xml:space="preserve">, among </w:t>
      </w:r>
      <w:r w:rsidR="00EB7911" w:rsidRPr="00725664">
        <w:rPr>
          <w:lang w:val="en-US"/>
        </w:rPr>
        <w:t>other reasons</w:t>
      </w:r>
      <w:r w:rsidR="00E93584">
        <w:rPr>
          <w:lang w:val="en-US"/>
        </w:rPr>
        <w:t>, was</w:t>
      </w:r>
      <w:r w:rsidRPr="00725664">
        <w:rPr>
          <w:lang w:val="en-US"/>
        </w:rPr>
        <w:t xml:space="preserve"> </w:t>
      </w:r>
      <w:r w:rsidR="00E93584">
        <w:rPr>
          <w:lang w:val="en-US"/>
        </w:rPr>
        <w:t xml:space="preserve">based on </w:t>
      </w:r>
      <w:r w:rsidR="00C34C9B" w:rsidRPr="00725664">
        <w:rPr>
          <w:lang w:val="en-US"/>
        </w:rPr>
        <w:t>keep</w:t>
      </w:r>
      <w:r w:rsidR="00E93584">
        <w:rPr>
          <w:lang w:val="en-US"/>
        </w:rPr>
        <w:t xml:space="preserve">ing </w:t>
      </w:r>
      <w:r w:rsidR="00C34C9B" w:rsidRPr="00725664">
        <w:rPr>
          <w:lang w:val="en-US"/>
        </w:rPr>
        <w:t>the samples</w:t>
      </w:r>
      <w:r w:rsidR="00EB7911" w:rsidRPr="00725664">
        <w:rPr>
          <w:lang w:val="en-US"/>
        </w:rPr>
        <w:t xml:space="preserve"> and </w:t>
      </w:r>
      <w:r w:rsidR="00E93584">
        <w:rPr>
          <w:lang w:val="en-US"/>
        </w:rPr>
        <w:t>‘</w:t>
      </w:r>
      <w:r w:rsidR="00EB7911" w:rsidRPr="00725664">
        <w:rPr>
          <w:lang w:val="en-US"/>
        </w:rPr>
        <w:t>crucibles</w:t>
      </w:r>
      <w:r w:rsidR="00E93584">
        <w:rPr>
          <w:lang w:val="en-US"/>
        </w:rPr>
        <w:t>’</w:t>
      </w:r>
      <w:r w:rsidR="00EB7911" w:rsidRPr="00725664">
        <w:rPr>
          <w:lang w:val="en-US"/>
        </w:rPr>
        <w:t xml:space="preserve"> intact</w:t>
      </w:r>
      <w:r w:rsidR="007230D3" w:rsidRPr="00725664">
        <w:rPr>
          <w:lang w:val="en-US"/>
        </w:rPr>
        <w:t xml:space="preserve">. There is </w:t>
      </w:r>
      <w:r w:rsidR="00EB7911" w:rsidRPr="00725664">
        <w:rPr>
          <w:lang w:val="en-US"/>
        </w:rPr>
        <w:t xml:space="preserve">also </w:t>
      </w:r>
      <w:r w:rsidR="007230D3" w:rsidRPr="00725664">
        <w:rPr>
          <w:lang w:val="en-US"/>
        </w:rPr>
        <w:t>a</w:t>
      </w:r>
      <w:r w:rsidR="00A55115" w:rsidRPr="00725664">
        <w:rPr>
          <w:lang w:val="en-US"/>
        </w:rPr>
        <w:t xml:space="preserve"> responsibility </w:t>
      </w:r>
      <w:r w:rsidR="005D61A9" w:rsidRPr="00725664">
        <w:rPr>
          <w:lang w:val="en-US"/>
        </w:rPr>
        <w:t xml:space="preserve">for </w:t>
      </w:r>
      <w:r w:rsidR="00EB7911" w:rsidRPr="00725664">
        <w:rPr>
          <w:lang w:val="en-US"/>
        </w:rPr>
        <w:t>archaeological finds in general</w:t>
      </w:r>
      <w:r w:rsidR="005D61A9" w:rsidRPr="00725664">
        <w:rPr>
          <w:lang w:val="en-US"/>
        </w:rPr>
        <w:t>,</w:t>
      </w:r>
      <w:r w:rsidR="00E93584">
        <w:rPr>
          <w:lang w:val="en-US"/>
        </w:rPr>
        <w:t xml:space="preserve"> as</w:t>
      </w:r>
      <w:r w:rsidR="005D61A9" w:rsidRPr="00725664">
        <w:rPr>
          <w:lang w:val="en-US"/>
        </w:rPr>
        <w:t xml:space="preserve"> they are </w:t>
      </w:r>
      <w:r w:rsidR="00E93584">
        <w:rPr>
          <w:lang w:val="en-US"/>
        </w:rPr>
        <w:t xml:space="preserve">artefacts of </w:t>
      </w:r>
      <w:r w:rsidR="005D61A9" w:rsidRPr="00725664">
        <w:rPr>
          <w:lang w:val="en-US"/>
        </w:rPr>
        <w:t>cultural heritage and</w:t>
      </w:r>
      <w:r w:rsidR="00A55115" w:rsidRPr="00725664">
        <w:rPr>
          <w:lang w:val="en-US"/>
        </w:rPr>
        <w:t xml:space="preserve"> </w:t>
      </w:r>
      <w:r w:rsidR="00E93584">
        <w:rPr>
          <w:lang w:val="en-US"/>
        </w:rPr>
        <w:t>are extremely scarce</w:t>
      </w:r>
      <w:r w:rsidR="003104F1" w:rsidRPr="00725664">
        <w:rPr>
          <w:lang w:val="en-US"/>
        </w:rPr>
        <w:t xml:space="preserve">. </w:t>
      </w:r>
      <w:r w:rsidR="00F31C54" w:rsidRPr="00725664">
        <w:rPr>
          <w:lang w:val="en-US"/>
        </w:rPr>
        <w:t xml:space="preserve">As there are </w:t>
      </w:r>
      <w:r w:rsidR="007F23A1" w:rsidRPr="00725664">
        <w:rPr>
          <w:lang w:val="en-US"/>
        </w:rPr>
        <w:t>several well-</w:t>
      </w:r>
      <w:r w:rsidR="00F31C54" w:rsidRPr="00725664">
        <w:rPr>
          <w:lang w:val="en-US"/>
        </w:rPr>
        <w:t>known and severe</w:t>
      </w:r>
      <w:r w:rsidR="002E2BEF" w:rsidRPr="00725664">
        <w:rPr>
          <w:lang w:val="en-US"/>
        </w:rPr>
        <w:t xml:space="preserve"> problems </w:t>
      </w:r>
      <w:r w:rsidR="00E93584">
        <w:rPr>
          <w:lang w:val="en-US"/>
        </w:rPr>
        <w:t xml:space="preserve">presented when using the </w:t>
      </w:r>
      <w:r w:rsidR="002E2BEF" w:rsidRPr="00725664">
        <w:rPr>
          <w:lang w:val="en-US"/>
        </w:rPr>
        <w:t>p</w:t>
      </w:r>
      <w:r w:rsidR="00E93584">
        <w:rPr>
          <w:lang w:val="en-US"/>
        </w:rPr>
        <w:t>-</w:t>
      </w:r>
      <w:r w:rsidR="002E2BEF" w:rsidRPr="00725664">
        <w:rPr>
          <w:lang w:val="en-US"/>
        </w:rPr>
        <w:t>XRF</w:t>
      </w:r>
      <w:r w:rsidR="00E93584">
        <w:rPr>
          <w:lang w:val="en-US"/>
        </w:rPr>
        <w:t xml:space="preserve"> device</w:t>
      </w:r>
      <w:r w:rsidR="00F31C54" w:rsidRPr="00725664">
        <w:rPr>
          <w:lang w:val="en-US"/>
        </w:rPr>
        <w:t xml:space="preserve">, </w:t>
      </w:r>
      <w:r w:rsidR="00AD7ADA" w:rsidRPr="00725664">
        <w:rPr>
          <w:lang w:val="en-US"/>
        </w:rPr>
        <w:t xml:space="preserve">especially when </w:t>
      </w:r>
      <w:proofErr w:type="spellStart"/>
      <w:r w:rsidR="00AD7ADA" w:rsidRPr="00725664">
        <w:rPr>
          <w:lang w:val="en-US"/>
        </w:rPr>
        <w:t>analys</w:t>
      </w:r>
      <w:r w:rsidR="007F23A1" w:rsidRPr="00725664">
        <w:rPr>
          <w:lang w:val="en-US"/>
        </w:rPr>
        <w:t>ing</w:t>
      </w:r>
      <w:proofErr w:type="spellEnd"/>
      <w:r w:rsidR="007F23A1" w:rsidRPr="00725664">
        <w:rPr>
          <w:lang w:val="en-US"/>
        </w:rPr>
        <w:t xml:space="preserve"> prehistoric </w:t>
      </w:r>
      <w:r w:rsidR="008762F4" w:rsidRPr="00725664">
        <w:rPr>
          <w:lang w:val="en-US"/>
        </w:rPr>
        <w:t>ceramic</w:t>
      </w:r>
      <w:r w:rsidR="00EB7911" w:rsidRPr="00725664">
        <w:rPr>
          <w:lang w:val="en-US"/>
        </w:rPr>
        <w:t xml:space="preserve"> and slag</w:t>
      </w:r>
      <w:r w:rsidR="00B03682" w:rsidRPr="00725664">
        <w:rPr>
          <w:lang w:val="en-US"/>
        </w:rPr>
        <w:t>-like material</w:t>
      </w:r>
      <w:r w:rsidR="00EB7911" w:rsidRPr="00725664">
        <w:rPr>
          <w:lang w:val="en-US"/>
        </w:rPr>
        <w:t xml:space="preserve"> </w:t>
      </w:r>
      <w:r w:rsidR="008762F4" w:rsidRPr="00725664">
        <w:rPr>
          <w:lang w:val="en-US"/>
        </w:rPr>
        <w:t xml:space="preserve">without </w:t>
      </w:r>
      <w:r w:rsidR="00E93584">
        <w:rPr>
          <w:lang w:val="en-US"/>
        </w:rPr>
        <w:t>first h</w:t>
      </w:r>
      <w:r w:rsidR="008762F4" w:rsidRPr="00725664">
        <w:rPr>
          <w:lang w:val="en-US"/>
        </w:rPr>
        <w:t>omogeni</w:t>
      </w:r>
      <w:r w:rsidR="00E93584">
        <w:rPr>
          <w:lang w:val="en-US"/>
        </w:rPr>
        <w:t>z</w:t>
      </w:r>
      <w:r w:rsidR="007F23A1" w:rsidRPr="00725664">
        <w:rPr>
          <w:lang w:val="en-US"/>
        </w:rPr>
        <w:t xml:space="preserve">ing </w:t>
      </w:r>
      <w:r w:rsidR="00A805B0" w:rsidRPr="00725664">
        <w:rPr>
          <w:lang w:val="en-US"/>
        </w:rPr>
        <w:t>and</w:t>
      </w:r>
      <w:r w:rsidR="00B03682" w:rsidRPr="00725664">
        <w:rPr>
          <w:lang w:val="en-US"/>
        </w:rPr>
        <w:t xml:space="preserve"> </w:t>
      </w:r>
      <w:r w:rsidR="00E93584">
        <w:rPr>
          <w:lang w:val="en-US"/>
        </w:rPr>
        <w:t>pulverizing it</w:t>
      </w:r>
      <w:r w:rsidR="007F23A1" w:rsidRPr="00725664">
        <w:rPr>
          <w:lang w:val="en-US"/>
        </w:rPr>
        <w:t>,</w:t>
      </w:r>
      <w:r w:rsidR="00F31C54" w:rsidRPr="00725664">
        <w:rPr>
          <w:lang w:val="en-US"/>
        </w:rPr>
        <w:t xml:space="preserve"> a </w:t>
      </w:r>
      <w:r w:rsidR="00A805B0" w:rsidRPr="00725664">
        <w:rPr>
          <w:lang w:val="en-US"/>
        </w:rPr>
        <w:t xml:space="preserve">short </w:t>
      </w:r>
      <w:r w:rsidR="00F31C54" w:rsidRPr="00725664">
        <w:rPr>
          <w:lang w:val="en-US"/>
        </w:rPr>
        <w:t>discussion of</w:t>
      </w:r>
      <w:r w:rsidR="007F23A1" w:rsidRPr="00725664">
        <w:rPr>
          <w:lang w:val="en-US"/>
        </w:rPr>
        <w:t xml:space="preserve"> the</w:t>
      </w:r>
      <w:r w:rsidR="00F31C54" w:rsidRPr="00725664">
        <w:rPr>
          <w:lang w:val="en-US"/>
        </w:rPr>
        <w:t xml:space="preserve"> limit</w:t>
      </w:r>
      <w:r w:rsidR="00E93584">
        <w:rPr>
          <w:lang w:val="en-US"/>
        </w:rPr>
        <w:t>ations</w:t>
      </w:r>
      <w:r w:rsidR="00F31C54" w:rsidRPr="00725664">
        <w:rPr>
          <w:lang w:val="en-US"/>
        </w:rPr>
        <w:t xml:space="preserve"> and possibilities</w:t>
      </w:r>
      <w:r w:rsidR="002E2BEF" w:rsidRPr="00725664">
        <w:rPr>
          <w:lang w:val="en-US"/>
        </w:rPr>
        <w:t xml:space="preserve"> of the method</w:t>
      </w:r>
      <w:r w:rsidR="00E93584">
        <w:rPr>
          <w:lang w:val="en-US"/>
        </w:rPr>
        <w:t>ology</w:t>
      </w:r>
      <w:r w:rsidR="007F23A1" w:rsidRPr="00725664">
        <w:rPr>
          <w:lang w:val="en-US"/>
        </w:rPr>
        <w:t xml:space="preserve"> is required.</w:t>
      </w:r>
      <w:r w:rsidR="00A805B0" w:rsidRPr="00725664">
        <w:rPr>
          <w:lang w:val="en-US"/>
        </w:rPr>
        <w:t xml:space="preserve"> </w:t>
      </w:r>
      <w:r w:rsidR="0010735B" w:rsidRPr="00725664">
        <w:rPr>
          <w:lang w:val="en-US"/>
        </w:rPr>
        <w:t xml:space="preserve">Although </w:t>
      </w:r>
      <w:r w:rsidR="00E93584">
        <w:rPr>
          <w:lang w:val="en-US"/>
        </w:rPr>
        <w:t xml:space="preserve">the </w:t>
      </w:r>
      <w:r w:rsidR="0010735B" w:rsidRPr="00725664">
        <w:rPr>
          <w:lang w:val="en-US"/>
        </w:rPr>
        <w:t>p</w:t>
      </w:r>
      <w:r w:rsidR="00E93584">
        <w:rPr>
          <w:lang w:val="en-US"/>
        </w:rPr>
        <w:t>-</w:t>
      </w:r>
      <w:r w:rsidR="0010735B" w:rsidRPr="00725664">
        <w:rPr>
          <w:lang w:val="en-US"/>
        </w:rPr>
        <w:t>XRF is often referred to provide only qualitative data</w:t>
      </w:r>
      <w:r w:rsidR="001B0FDC" w:rsidRPr="00725664">
        <w:rPr>
          <w:lang w:val="en-US"/>
        </w:rPr>
        <w:t>,</w:t>
      </w:r>
      <w:r w:rsidR="0010735B" w:rsidRPr="00725664">
        <w:rPr>
          <w:lang w:val="en-US"/>
        </w:rPr>
        <w:t xml:space="preserve"> a comparison with results from SEM indicates that </w:t>
      </w:r>
      <w:r w:rsidR="00E93584">
        <w:rPr>
          <w:lang w:val="en-US"/>
        </w:rPr>
        <w:t xml:space="preserve">the </w:t>
      </w:r>
      <w:r w:rsidR="0010735B" w:rsidRPr="00725664">
        <w:rPr>
          <w:lang w:val="en-US"/>
        </w:rPr>
        <w:t>p</w:t>
      </w:r>
      <w:r w:rsidR="00E93584">
        <w:rPr>
          <w:lang w:val="en-US"/>
        </w:rPr>
        <w:t>-</w:t>
      </w:r>
      <w:r w:rsidR="0010735B" w:rsidRPr="00725664">
        <w:rPr>
          <w:lang w:val="en-US"/>
        </w:rPr>
        <w:t xml:space="preserve">XRF </w:t>
      </w:r>
      <w:r w:rsidR="001B0FDC" w:rsidRPr="00725664">
        <w:rPr>
          <w:lang w:val="en-US"/>
        </w:rPr>
        <w:t>yield</w:t>
      </w:r>
      <w:r w:rsidR="00E93584">
        <w:rPr>
          <w:lang w:val="en-US"/>
        </w:rPr>
        <w:t>s</w:t>
      </w:r>
      <w:r w:rsidR="001B0FDC" w:rsidRPr="00725664">
        <w:rPr>
          <w:lang w:val="en-US"/>
        </w:rPr>
        <w:t xml:space="preserve"> </w:t>
      </w:r>
      <w:r w:rsidR="0010735B" w:rsidRPr="00725664">
        <w:rPr>
          <w:lang w:val="en-US"/>
        </w:rPr>
        <w:t>qualitative</w:t>
      </w:r>
      <w:r w:rsidR="001B0FDC" w:rsidRPr="00725664">
        <w:rPr>
          <w:lang w:val="en-US"/>
        </w:rPr>
        <w:t xml:space="preserve"> measurement results </w:t>
      </w:r>
      <w:proofErr w:type="gramStart"/>
      <w:r w:rsidR="001B0FDC" w:rsidRPr="00725664">
        <w:rPr>
          <w:lang w:val="en-US"/>
        </w:rPr>
        <w:t>with a</w:t>
      </w:r>
      <w:proofErr w:type="gramEnd"/>
      <w:r w:rsidR="001B0FDC" w:rsidRPr="00725664">
        <w:rPr>
          <w:lang w:val="en-US"/>
        </w:rPr>
        <w:t xml:space="preserve"> certain, but often </w:t>
      </w:r>
      <w:r w:rsidR="00E93584">
        <w:rPr>
          <w:lang w:val="en-US"/>
        </w:rPr>
        <w:t>minimal</w:t>
      </w:r>
      <w:r w:rsidR="001B0FDC" w:rsidRPr="00725664">
        <w:rPr>
          <w:lang w:val="en-US"/>
        </w:rPr>
        <w:t xml:space="preserve"> bias, that can be used to sort the samples according to higher or lower </w:t>
      </w:r>
      <w:r w:rsidR="00E93584">
        <w:rPr>
          <w:lang w:val="en-US"/>
        </w:rPr>
        <w:t xml:space="preserve">amounts of </w:t>
      </w:r>
      <w:r w:rsidR="001B0FDC" w:rsidRPr="00725664">
        <w:rPr>
          <w:lang w:val="en-US"/>
        </w:rPr>
        <w:t>metal traces.</w:t>
      </w:r>
      <w:r w:rsidR="0010735B" w:rsidRPr="00725664">
        <w:rPr>
          <w:lang w:val="en-US"/>
        </w:rPr>
        <w:t xml:space="preserve">   </w:t>
      </w:r>
    </w:p>
    <w:p w:rsidR="00055A45" w:rsidRPr="00725664" w:rsidRDefault="00055A45" w:rsidP="00B87FA0">
      <w:pPr>
        <w:spacing w:line="360" w:lineRule="auto"/>
        <w:rPr>
          <w:lang w:val="en-US"/>
        </w:rPr>
      </w:pPr>
    </w:p>
    <w:p w:rsidR="00840E5A" w:rsidRPr="00D93B12" w:rsidRDefault="00840E5A" w:rsidP="00B87FA0">
      <w:pPr>
        <w:spacing w:line="360" w:lineRule="auto"/>
        <w:rPr>
          <w:sz w:val="28"/>
          <w:lang w:val="en-US"/>
        </w:rPr>
      </w:pPr>
      <w:r w:rsidRPr="00D93B12">
        <w:rPr>
          <w:sz w:val="28"/>
          <w:lang w:val="en-US"/>
        </w:rPr>
        <w:t>Device settings and procedure</w:t>
      </w:r>
    </w:p>
    <w:p w:rsidR="00374B4A" w:rsidRPr="00DC33D5" w:rsidRDefault="00E93584" w:rsidP="00DC33D5">
      <w:pPr>
        <w:spacing w:line="360" w:lineRule="auto"/>
        <w:rPr>
          <w:lang w:val="en-US"/>
        </w:rPr>
      </w:pPr>
      <w:r>
        <w:rPr>
          <w:lang w:val="en-US"/>
        </w:rPr>
        <w:t>It is outside the framework of this appendix to delve into excessive details, so</w:t>
      </w:r>
      <w:r w:rsidR="00B03682" w:rsidRPr="00725664">
        <w:rPr>
          <w:lang w:val="en-US"/>
        </w:rPr>
        <w:t xml:space="preserve"> we </w:t>
      </w:r>
      <w:r>
        <w:rPr>
          <w:lang w:val="en-US"/>
        </w:rPr>
        <w:t xml:space="preserve">believe </w:t>
      </w:r>
      <w:r w:rsidR="00B03682" w:rsidRPr="00725664">
        <w:rPr>
          <w:lang w:val="en-US"/>
        </w:rPr>
        <w:t xml:space="preserve">only a brief review of the most important factors </w:t>
      </w:r>
      <w:r>
        <w:rPr>
          <w:lang w:val="en-US"/>
        </w:rPr>
        <w:t>enabling</w:t>
      </w:r>
      <w:r w:rsidR="00B03682" w:rsidRPr="00725664">
        <w:rPr>
          <w:lang w:val="en-US"/>
        </w:rPr>
        <w:t xml:space="preserve"> us to get an idea of the reliability of the p</w:t>
      </w:r>
      <w:r>
        <w:rPr>
          <w:lang w:val="en-US"/>
        </w:rPr>
        <w:t>-</w:t>
      </w:r>
      <w:r w:rsidR="00B03682" w:rsidRPr="00725664">
        <w:rPr>
          <w:lang w:val="en-US"/>
        </w:rPr>
        <w:t>XRF measurements on the finds in focus</w:t>
      </w:r>
      <w:r>
        <w:rPr>
          <w:lang w:val="en-US"/>
        </w:rPr>
        <w:t xml:space="preserve"> is sufficient</w:t>
      </w:r>
      <w:r w:rsidR="00B03682" w:rsidRPr="00725664">
        <w:rPr>
          <w:lang w:val="en-US"/>
        </w:rPr>
        <w:t>. A great variety of</w:t>
      </w:r>
      <w:r w:rsidR="00374B4A" w:rsidRPr="00725664">
        <w:rPr>
          <w:lang w:val="en-US"/>
        </w:rPr>
        <w:t xml:space="preserve"> topics </w:t>
      </w:r>
      <w:r w:rsidR="00B03682" w:rsidRPr="00725664">
        <w:rPr>
          <w:lang w:val="en-US"/>
        </w:rPr>
        <w:t>on p</w:t>
      </w:r>
      <w:r>
        <w:rPr>
          <w:lang w:val="en-US"/>
        </w:rPr>
        <w:t>-</w:t>
      </w:r>
      <w:r w:rsidR="00B03682" w:rsidRPr="00725664">
        <w:rPr>
          <w:lang w:val="en-US"/>
        </w:rPr>
        <w:t xml:space="preserve">XRF analysis </w:t>
      </w:r>
      <w:r>
        <w:rPr>
          <w:lang w:val="en-US"/>
        </w:rPr>
        <w:t xml:space="preserve">has been </w:t>
      </w:r>
      <w:r w:rsidR="00B03682" w:rsidRPr="00725664">
        <w:rPr>
          <w:lang w:val="en-US"/>
        </w:rPr>
        <w:t>published</w:t>
      </w:r>
      <w:r>
        <w:rPr>
          <w:lang w:val="en-US"/>
        </w:rPr>
        <w:t xml:space="preserve"> </w:t>
      </w:r>
      <w:r w:rsidR="00374B4A" w:rsidRPr="00725664">
        <w:rPr>
          <w:lang w:val="en-US"/>
        </w:rPr>
        <w:t xml:space="preserve">concerning the sample preparation, device settings, </w:t>
      </w:r>
      <w:proofErr w:type="gramStart"/>
      <w:r w:rsidR="00374B4A" w:rsidRPr="00725664">
        <w:rPr>
          <w:lang w:val="en-US"/>
        </w:rPr>
        <w:t>the</w:t>
      </w:r>
      <w:proofErr w:type="gramEnd"/>
      <w:r w:rsidR="00374B4A" w:rsidRPr="00725664">
        <w:rPr>
          <w:lang w:val="en-US"/>
        </w:rPr>
        <w:t xml:space="preserve"> environmental conditions during the measurements, the data processing and calibration</w:t>
      </w:r>
      <w:r w:rsidR="00DF0138" w:rsidRPr="00725664">
        <w:rPr>
          <w:lang w:val="en-US"/>
        </w:rPr>
        <w:t>,</w:t>
      </w:r>
      <w:r w:rsidR="00374B4A" w:rsidRPr="00725664">
        <w:rPr>
          <w:lang w:val="en-US"/>
        </w:rPr>
        <w:t xml:space="preserve"> down to </w:t>
      </w:r>
      <w:r w:rsidR="003B16B4" w:rsidRPr="00725664">
        <w:rPr>
          <w:lang w:val="en-US"/>
        </w:rPr>
        <w:t>preliminary or final</w:t>
      </w:r>
      <w:r w:rsidR="00374B4A" w:rsidRPr="00725664">
        <w:rPr>
          <w:lang w:val="en-US"/>
        </w:rPr>
        <w:t xml:space="preserve"> interpretatio</w:t>
      </w:r>
      <w:r w:rsidR="0090550E" w:rsidRPr="00725664">
        <w:rPr>
          <w:lang w:val="en-US"/>
        </w:rPr>
        <w:t>n of the results</w:t>
      </w:r>
      <w:r w:rsidR="00B03682" w:rsidRPr="00725664">
        <w:rPr>
          <w:lang w:val="en-US"/>
        </w:rPr>
        <w:t>. These</w:t>
      </w:r>
      <w:r w:rsidR="0090550E" w:rsidRPr="00725664">
        <w:rPr>
          <w:lang w:val="en-US"/>
        </w:rPr>
        <w:t xml:space="preserve"> are discussed in</w:t>
      </w:r>
      <w:r w:rsidR="00374B4A" w:rsidRPr="00725664">
        <w:rPr>
          <w:lang w:val="en-US"/>
        </w:rPr>
        <w:t xml:space="preserve"> detail in </w:t>
      </w:r>
      <w:r>
        <w:rPr>
          <w:lang w:val="en-US"/>
        </w:rPr>
        <w:t xml:space="preserve">a multitude </w:t>
      </w:r>
      <w:r w:rsidR="00374B4A" w:rsidRPr="00725664">
        <w:rPr>
          <w:lang w:val="en-US"/>
        </w:rPr>
        <w:t>of excellent papers</w:t>
      </w:r>
      <w:r w:rsidR="00DF0138" w:rsidRPr="00725664">
        <w:rPr>
          <w:lang w:val="en-US"/>
        </w:rPr>
        <w:t xml:space="preserve"> on which we</w:t>
      </w:r>
      <w:r w:rsidR="00374B4A" w:rsidRPr="00725664">
        <w:rPr>
          <w:lang w:val="en-US"/>
        </w:rPr>
        <w:t xml:space="preserve"> rely and </w:t>
      </w:r>
      <w:r>
        <w:rPr>
          <w:lang w:val="en-US"/>
        </w:rPr>
        <w:t>to which we r</w:t>
      </w:r>
      <w:r w:rsidR="00374B4A" w:rsidRPr="00725664">
        <w:rPr>
          <w:lang w:val="en-US"/>
        </w:rPr>
        <w:t>efer</w:t>
      </w:r>
      <w:r w:rsidR="005F00A6" w:rsidRPr="00725664">
        <w:rPr>
          <w:lang w:val="en-US"/>
        </w:rPr>
        <w:t>. For pottery and geological/ore samples</w:t>
      </w:r>
      <w:r>
        <w:rPr>
          <w:lang w:val="en-US"/>
        </w:rPr>
        <w:t xml:space="preserve">, see: </w:t>
      </w:r>
      <w:proofErr w:type="spellStart"/>
      <w:r w:rsidR="00FF5515" w:rsidRPr="00725664">
        <w:rPr>
          <w:lang w:val="en-US"/>
        </w:rPr>
        <w:t>Böhme</w:t>
      </w:r>
      <w:proofErr w:type="spellEnd"/>
      <w:r w:rsidR="00FF5515" w:rsidRPr="00725664">
        <w:rPr>
          <w:lang w:val="en-US"/>
        </w:rPr>
        <w:t xml:space="preserve"> – </w:t>
      </w:r>
      <w:proofErr w:type="spellStart"/>
      <w:r w:rsidR="00FF5515" w:rsidRPr="00725664">
        <w:rPr>
          <w:lang w:val="en-US"/>
        </w:rPr>
        <w:t>Helfert</w:t>
      </w:r>
      <w:proofErr w:type="spellEnd"/>
      <w:r w:rsidR="00FF5515" w:rsidRPr="00725664">
        <w:rPr>
          <w:lang w:val="en-US"/>
        </w:rPr>
        <w:t xml:space="preserve"> 2010; </w:t>
      </w:r>
      <w:proofErr w:type="spellStart"/>
      <w:r w:rsidR="00FF5515" w:rsidRPr="00725664">
        <w:rPr>
          <w:lang w:val="en-US"/>
        </w:rPr>
        <w:t>Helfert</w:t>
      </w:r>
      <w:proofErr w:type="spellEnd"/>
      <w:r w:rsidR="00FF5515" w:rsidRPr="00725664">
        <w:rPr>
          <w:lang w:val="en-US"/>
        </w:rPr>
        <w:t xml:space="preserve"> 2010, 2013; </w:t>
      </w:r>
      <w:proofErr w:type="spellStart"/>
      <w:r w:rsidR="00FF5515" w:rsidRPr="00725664">
        <w:rPr>
          <w:lang w:val="en-US"/>
        </w:rPr>
        <w:t>Behrendt</w:t>
      </w:r>
      <w:proofErr w:type="spellEnd"/>
      <w:r w:rsidR="00FF5515" w:rsidRPr="00725664">
        <w:rPr>
          <w:lang w:val="en-US"/>
        </w:rPr>
        <w:t xml:space="preserve">  et al. 2012; Hunt – </w:t>
      </w:r>
      <w:proofErr w:type="spellStart"/>
      <w:r w:rsidR="00FF5515" w:rsidRPr="00725664">
        <w:rPr>
          <w:lang w:val="en-US"/>
        </w:rPr>
        <w:t>Speckman</w:t>
      </w:r>
      <w:proofErr w:type="spellEnd"/>
      <w:r w:rsidR="00FF5515" w:rsidRPr="00725664">
        <w:rPr>
          <w:lang w:val="en-US"/>
        </w:rPr>
        <w:t xml:space="preserve"> 2015; Hall et al. 2012, 2014; </w:t>
      </w:r>
      <w:proofErr w:type="spellStart"/>
      <w:r w:rsidR="00FF5515" w:rsidRPr="00725664">
        <w:rPr>
          <w:lang w:val="en-US"/>
        </w:rPr>
        <w:t>Gallhofer</w:t>
      </w:r>
      <w:proofErr w:type="spellEnd"/>
      <w:r w:rsidR="00FF5515" w:rsidRPr="00725664">
        <w:rPr>
          <w:lang w:val="en-US"/>
        </w:rPr>
        <w:t xml:space="preserve"> – </w:t>
      </w:r>
      <w:proofErr w:type="spellStart"/>
      <w:r w:rsidR="00FF5515" w:rsidRPr="00725664">
        <w:rPr>
          <w:lang w:val="en-US"/>
        </w:rPr>
        <w:t>Lottermoser</w:t>
      </w:r>
      <w:proofErr w:type="spellEnd"/>
      <w:r w:rsidR="00FF5515" w:rsidRPr="00725664">
        <w:rPr>
          <w:lang w:val="en-US"/>
        </w:rPr>
        <w:t xml:space="preserve"> 2018</w:t>
      </w:r>
      <w:r w:rsidR="006E2232" w:rsidRPr="00725664">
        <w:rPr>
          <w:lang w:val="en-US"/>
        </w:rPr>
        <w:t xml:space="preserve">; </w:t>
      </w:r>
      <w:proofErr w:type="spellStart"/>
      <w:r w:rsidR="006E2232" w:rsidRPr="00725664">
        <w:rPr>
          <w:lang w:val="en-US"/>
        </w:rPr>
        <w:t>Speckman</w:t>
      </w:r>
      <w:proofErr w:type="spellEnd"/>
      <w:r w:rsidR="006E2232" w:rsidRPr="00725664">
        <w:rPr>
          <w:lang w:val="en-US"/>
        </w:rPr>
        <w:t xml:space="preserve"> et al. 2011; </w:t>
      </w:r>
      <w:proofErr w:type="spellStart"/>
      <w:r w:rsidR="006E2232" w:rsidRPr="00725664">
        <w:rPr>
          <w:lang w:val="en-US"/>
        </w:rPr>
        <w:t>Piercey</w:t>
      </w:r>
      <w:proofErr w:type="spellEnd"/>
      <w:r w:rsidR="006E2232" w:rsidRPr="00725664">
        <w:rPr>
          <w:lang w:val="en-US"/>
        </w:rPr>
        <w:t xml:space="preserve"> – Devine 2014; Kenna et al. 2011; </w:t>
      </w:r>
      <w:proofErr w:type="spellStart"/>
      <w:r w:rsidR="006E2232" w:rsidRPr="00725664">
        <w:rPr>
          <w:lang w:val="en-US"/>
        </w:rPr>
        <w:t>Rouillon</w:t>
      </w:r>
      <w:proofErr w:type="spellEnd"/>
      <w:r w:rsidR="006E2232" w:rsidRPr="00725664">
        <w:rPr>
          <w:lang w:val="en-US"/>
        </w:rPr>
        <w:t xml:space="preserve"> – Taylor </w:t>
      </w:r>
      <w:r w:rsidR="006E2232" w:rsidRPr="00DC33D5">
        <w:rPr>
          <w:lang w:val="en-US"/>
        </w:rPr>
        <w:t>2016</w:t>
      </w:r>
      <w:r w:rsidR="0090550E" w:rsidRPr="00DC33D5">
        <w:rPr>
          <w:lang w:val="en-US"/>
        </w:rPr>
        <w:t xml:space="preserve">; </w:t>
      </w:r>
      <w:proofErr w:type="spellStart"/>
      <w:r w:rsidR="00DC33D5" w:rsidRPr="00DC33D5">
        <w:rPr>
          <w:lang w:val="en-US"/>
        </w:rPr>
        <w:t>Shugar</w:t>
      </w:r>
      <w:proofErr w:type="spellEnd"/>
      <w:r w:rsidR="00DC33D5" w:rsidRPr="00DC33D5">
        <w:rPr>
          <w:lang w:val="en-US"/>
        </w:rPr>
        <w:t xml:space="preserve"> 2013; </w:t>
      </w:r>
      <w:proofErr w:type="spellStart"/>
      <w:r w:rsidR="00DC33D5" w:rsidRPr="00DC33D5">
        <w:rPr>
          <w:lang w:val="en-US"/>
        </w:rPr>
        <w:t>Shugar</w:t>
      </w:r>
      <w:proofErr w:type="spellEnd"/>
      <w:r w:rsidR="00DC33D5" w:rsidRPr="00DC33D5">
        <w:rPr>
          <w:lang w:val="en-US"/>
        </w:rPr>
        <w:t xml:space="preserve"> – Mass 2012; </w:t>
      </w:r>
      <w:r w:rsidR="0090550E" w:rsidRPr="00DC33D5">
        <w:rPr>
          <w:lang w:val="en-US"/>
        </w:rPr>
        <w:t xml:space="preserve">Speakman – </w:t>
      </w:r>
      <w:proofErr w:type="spellStart"/>
      <w:r w:rsidR="0090550E" w:rsidRPr="00DC33D5">
        <w:rPr>
          <w:lang w:val="en-US"/>
        </w:rPr>
        <w:t>Shackley</w:t>
      </w:r>
      <w:proofErr w:type="spellEnd"/>
      <w:r w:rsidR="0090550E" w:rsidRPr="00DC33D5">
        <w:rPr>
          <w:lang w:val="en-US"/>
        </w:rPr>
        <w:t xml:space="preserve"> 2013</w:t>
      </w:r>
      <w:r w:rsidR="0017484C" w:rsidRPr="00DC33D5">
        <w:rPr>
          <w:lang w:val="en-US"/>
        </w:rPr>
        <w:t xml:space="preserve">; </w:t>
      </w:r>
      <w:r w:rsidR="0017484C" w:rsidRPr="00DC33D5">
        <w:rPr>
          <w:rFonts w:ascii="TimesNewRomanPSMT" w:hAnsi="TimesNewRomanPSMT" w:cs="TimesNewRomanPSMT"/>
          <w:lang w:val="en-US"/>
        </w:rPr>
        <w:t>Brand – Brand 2014</w:t>
      </w:r>
      <w:r w:rsidR="00374B4A" w:rsidRPr="00725664">
        <w:rPr>
          <w:lang w:val="en-US"/>
        </w:rPr>
        <w:t>.</w:t>
      </w:r>
      <w:r w:rsidR="00B03682" w:rsidRPr="00725664">
        <w:rPr>
          <w:lang w:val="en-US"/>
        </w:rPr>
        <w:t xml:space="preserve"> The </w:t>
      </w:r>
      <w:r w:rsidR="00C163F9" w:rsidRPr="00725664">
        <w:rPr>
          <w:lang w:val="en-US"/>
        </w:rPr>
        <w:t>p</w:t>
      </w:r>
      <w:r>
        <w:rPr>
          <w:lang w:val="en-US"/>
        </w:rPr>
        <w:t>-</w:t>
      </w:r>
      <w:r w:rsidR="00C163F9" w:rsidRPr="00725664">
        <w:rPr>
          <w:lang w:val="en-US"/>
        </w:rPr>
        <w:t xml:space="preserve">XRF </w:t>
      </w:r>
      <w:r w:rsidR="00B03682" w:rsidRPr="00725664">
        <w:rPr>
          <w:lang w:val="en-US"/>
        </w:rPr>
        <w:t>analysis of metal artefacts i</w:t>
      </w:r>
      <w:r w:rsidR="005F00A6" w:rsidRPr="00725664">
        <w:rPr>
          <w:lang w:val="en-US"/>
        </w:rPr>
        <w:t>s recently discussed in</w:t>
      </w:r>
      <w:r w:rsidRPr="00DC33D5">
        <w:rPr>
          <w:lang w:val="en-US"/>
        </w:rPr>
        <w:t>:</w:t>
      </w:r>
      <w:r w:rsidR="005F00A6" w:rsidRPr="00DC33D5">
        <w:rPr>
          <w:lang w:val="en-US"/>
        </w:rPr>
        <w:t xml:space="preserve"> </w:t>
      </w:r>
      <w:proofErr w:type="spellStart"/>
      <w:r w:rsidR="00C163F9" w:rsidRPr="00DC33D5">
        <w:rPr>
          <w:lang w:val="en-US"/>
        </w:rPr>
        <w:t>Cesareo</w:t>
      </w:r>
      <w:proofErr w:type="spellEnd"/>
      <w:r w:rsidR="00C163F9" w:rsidRPr="00DC33D5">
        <w:rPr>
          <w:lang w:val="en-US"/>
        </w:rPr>
        <w:t xml:space="preserve"> et al. 2008; Lutz – </w:t>
      </w:r>
      <w:proofErr w:type="spellStart"/>
      <w:r w:rsidR="00C163F9" w:rsidRPr="00DC33D5">
        <w:rPr>
          <w:lang w:val="en-US"/>
        </w:rPr>
        <w:t>Pernicka</w:t>
      </w:r>
      <w:proofErr w:type="spellEnd"/>
      <w:r w:rsidR="00C163F9" w:rsidRPr="00DC33D5">
        <w:rPr>
          <w:lang w:val="en-US"/>
        </w:rPr>
        <w:t xml:space="preserve"> 1996; </w:t>
      </w:r>
      <w:proofErr w:type="spellStart"/>
      <w:r w:rsidR="00C163F9" w:rsidRPr="00DC33D5">
        <w:rPr>
          <w:lang w:val="en-US"/>
        </w:rPr>
        <w:t>Pernicka</w:t>
      </w:r>
      <w:proofErr w:type="spellEnd"/>
      <w:r w:rsidR="00C163F9" w:rsidRPr="00DC33D5">
        <w:rPr>
          <w:lang w:val="en-US"/>
        </w:rPr>
        <w:t xml:space="preserve"> 2014; Potts – West 2008; </w:t>
      </w:r>
      <w:proofErr w:type="spellStart"/>
      <w:r w:rsidR="00C163F9" w:rsidRPr="00DC33D5">
        <w:rPr>
          <w:lang w:val="en-US"/>
        </w:rPr>
        <w:t>Prange</w:t>
      </w:r>
      <w:proofErr w:type="spellEnd"/>
      <w:r w:rsidR="00C163F9" w:rsidRPr="00DC33D5">
        <w:rPr>
          <w:lang w:val="en-US"/>
        </w:rPr>
        <w:t xml:space="preserve"> et al. 2016</w:t>
      </w:r>
      <w:r w:rsidR="00DC33D5" w:rsidRPr="00DC33D5">
        <w:rPr>
          <w:lang w:val="en-US"/>
        </w:rPr>
        <w:t xml:space="preserve">; </w:t>
      </w:r>
      <w:proofErr w:type="spellStart"/>
      <w:r w:rsidR="00DC33D5" w:rsidRPr="00DC33D5">
        <w:rPr>
          <w:lang w:val="en-US"/>
        </w:rPr>
        <w:t>Shugar</w:t>
      </w:r>
      <w:proofErr w:type="spellEnd"/>
      <w:r w:rsidR="00DC33D5" w:rsidRPr="00DC33D5">
        <w:rPr>
          <w:lang w:val="en-US"/>
        </w:rPr>
        <w:t xml:space="preserve"> 2013; </w:t>
      </w:r>
      <w:proofErr w:type="spellStart"/>
      <w:r w:rsidR="00DC33D5" w:rsidRPr="00DC33D5">
        <w:rPr>
          <w:lang w:val="en-US"/>
        </w:rPr>
        <w:t>Shugar</w:t>
      </w:r>
      <w:proofErr w:type="spellEnd"/>
      <w:r w:rsidR="00DC33D5" w:rsidRPr="00DC33D5">
        <w:rPr>
          <w:lang w:val="en-US"/>
        </w:rPr>
        <w:t xml:space="preserve"> – Mass 2012</w:t>
      </w:r>
      <w:r w:rsidR="00C163F9" w:rsidRPr="00DC33D5">
        <w:rPr>
          <w:lang w:val="en-US"/>
        </w:rPr>
        <w:t>)</w:t>
      </w:r>
      <w:r w:rsidR="005F00A6" w:rsidRPr="00DC33D5">
        <w:rPr>
          <w:lang w:val="en-US"/>
        </w:rPr>
        <w:t xml:space="preserve"> and </w:t>
      </w:r>
      <w:r w:rsidR="00C163F9" w:rsidRPr="00DC33D5">
        <w:rPr>
          <w:lang w:val="en-US"/>
        </w:rPr>
        <w:t xml:space="preserve">for </w:t>
      </w:r>
      <w:r w:rsidR="005F00A6" w:rsidRPr="00DC33D5">
        <w:rPr>
          <w:lang w:val="en-US"/>
        </w:rPr>
        <w:t>slags and crucibles in: (</w:t>
      </w:r>
      <w:proofErr w:type="spellStart"/>
      <w:r w:rsidR="00C163F9" w:rsidRPr="00DC33D5">
        <w:rPr>
          <w:lang w:val="en-US"/>
        </w:rPr>
        <w:t>Bandama</w:t>
      </w:r>
      <w:proofErr w:type="spellEnd"/>
      <w:r w:rsidR="00C163F9" w:rsidRPr="00DC33D5">
        <w:rPr>
          <w:lang w:val="en-US"/>
        </w:rPr>
        <w:t xml:space="preserve"> et al. 2016; </w:t>
      </w:r>
      <w:proofErr w:type="spellStart"/>
      <w:r w:rsidR="00C163F9" w:rsidRPr="00DC33D5">
        <w:rPr>
          <w:lang w:val="en-US"/>
        </w:rPr>
        <w:t>Dungworth</w:t>
      </w:r>
      <w:proofErr w:type="spellEnd"/>
      <w:r w:rsidR="00C163F9" w:rsidRPr="00DC33D5">
        <w:rPr>
          <w:lang w:val="en-US"/>
        </w:rPr>
        <w:t xml:space="preserve"> 2015; </w:t>
      </w:r>
      <w:proofErr w:type="spellStart"/>
      <w:r w:rsidR="00C163F9" w:rsidRPr="00DC33D5">
        <w:rPr>
          <w:lang w:val="en-US"/>
        </w:rPr>
        <w:t>Orfanou</w:t>
      </w:r>
      <w:proofErr w:type="spellEnd"/>
      <w:r w:rsidR="00C163F9" w:rsidRPr="00DC33D5">
        <w:rPr>
          <w:lang w:val="en-US"/>
        </w:rPr>
        <w:t xml:space="preserve"> – </w:t>
      </w:r>
      <w:proofErr w:type="spellStart"/>
      <w:r w:rsidR="00C163F9" w:rsidRPr="00DC33D5">
        <w:rPr>
          <w:lang w:val="en-US"/>
        </w:rPr>
        <w:t>Rehren</w:t>
      </w:r>
      <w:proofErr w:type="spellEnd"/>
      <w:r w:rsidR="00C163F9" w:rsidRPr="00DC33D5">
        <w:rPr>
          <w:lang w:val="en-US"/>
        </w:rPr>
        <w:t xml:space="preserve"> 2015; </w:t>
      </w:r>
      <w:proofErr w:type="spellStart"/>
      <w:r w:rsidR="00C163F9" w:rsidRPr="00DC33D5">
        <w:rPr>
          <w:lang w:val="en-US"/>
        </w:rPr>
        <w:t>Rademakers</w:t>
      </w:r>
      <w:proofErr w:type="spellEnd"/>
      <w:r w:rsidR="00C163F9" w:rsidRPr="00DC33D5">
        <w:rPr>
          <w:lang w:val="en-US"/>
        </w:rPr>
        <w:t xml:space="preserve"> – </w:t>
      </w:r>
      <w:proofErr w:type="spellStart"/>
      <w:r w:rsidR="00C163F9" w:rsidRPr="00DC33D5">
        <w:rPr>
          <w:lang w:val="en-US"/>
        </w:rPr>
        <w:t>Rehren</w:t>
      </w:r>
      <w:proofErr w:type="spellEnd"/>
      <w:r w:rsidR="00C163F9" w:rsidRPr="00DC33D5">
        <w:rPr>
          <w:lang w:val="en-US"/>
        </w:rPr>
        <w:t xml:space="preserve"> 2016; Scott et al. 2015; Slater – </w:t>
      </w:r>
      <w:proofErr w:type="spellStart"/>
      <w:r w:rsidR="00C163F9" w:rsidRPr="00DC33D5">
        <w:rPr>
          <w:lang w:val="en-US"/>
        </w:rPr>
        <w:t>Doonan</w:t>
      </w:r>
      <w:proofErr w:type="spellEnd"/>
      <w:r w:rsidR="00C163F9" w:rsidRPr="00DC33D5">
        <w:rPr>
          <w:lang w:val="en-US"/>
        </w:rPr>
        <w:t xml:space="preserve"> 2012; </w:t>
      </w:r>
      <w:proofErr w:type="spellStart"/>
      <w:r w:rsidR="00C163F9" w:rsidRPr="00DC33D5">
        <w:rPr>
          <w:lang w:val="en-US"/>
        </w:rPr>
        <w:t>Tighe</w:t>
      </w:r>
      <w:proofErr w:type="spellEnd"/>
      <w:r w:rsidR="00C163F9" w:rsidRPr="00DC33D5">
        <w:rPr>
          <w:lang w:val="en-US"/>
        </w:rPr>
        <w:t xml:space="preserve"> et al. 2018; Young et al. 2016; </w:t>
      </w:r>
      <w:proofErr w:type="spellStart"/>
      <w:r w:rsidR="00C163F9" w:rsidRPr="00DC33D5">
        <w:rPr>
          <w:lang w:val="en-US"/>
        </w:rPr>
        <w:t>Zori</w:t>
      </w:r>
      <w:proofErr w:type="spellEnd"/>
      <w:r w:rsidR="00C163F9" w:rsidRPr="00DC33D5">
        <w:rPr>
          <w:lang w:val="en-US"/>
        </w:rPr>
        <w:t xml:space="preserve"> – </w:t>
      </w:r>
      <w:proofErr w:type="spellStart"/>
      <w:r w:rsidR="00C163F9" w:rsidRPr="00DC33D5">
        <w:rPr>
          <w:lang w:val="en-US"/>
        </w:rPr>
        <w:t>Tropper</w:t>
      </w:r>
      <w:proofErr w:type="spellEnd"/>
      <w:r w:rsidR="00C163F9" w:rsidRPr="00DC33D5">
        <w:rPr>
          <w:lang w:val="en-US"/>
        </w:rPr>
        <w:t xml:space="preserve"> 2013</w:t>
      </w:r>
      <w:r w:rsidR="005F00A6" w:rsidRPr="00DC33D5">
        <w:rPr>
          <w:lang w:val="en-US"/>
        </w:rPr>
        <w:t xml:space="preserve">. </w:t>
      </w:r>
    </w:p>
    <w:p w:rsidR="00840E5A" w:rsidRPr="00725664" w:rsidRDefault="00840E5A" w:rsidP="00B87FA0">
      <w:pPr>
        <w:spacing w:line="360" w:lineRule="auto"/>
        <w:rPr>
          <w:lang w:val="en-US"/>
        </w:rPr>
      </w:pPr>
      <w:r w:rsidRPr="00725664">
        <w:rPr>
          <w:lang w:val="en-US"/>
        </w:rPr>
        <w:lastRenderedPageBreak/>
        <w:t>For the measurements</w:t>
      </w:r>
      <w:r w:rsidR="00E93584">
        <w:rPr>
          <w:lang w:val="en-US"/>
        </w:rPr>
        <w:t>,</w:t>
      </w:r>
      <w:r w:rsidRPr="00725664">
        <w:rPr>
          <w:lang w:val="en-US"/>
        </w:rPr>
        <w:t xml:space="preserve"> a portable ED-XRF device was used (</w:t>
      </w:r>
      <w:proofErr w:type="spellStart"/>
      <w:r w:rsidRPr="00725664">
        <w:rPr>
          <w:lang w:val="en-US"/>
        </w:rPr>
        <w:t>Thermo</w:t>
      </w:r>
      <w:proofErr w:type="spellEnd"/>
      <w:r w:rsidRPr="00725664">
        <w:rPr>
          <w:lang w:val="en-US"/>
        </w:rPr>
        <w:t xml:space="preserve"> Scientific </w:t>
      </w:r>
      <w:proofErr w:type="spellStart"/>
      <w:r w:rsidRPr="00725664">
        <w:rPr>
          <w:lang w:val="en-US"/>
        </w:rPr>
        <w:t>Niton</w:t>
      </w:r>
      <w:proofErr w:type="spellEnd"/>
      <w:r w:rsidRPr="00725664">
        <w:rPr>
          <w:lang w:val="en-US"/>
        </w:rPr>
        <w:t xml:space="preserve"> XL3t 950-HE GOLDD+ Serial </w:t>
      </w:r>
      <w:proofErr w:type="spellStart"/>
      <w:r w:rsidRPr="00725664">
        <w:rPr>
          <w:lang w:val="en-US"/>
        </w:rPr>
        <w:t>nr</w:t>
      </w:r>
      <w:proofErr w:type="spellEnd"/>
      <w:r w:rsidRPr="00725664">
        <w:rPr>
          <w:lang w:val="en-US"/>
        </w:rPr>
        <w:t xml:space="preserve">. 89086), equipped with an Ag anode at max. </w:t>
      </w:r>
      <w:proofErr w:type="gramStart"/>
      <w:r w:rsidRPr="00725664">
        <w:rPr>
          <w:lang w:val="en-US"/>
        </w:rPr>
        <w:t>50 kV, silicon drift detector.</w:t>
      </w:r>
      <w:proofErr w:type="gramEnd"/>
      <w:r w:rsidRPr="00725664">
        <w:rPr>
          <w:lang w:val="en-US"/>
        </w:rPr>
        <w:t xml:space="preserve"> A series of </w:t>
      </w:r>
      <w:r w:rsidR="008A3A71" w:rsidRPr="00725664">
        <w:rPr>
          <w:lang w:val="en-US"/>
        </w:rPr>
        <w:t>f</w:t>
      </w:r>
      <w:r w:rsidRPr="00725664">
        <w:rPr>
          <w:lang w:val="en-US"/>
        </w:rPr>
        <w:t>our filters were applied (main, low, high and light) by running the so</w:t>
      </w:r>
      <w:r w:rsidR="00E93584">
        <w:rPr>
          <w:lang w:val="en-US"/>
        </w:rPr>
        <w:t>-</w:t>
      </w:r>
      <w:r w:rsidRPr="00725664">
        <w:rPr>
          <w:lang w:val="en-US"/>
        </w:rPr>
        <w:t xml:space="preserve">called test-all-geo mode, which is a combination of both the mineral- and the soil-modes. The filter settings were </w:t>
      </w:r>
      <w:r w:rsidR="00B03682" w:rsidRPr="00725664">
        <w:rPr>
          <w:lang w:val="en-US"/>
        </w:rPr>
        <w:t>90/90/60/120</w:t>
      </w:r>
      <w:r w:rsidRPr="00725664">
        <w:rPr>
          <w:lang w:val="en-US"/>
        </w:rPr>
        <w:t xml:space="preserve"> seconds, resulting in a total</w:t>
      </w:r>
      <w:r w:rsidR="008E7554" w:rsidRPr="00725664">
        <w:rPr>
          <w:lang w:val="en-US"/>
        </w:rPr>
        <w:t xml:space="preserve"> measuring time of 6 minutes. </w:t>
      </w:r>
      <w:r w:rsidRPr="00725664">
        <w:rPr>
          <w:lang w:val="en-US"/>
        </w:rPr>
        <w:t xml:space="preserve">The aperture has a diameter of 8 mm and neither helium nor vacuum was applied. </w:t>
      </w:r>
      <w:r w:rsidR="007C50E5">
        <w:rPr>
          <w:lang w:val="en-US"/>
        </w:rPr>
        <w:t>In order to keep</w:t>
      </w:r>
      <w:r w:rsidRPr="00725664">
        <w:rPr>
          <w:lang w:val="en-US"/>
        </w:rPr>
        <w:t xml:space="preserve"> the window clean, the measurements were made with a 4 micrometer polypropylene foil (</w:t>
      </w:r>
      <w:proofErr w:type="spellStart"/>
      <w:r w:rsidRPr="00725664">
        <w:rPr>
          <w:lang w:val="en-US"/>
        </w:rPr>
        <w:t>Fluxana</w:t>
      </w:r>
      <w:proofErr w:type="spellEnd"/>
      <w:r w:rsidRPr="00725664">
        <w:rPr>
          <w:lang w:val="en-US"/>
        </w:rPr>
        <w:t>, TF-240-255) between the p</w:t>
      </w:r>
      <w:r w:rsidR="007C50E5">
        <w:rPr>
          <w:lang w:val="en-US"/>
        </w:rPr>
        <w:t>-</w:t>
      </w:r>
      <w:r w:rsidRPr="00725664">
        <w:rPr>
          <w:lang w:val="en-US"/>
        </w:rPr>
        <w:t>XRF</w:t>
      </w:r>
      <w:r w:rsidR="007C50E5">
        <w:rPr>
          <w:lang w:val="en-US"/>
        </w:rPr>
        <w:t xml:space="preserve"> </w:t>
      </w:r>
      <w:r w:rsidRPr="00725664">
        <w:rPr>
          <w:lang w:val="en-US"/>
        </w:rPr>
        <w:t>window and the sample. All measureme</w:t>
      </w:r>
      <w:r w:rsidR="008A3A71" w:rsidRPr="00725664">
        <w:rPr>
          <w:lang w:val="en-US"/>
        </w:rPr>
        <w:t>nts</w:t>
      </w:r>
      <w:r w:rsidRPr="00725664">
        <w:rPr>
          <w:lang w:val="en-US"/>
        </w:rPr>
        <w:t xml:space="preserve"> were performed in a benchtop stand using AC adapter. These settings were used for the measurements</w:t>
      </w:r>
      <w:r w:rsidR="008A3A71" w:rsidRPr="00725664">
        <w:rPr>
          <w:lang w:val="en-US"/>
        </w:rPr>
        <w:t xml:space="preserve"> of</w:t>
      </w:r>
      <w:r w:rsidRPr="00725664">
        <w:rPr>
          <w:lang w:val="en-US"/>
        </w:rPr>
        <w:t xml:space="preserve"> certified reference material (CRM) and the samples from </w:t>
      </w:r>
      <w:proofErr w:type="spellStart"/>
      <w:r w:rsidR="00B03682" w:rsidRPr="00725664">
        <w:rPr>
          <w:lang w:val="en-US"/>
        </w:rPr>
        <w:t>Pietrele</w:t>
      </w:r>
      <w:proofErr w:type="spellEnd"/>
      <w:r w:rsidR="00B03682" w:rsidRPr="00725664">
        <w:rPr>
          <w:lang w:val="en-US"/>
        </w:rPr>
        <w:t xml:space="preserve"> and </w:t>
      </w:r>
      <w:proofErr w:type="spellStart"/>
      <w:r w:rsidR="00C166DD" w:rsidRPr="00725664">
        <w:rPr>
          <w:lang w:val="en-US"/>
        </w:rPr>
        <w:t>Blejeşti</w:t>
      </w:r>
      <w:proofErr w:type="spellEnd"/>
      <w:r w:rsidRPr="00725664">
        <w:rPr>
          <w:lang w:val="en-US"/>
        </w:rPr>
        <w:t xml:space="preserve"> presented in this work. They follow the recommended procedure for the device, </w:t>
      </w:r>
      <w:r w:rsidR="007C50E5">
        <w:rPr>
          <w:lang w:val="en-US"/>
        </w:rPr>
        <w:t>established</w:t>
      </w:r>
      <w:r w:rsidRPr="00725664">
        <w:rPr>
          <w:lang w:val="en-US"/>
        </w:rPr>
        <w:t xml:space="preserve"> during several years of evaluating and optimizing ceramic analyses with the </w:t>
      </w:r>
      <w:proofErr w:type="spellStart"/>
      <w:r w:rsidRPr="00725664">
        <w:rPr>
          <w:lang w:val="en-US"/>
        </w:rPr>
        <w:t>Niton</w:t>
      </w:r>
      <w:proofErr w:type="spellEnd"/>
      <w:r w:rsidRPr="00725664">
        <w:rPr>
          <w:lang w:val="en-US"/>
        </w:rPr>
        <w:t xml:space="preserve"> XL3t, by the </w:t>
      </w:r>
      <w:proofErr w:type="spellStart"/>
      <w:r w:rsidRPr="00725664">
        <w:rPr>
          <w:lang w:val="en-US"/>
        </w:rPr>
        <w:t>Forschungsstelle</w:t>
      </w:r>
      <w:proofErr w:type="spellEnd"/>
      <w:r w:rsidRPr="00725664">
        <w:rPr>
          <w:lang w:val="en-US"/>
        </w:rPr>
        <w:t xml:space="preserve"> </w:t>
      </w:r>
      <w:proofErr w:type="spellStart"/>
      <w:r w:rsidRPr="00725664">
        <w:rPr>
          <w:lang w:val="en-US"/>
        </w:rPr>
        <w:t>Keramik</w:t>
      </w:r>
      <w:proofErr w:type="spellEnd"/>
      <w:r w:rsidRPr="00725664">
        <w:rPr>
          <w:lang w:val="en-US"/>
        </w:rPr>
        <w:t xml:space="preserve"> at the </w:t>
      </w:r>
      <w:proofErr w:type="spellStart"/>
      <w:r w:rsidRPr="00725664">
        <w:rPr>
          <w:lang w:val="en-US"/>
        </w:rPr>
        <w:t>Institut</w:t>
      </w:r>
      <w:proofErr w:type="spellEnd"/>
      <w:r w:rsidRPr="00725664">
        <w:rPr>
          <w:lang w:val="en-US"/>
        </w:rPr>
        <w:t xml:space="preserve"> </w:t>
      </w:r>
      <w:proofErr w:type="spellStart"/>
      <w:r w:rsidRPr="00725664">
        <w:rPr>
          <w:lang w:val="en-US"/>
        </w:rPr>
        <w:t>für</w:t>
      </w:r>
      <w:proofErr w:type="spellEnd"/>
      <w:r w:rsidRPr="00725664">
        <w:rPr>
          <w:lang w:val="en-US"/>
        </w:rPr>
        <w:t xml:space="preserve"> </w:t>
      </w:r>
      <w:proofErr w:type="spellStart"/>
      <w:r w:rsidRPr="00725664">
        <w:rPr>
          <w:lang w:val="en-US"/>
        </w:rPr>
        <w:t>Archäologische</w:t>
      </w:r>
      <w:proofErr w:type="spellEnd"/>
      <w:r w:rsidRPr="00725664">
        <w:rPr>
          <w:lang w:val="en-US"/>
        </w:rPr>
        <w:t xml:space="preserve"> </w:t>
      </w:r>
      <w:proofErr w:type="spellStart"/>
      <w:r w:rsidRPr="00725664">
        <w:rPr>
          <w:lang w:val="en-US"/>
        </w:rPr>
        <w:t>Wissenschaften</w:t>
      </w:r>
      <w:proofErr w:type="spellEnd"/>
      <w:r w:rsidRPr="00725664">
        <w:rPr>
          <w:lang w:val="en-US"/>
        </w:rPr>
        <w:t>, Goethe-</w:t>
      </w:r>
      <w:proofErr w:type="spellStart"/>
      <w:r w:rsidRPr="00725664">
        <w:rPr>
          <w:lang w:val="en-US"/>
        </w:rPr>
        <w:t>Universität</w:t>
      </w:r>
      <w:proofErr w:type="spellEnd"/>
      <w:r w:rsidRPr="00725664">
        <w:rPr>
          <w:lang w:val="en-US"/>
        </w:rPr>
        <w:t xml:space="preserve"> (Frankfurt a. M.) in cooperation with </w:t>
      </w:r>
      <w:proofErr w:type="spellStart"/>
      <w:r w:rsidRPr="00725664">
        <w:rPr>
          <w:lang w:val="en-US"/>
        </w:rPr>
        <w:t>Analyticon</w:t>
      </w:r>
      <w:proofErr w:type="spellEnd"/>
      <w:r w:rsidRPr="00725664">
        <w:rPr>
          <w:lang w:val="en-US"/>
        </w:rPr>
        <w:t xml:space="preserve"> Instruments (</w:t>
      </w:r>
      <w:proofErr w:type="spellStart"/>
      <w:r w:rsidRPr="00725664">
        <w:rPr>
          <w:lang w:val="en-US"/>
        </w:rPr>
        <w:t>Rosbach</w:t>
      </w:r>
      <w:proofErr w:type="spellEnd"/>
      <w:r w:rsidRPr="00725664">
        <w:rPr>
          <w:lang w:val="en-US"/>
        </w:rPr>
        <w:t xml:space="preserve"> v. d. </w:t>
      </w:r>
      <w:proofErr w:type="spellStart"/>
      <w:r w:rsidRPr="00725664">
        <w:rPr>
          <w:lang w:val="en-US"/>
        </w:rPr>
        <w:t>Höhe</w:t>
      </w:r>
      <w:proofErr w:type="spellEnd"/>
      <w:r w:rsidRPr="00725664">
        <w:rPr>
          <w:lang w:val="en-US"/>
        </w:rPr>
        <w:t xml:space="preserve">), the company responsible for the service of </w:t>
      </w:r>
      <w:proofErr w:type="spellStart"/>
      <w:r w:rsidRPr="00725664">
        <w:rPr>
          <w:lang w:val="en-US"/>
        </w:rPr>
        <w:t>Niton</w:t>
      </w:r>
      <w:proofErr w:type="spellEnd"/>
      <w:r w:rsidRPr="00725664">
        <w:rPr>
          <w:lang w:val="en-US"/>
        </w:rPr>
        <w:t xml:space="preserve"> devices in Germany (</w:t>
      </w:r>
      <w:proofErr w:type="spellStart"/>
      <w:r w:rsidR="00BC4E97" w:rsidRPr="00725664">
        <w:rPr>
          <w:lang w:val="en-US"/>
        </w:rPr>
        <w:t>Böhme</w:t>
      </w:r>
      <w:proofErr w:type="spellEnd"/>
      <w:r w:rsidR="00BC4E97" w:rsidRPr="00725664">
        <w:rPr>
          <w:lang w:val="en-US"/>
        </w:rPr>
        <w:t xml:space="preserve"> – </w:t>
      </w:r>
      <w:proofErr w:type="spellStart"/>
      <w:r w:rsidR="00BC4E97" w:rsidRPr="00725664">
        <w:rPr>
          <w:lang w:val="en-US"/>
        </w:rPr>
        <w:t>Helfert</w:t>
      </w:r>
      <w:proofErr w:type="spellEnd"/>
      <w:r w:rsidR="00BC4E97" w:rsidRPr="00725664">
        <w:rPr>
          <w:lang w:val="en-US"/>
        </w:rPr>
        <w:t xml:space="preserve"> 2010; </w:t>
      </w:r>
      <w:proofErr w:type="spellStart"/>
      <w:r w:rsidR="00BC4E97" w:rsidRPr="00725664">
        <w:rPr>
          <w:lang w:val="en-US"/>
        </w:rPr>
        <w:t>Helfert</w:t>
      </w:r>
      <w:proofErr w:type="spellEnd"/>
      <w:r w:rsidR="00BC4E97" w:rsidRPr="00725664">
        <w:rPr>
          <w:lang w:val="en-US"/>
        </w:rPr>
        <w:t xml:space="preserve"> 2010, 2013</w:t>
      </w:r>
      <w:r w:rsidR="00AC3BED" w:rsidRPr="00725664">
        <w:rPr>
          <w:lang w:val="en-US"/>
        </w:rPr>
        <w:t xml:space="preserve">). </w:t>
      </w:r>
      <w:r w:rsidRPr="00725664">
        <w:rPr>
          <w:lang w:val="en-US"/>
        </w:rPr>
        <w:t xml:space="preserve">All </w:t>
      </w:r>
      <w:proofErr w:type="spellStart"/>
      <w:r w:rsidRPr="00725664">
        <w:rPr>
          <w:lang w:val="en-US"/>
        </w:rPr>
        <w:t>Niton</w:t>
      </w:r>
      <w:proofErr w:type="spellEnd"/>
      <w:r w:rsidRPr="00725664">
        <w:rPr>
          <w:lang w:val="en-US"/>
        </w:rPr>
        <w:t xml:space="preserve"> </w:t>
      </w:r>
      <w:r w:rsidR="00375BB7" w:rsidRPr="00725664">
        <w:rPr>
          <w:lang w:val="en-US"/>
        </w:rPr>
        <w:t xml:space="preserve">XL3t </w:t>
      </w:r>
      <w:r w:rsidR="00C35409" w:rsidRPr="00725664">
        <w:rPr>
          <w:lang w:val="en-US"/>
        </w:rPr>
        <w:t xml:space="preserve">devices </w:t>
      </w:r>
      <w:r w:rsidR="007673A6" w:rsidRPr="00725664">
        <w:rPr>
          <w:lang w:val="en-US"/>
        </w:rPr>
        <w:t xml:space="preserve">purchased by </w:t>
      </w:r>
      <w:proofErr w:type="spellStart"/>
      <w:r w:rsidRPr="00725664">
        <w:rPr>
          <w:lang w:val="en-US"/>
        </w:rPr>
        <w:t>Analyticon</w:t>
      </w:r>
      <w:proofErr w:type="spellEnd"/>
      <w:r w:rsidRPr="00725664">
        <w:rPr>
          <w:lang w:val="en-US"/>
        </w:rPr>
        <w:t xml:space="preserve"> Germany </w:t>
      </w:r>
      <w:r w:rsidR="00C35409" w:rsidRPr="00725664">
        <w:rPr>
          <w:lang w:val="en-US"/>
        </w:rPr>
        <w:t xml:space="preserve">for archaeological use </w:t>
      </w:r>
      <w:r w:rsidRPr="00725664">
        <w:rPr>
          <w:lang w:val="en-US"/>
        </w:rPr>
        <w:t xml:space="preserve">underwent a </w:t>
      </w:r>
      <w:proofErr w:type="spellStart"/>
      <w:r w:rsidRPr="00725664">
        <w:rPr>
          <w:lang w:val="en-US"/>
        </w:rPr>
        <w:t>speciali</w:t>
      </w:r>
      <w:r w:rsidR="007C50E5">
        <w:rPr>
          <w:lang w:val="en-US"/>
        </w:rPr>
        <w:t>s</w:t>
      </w:r>
      <w:r w:rsidRPr="00725664">
        <w:rPr>
          <w:lang w:val="en-US"/>
        </w:rPr>
        <w:t>ed</w:t>
      </w:r>
      <w:proofErr w:type="spellEnd"/>
      <w:r w:rsidRPr="00725664">
        <w:rPr>
          <w:lang w:val="en-US"/>
        </w:rPr>
        <w:t xml:space="preserve"> calibration</w:t>
      </w:r>
      <w:r w:rsidR="007A0CD6" w:rsidRPr="00725664">
        <w:rPr>
          <w:lang w:val="en-US"/>
        </w:rPr>
        <w:t xml:space="preserve"> procedure</w:t>
      </w:r>
      <w:r w:rsidRPr="00725664">
        <w:rPr>
          <w:lang w:val="en-US"/>
        </w:rPr>
        <w:t xml:space="preserve"> for </w:t>
      </w:r>
      <w:proofErr w:type="spellStart"/>
      <w:r w:rsidRPr="00725664">
        <w:rPr>
          <w:lang w:val="en-US"/>
        </w:rPr>
        <w:t>archaeometric</w:t>
      </w:r>
      <w:proofErr w:type="spellEnd"/>
      <w:r w:rsidRPr="00725664">
        <w:rPr>
          <w:lang w:val="en-US"/>
        </w:rPr>
        <w:t xml:space="preserve"> purposes</w:t>
      </w:r>
      <w:r w:rsidR="00105E8B" w:rsidRPr="00725664">
        <w:rPr>
          <w:lang w:val="en-US"/>
        </w:rPr>
        <w:t xml:space="preserve"> by </w:t>
      </w:r>
      <w:r w:rsidR="007673A6" w:rsidRPr="00725664">
        <w:rPr>
          <w:lang w:val="en-US"/>
        </w:rPr>
        <w:t xml:space="preserve">the technical support of </w:t>
      </w:r>
      <w:r w:rsidR="00105E8B" w:rsidRPr="00725664">
        <w:rPr>
          <w:lang w:val="en-US"/>
        </w:rPr>
        <w:t xml:space="preserve">this </w:t>
      </w:r>
      <w:r w:rsidR="007C50E5">
        <w:rPr>
          <w:lang w:val="en-US"/>
        </w:rPr>
        <w:t>c</w:t>
      </w:r>
      <w:r w:rsidR="00105E8B" w:rsidRPr="00725664">
        <w:rPr>
          <w:lang w:val="en-US"/>
        </w:rPr>
        <w:t>ompany</w:t>
      </w:r>
      <w:r w:rsidRPr="00725664">
        <w:rPr>
          <w:lang w:val="en-US"/>
        </w:rPr>
        <w:t>, which adjusts the mineral mode and the general and precious metals mode for archaeologic</w:t>
      </w:r>
      <w:r w:rsidR="007C50E5">
        <w:rPr>
          <w:lang w:val="en-US"/>
        </w:rPr>
        <w:t>al</w:t>
      </w:r>
      <w:r w:rsidRPr="00725664">
        <w:rPr>
          <w:lang w:val="en-US"/>
        </w:rPr>
        <w:t xml:space="preserve"> material and artefacts.</w:t>
      </w:r>
      <w:r w:rsidR="00105E8B" w:rsidRPr="00725664">
        <w:rPr>
          <w:lang w:val="en-US"/>
        </w:rPr>
        <w:t xml:space="preserve"> The result is a calibration process better</w:t>
      </w:r>
      <w:r w:rsidR="001629D7" w:rsidRPr="00725664">
        <w:rPr>
          <w:lang w:val="en-US"/>
        </w:rPr>
        <w:t xml:space="preserve"> adapted</w:t>
      </w:r>
      <w:r w:rsidR="00105E8B" w:rsidRPr="00725664">
        <w:rPr>
          <w:lang w:val="en-US"/>
        </w:rPr>
        <w:t xml:space="preserve"> to archaeological needs compared to factory calibration. </w:t>
      </w:r>
      <w:r w:rsidR="002B3011" w:rsidRPr="00725664">
        <w:rPr>
          <w:lang w:val="en-US"/>
        </w:rPr>
        <w:t>Unfortunately</w:t>
      </w:r>
      <w:r w:rsidR="007C50E5">
        <w:rPr>
          <w:lang w:val="en-US"/>
        </w:rPr>
        <w:t>,</w:t>
      </w:r>
      <w:r w:rsidR="002B3011" w:rsidRPr="00725664">
        <w:rPr>
          <w:lang w:val="en-US"/>
        </w:rPr>
        <w:t xml:space="preserve"> </w:t>
      </w:r>
      <w:r w:rsidR="007C50E5">
        <w:rPr>
          <w:lang w:val="en-US"/>
        </w:rPr>
        <w:t xml:space="preserve">few </w:t>
      </w:r>
      <w:r w:rsidRPr="00725664">
        <w:rPr>
          <w:lang w:val="en-US"/>
        </w:rPr>
        <w:t xml:space="preserve">details </w:t>
      </w:r>
      <w:r w:rsidR="002B3011" w:rsidRPr="00725664">
        <w:rPr>
          <w:lang w:val="en-US"/>
        </w:rPr>
        <w:t>of</w:t>
      </w:r>
      <w:r w:rsidRPr="00725664">
        <w:rPr>
          <w:lang w:val="en-US"/>
        </w:rPr>
        <w:t xml:space="preserve"> the exact </w:t>
      </w:r>
      <w:r w:rsidR="007A0CD6" w:rsidRPr="00725664">
        <w:rPr>
          <w:lang w:val="en-US"/>
        </w:rPr>
        <w:t>procedure</w:t>
      </w:r>
      <w:r w:rsidRPr="00725664">
        <w:rPr>
          <w:lang w:val="en-US"/>
        </w:rPr>
        <w:t xml:space="preserve"> and used samples are available</w:t>
      </w:r>
      <w:r w:rsidR="002B3011" w:rsidRPr="00725664">
        <w:rPr>
          <w:lang w:val="en-US"/>
        </w:rPr>
        <w:t xml:space="preserve"> since it is</w:t>
      </w:r>
      <w:r w:rsidRPr="00725664">
        <w:rPr>
          <w:lang w:val="en-US"/>
        </w:rPr>
        <w:t xml:space="preserve"> proprietar</w:t>
      </w:r>
      <w:r w:rsidR="002B3011" w:rsidRPr="00725664">
        <w:rPr>
          <w:lang w:val="en-US"/>
        </w:rPr>
        <w:t>y software –</w:t>
      </w:r>
      <w:r w:rsidRPr="00725664">
        <w:rPr>
          <w:lang w:val="en-US"/>
        </w:rPr>
        <w:t xml:space="preserve"> </w:t>
      </w:r>
      <w:r w:rsidR="00105E8B" w:rsidRPr="00725664">
        <w:rPr>
          <w:lang w:val="en-US"/>
        </w:rPr>
        <w:t xml:space="preserve">a </w:t>
      </w:r>
      <w:r w:rsidRPr="00725664">
        <w:rPr>
          <w:lang w:val="en-US"/>
        </w:rPr>
        <w:t>problem known to all p</w:t>
      </w:r>
      <w:r w:rsidR="007C50E5">
        <w:rPr>
          <w:lang w:val="en-US"/>
        </w:rPr>
        <w:t>-</w:t>
      </w:r>
      <w:r w:rsidRPr="00725664">
        <w:rPr>
          <w:lang w:val="en-US"/>
        </w:rPr>
        <w:t>XRF users, no matter what device or brand</w:t>
      </w:r>
      <w:r w:rsidR="00105E8B" w:rsidRPr="00725664">
        <w:rPr>
          <w:lang w:val="en-US"/>
        </w:rPr>
        <w:t xml:space="preserve"> (</w:t>
      </w:r>
      <w:r w:rsidR="00BC4E97" w:rsidRPr="00725664">
        <w:rPr>
          <w:lang w:val="en-US"/>
        </w:rPr>
        <w:t xml:space="preserve">Hunt – </w:t>
      </w:r>
      <w:proofErr w:type="spellStart"/>
      <w:r w:rsidR="00BC4E97" w:rsidRPr="00725664">
        <w:rPr>
          <w:lang w:val="en-US"/>
        </w:rPr>
        <w:t>Speckman</w:t>
      </w:r>
      <w:proofErr w:type="spellEnd"/>
      <w:r w:rsidR="00BC4E97" w:rsidRPr="00725664">
        <w:rPr>
          <w:lang w:val="en-US"/>
        </w:rPr>
        <w:t xml:space="preserve"> 2015; Hall et al. 2012; 2014</w:t>
      </w:r>
      <w:r w:rsidR="00105E8B" w:rsidRPr="00725664">
        <w:rPr>
          <w:lang w:val="en-US"/>
        </w:rPr>
        <w:t xml:space="preserve">). </w:t>
      </w:r>
    </w:p>
    <w:p w:rsidR="00840E5A" w:rsidRPr="00725664" w:rsidRDefault="00840E5A" w:rsidP="00B87FA0">
      <w:pPr>
        <w:spacing w:line="360" w:lineRule="auto"/>
        <w:rPr>
          <w:lang w:val="en-US"/>
        </w:rPr>
      </w:pPr>
    </w:p>
    <w:p w:rsidR="00D27E48" w:rsidRPr="00D93B12" w:rsidRDefault="00AD2F19" w:rsidP="00B87FA0">
      <w:pPr>
        <w:spacing w:line="360" w:lineRule="auto"/>
        <w:rPr>
          <w:sz w:val="28"/>
          <w:lang w:val="en-US"/>
        </w:rPr>
      </w:pPr>
      <w:r w:rsidRPr="00D93B12">
        <w:rPr>
          <w:sz w:val="28"/>
          <w:lang w:val="en-US"/>
        </w:rPr>
        <w:t xml:space="preserve">General </w:t>
      </w:r>
      <w:r w:rsidR="00334BCF" w:rsidRPr="00D93B12">
        <w:rPr>
          <w:sz w:val="28"/>
          <w:lang w:val="en-US"/>
        </w:rPr>
        <w:t xml:space="preserve">precaution </w:t>
      </w:r>
    </w:p>
    <w:p w:rsidR="0062154E" w:rsidRPr="00725664" w:rsidRDefault="00C43799" w:rsidP="00B87FA0">
      <w:pPr>
        <w:spacing w:line="360" w:lineRule="auto"/>
        <w:rPr>
          <w:lang w:val="en-US"/>
        </w:rPr>
      </w:pPr>
      <w:r w:rsidRPr="00725664">
        <w:rPr>
          <w:lang w:val="en-US"/>
        </w:rPr>
        <w:t>The device was allowed to warm up for c</w:t>
      </w:r>
      <w:r w:rsidR="007C50E5">
        <w:rPr>
          <w:lang w:val="en-US"/>
        </w:rPr>
        <w:t>a</w:t>
      </w:r>
      <w:r w:rsidRPr="00725664">
        <w:rPr>
          <w:lang w:val="en-US"/>
        </w:rPr>
        <w:t xml:space="preserve">. one hour before measuring </w:t>
      </w:r>
      <w:r w:rsidR="00CD60FD" w:rsidRPr="00725664">
        <w:rPr>
          <w:lang w:val="en-US"/>
        </w:rPr>
        <w:t>blanks CRM</w:t>
      </w:r>
      <w:r w:rsidR="001F7F07" w:rsidRPr="00725664">
        <w:rPr>
          <w:lang w:val="en-US"/>
        </w:rPr>
        <w:t xml:space="preserve"> and samples, </w:t>
      </w:r>
      <w:r w:rsidR="007C50E5">
        <w:rPr>
          <w:lang w:val="en-US"/>
        </w:rPr>
        <w:t xml:space="preserve">as </w:t>
      </w:r>
      <w:r w:rsidR="001F7F07" w:rsidRPr="00725664">
        <w:rPr>
          <w:lang w:val="en-US"/>
        </w:rPr>
        <w:t>temperature drift can have effects on the results</w:t>
      </w:r>
      <w:r w:rsidR="00974073" w:rsidRPr="00725664">
        <w:rPr>
          <w:lang w:val="en-US"/>
        </w:rPr>
        <w:t xml:space="preserve"> in the form of so</w:t>
      </w:r>
      <w:r w:rsidR="007C50E5">
        <w:rPr>
          <w:lang w:val="en-US"/>
        </w:rPr>
        <w:t>-</w:t>
      </w:r>
      <w:r w:rsidR="00974073" w:rsidRPr="00725664">
        <w:rPr>
          <w:lang w:val="en-US"/>
        </w:rPr>
        <w:t>called noise</w:t>
      </w:r>
      <w:r w:rsidR="00AC5631" w:rsidRPr="00725664">
        <w:rPr>
          <w:lang w:val="en-US"/>
        </w:rPr>
        <w:t xml:space="preserve">. For the </w:t>
      </w:r>
      <w:proofErr w:type="spellStart"/>
      <w:r w:rsidR="00AC5631" w:rsidRPr="00725664">
        <w:rPr>
          <w:lang w:val="en-US"/>
        </w:rPr>
        <w:t>Niton</w:t>
      </w:r>
      <w:proofErr w:type="spellEnd"/>
      <w:r w:rsidR="00AC5631" w:rsidRPr="00725664">
        <w:rPr>
          <w:lang w:val="en-US"/>
        </w:rPr>
        <w:t xml:space="preserve"> XL3t</w:t>
      </w:r>
      <w:r w:rsidR="007C50E5">
        <w:rPr>
          <w:lang w:val="en-US"/>
        </w:rPr>
        <w:t>,</w:t>
      </w:r>
      <w:r w:rsidR="00AC5631" w:rsidRPr="00725664">
        <w:rPr>
          <w:lang w:val="en-US"/>
        </w:rPr>
        <w:t xml:space="preserve"> such drift</w:t>
      </w:r>
      <w:r w:rsidR="001F7F07" w:rsidRPr="00725664">
        <w:rPr>
          <w:lang w:val="en-US"/>
        </w:rPr>
        <w:t xml:space="preserve"> </w:t>
      </w:r>
      <w:r w:rsidR="007C50E5">
        <w:rPr>
          <w:lang w:val="en-US"/>
        </w:rPr>
        <w:t xml:space="preserve">disappears </w:t>
      </w:r>
      <w:r w:rsidR="001F7F07" w:rsidRPr="00725664">
        <w:rPr>
          <w:lang w:val="en-US"/>
        </w:rPr>
        <w:t xml:space="preserve">after </w:t>
      </w:r>
      <w:r w:rsidR="00AC5631" w:rsidRPr="00725664">
        <w:rPr>
          <w:lang w:val="en-US"/>
        </w:rPr>
        <w:t xml:space="preserve">the machine </w:t>
      </w:r>
      <w:r w:rsidR="007C50E5">
        <w:rPr>
          <w:lang w:val="en-US"/>
        </w:rPr>
        <w:t xml:space="preserve">has been running for a while </w:t>
      </w:r>
      <w:r w:rsidR="001F7F07" w:rsidRPr="00725664">
        <w:rPr>
          <w:lang w:val="en-US"/>
        </w:rPr>
        <w:t>(</w:t>
      </w:r>
      <w:proofErr w:type="spellStart"/>
      <w:r w:rsidR="0019062B" w:rsidRPr="00725664">
        <w:rPr>
          <w:lang w:val="en-US"/>
        </w:rPr>
        <w:t>Böhme</w:t>
      </w:r>
      <w:proofErr w:type="spellEnd"/>
      <w:r w:rsidR="0019062B" w:rsidRPr="00725664">
        <w:rPr>
          <w:lang w:val="en-US"/>
        </w:rPr>
        <w:t xml:space="preserve"> – </w:t>
      </w:r>
      <w:proofErr w:type="spellStart"/>
      <w:r w:rsidR="0019062B" w:rsidRPr="00725664">
        <w:rPr>
          <w:lang w:val="en-US"/>
        </w:rPr>
        <w:t>Helfert</w:t>
      </w:r>
      <w:proofErr w:type="spellEnd"/>
      <w:r w:rsidR="0019062B" w:rsidRPr="00725664">
        <w:rPr>
          <w:lang w:val="en-US"/>
        </w:rPr>
        <w:t xml:space="preserve"> 2010; </w:t>
      </w:r>
      <w:proofErr w:type="spellStart"/>
      <w:r w:rsidR="0019062B" w:rsidRPr="00725664">
        <w:rPr>
          <w:lang w:val="en-US"/>
        </w:rPr>
        <w:t>Helfert</w:t>
      </w:r>
      <w:proofErr w:type="spellEnd"/>
      <w:r w:rsidR="0019062B" w:rsidRPr="00725664">
        <w:rPr>
          <w:lang w:val="en-US"/>
        </w:rPr>
        <w:t xml:space="preserve"> 2013; Hall et al. 2014; </w:t>
      </w:r>
      <w:proofErr w:type="spellStart"/>
      <w:r w:rsidR="0019062B" w:rsidRPr="00725664">
        <w:rPr>
          <w:lang w:val="en-US"/>
        </w:rPr>
        <w:t>Gallhofer</w:t>
      </w:r>
      <w:proofErr w:type="spellEnd"/>
      <w:r w:rsidR="0019062B" w:rsidRPr="00725664">
        <w:rPr>
          <w:lang w:val="en-US"/>
        </w:rPr>
        <w:t xml:space="preserve"> – </w:t>
      </w:r>
      <w:proofErr w:type="spellStart"/>
      <w:r w:rsidR="0019062B" w:rsidRPr="00725664">
        <w:rPr>
          <w:lang w:val="en-US"/>
        </w:rPr>
        <w:t>Lottermoser</w:t>
      </w:r>
      <w:proofErr w:type="spellEnd"/>
      <w:r w:rsidR="0019062B" w:rsidRPr="00725664">
        <w:rPr>
          <w:lang w:val="en-US"/>
        </w:rPr>
        <w:t xml:space="preserve"> 2018; Speakman – </w:t>
      </w:r>
      <w:proofErr w:type="spellStart"/>
      <w:r w:rsidR="0019062B" w:rsidRPr="00725664">
        <w:rPr>
          <w:lang w:val="en-US"/>
        </w:rPr>
        <w:t>Shackley</w:t>
      </w:r>
      <w:proofErr w:type="spellEnd"/>
      <w:r w:rsidR="0019062B" w:rsidRPr="00725664">
        <w:rPr>
          <w:lang w:val="en-US"/>
        </w:rPr>
        <w:t xml:space="preserve"> 2013).</w:t>
      </w:r>
      <w:r w:rsidR="001F7F07" w:rsidRPr="00725664">
        <w:rPr>
          <w:lang w:val="en-US"/>
        </w:rPr>
        <w:t xml:space="preserve"> </w:t>
      </w:r>
    </w:p>
    <w:p w:rsidR="0062154E" w:rsidRPr="00725664" w:rsidRDefault="00D97C6A" w:rsidP="00B87FA0">
      <w:pPr>
        <w:spacing w:line="360" w:lineRule="auto"/>
        <w:rPr>
          <w:lang w:val="en-US"/>
        </w:rPr>
      </w:pPr>
      <w:r w:rsidRPr="00725664">
        <w:rPr>
          <w:lang w:val="en-US"/>
        </w:rPr>
        <w:t>Air h</w:t>
      </w:r>
      <w:r w:rsidR="00BD69A3" w:rsidRPr="00725664">
        <w:rPr>
          <w:lang w:val="en-US"/>
        </w:rPr>
        <w:t>umidity and ai</w:t>
      </w:r>
      <w:r w:rsidR="00596CDD" w:rsidRPr="00725664">
        <w:rPr>
          <w:lang w:val="en-US"/>
        </w:rPr>
        <w:t>r temperature should be kept at a normal indoor climate</w:t>
      </w:r>
      <w:r w:rsidR="00BD69A3" w:rsidRPr="00725664">
        <w:rPr>
          <w:lang w:val="en-US"/>
        </w:rPr>
        <w:t xml:space="preserve">, </w:t>
      </w:r>
      <w:r w:rsidR="007C50E5">
        <w:rPr>
          <w:lang w:val="en-US"/>
        </w:rPr>
        <w:t xml:space="preserve">as </w:t>
      </w:r>
      <w:r w:rsidR="00596CDD" w:rsidRPr="00725664">
        <w:rPr>
          <w:lang w:val="en-US"/>
        </w:rPr>
        <w:t xml:space="preserve">the water molecules in the </w:t>
      </w:r>
      <w:r w:rsidRPr="00725664">
        <w:rPr>
          <w:lang w:val="en-US"/>
        </w:rPr>
        <w:t>air</w:t>
      </w:r>
      <w:r w:rsidR="0016509E" w:rsidRPr="00725664">
        <w:rPr>
          <w:lang w:val="en-US"/>
        </w:rPr>
        <w:t xml:space="preserve"> between </w:t>
      </w:r>
      <w:r w:rsidR="007C50E5">
        <w:rPr>
          <w:lang w:val="en-US"/>
        </w:rPr>
        <w:t xml:space="preserve">the </w:t>
      </w:r>
      <w:r w:rsidR="0016509E" w:rsidRPr="00725664">
        <w:rPr>
          <w:lang w:val="en-US"/>
        </w:rPr>
        <w:t xml:space="preserve">analyzer and </w:t>
      </w:r>
      <w:r w:rsidR="007C50E5">
        <w:rPr>
          <w:lang w:val="en-US"/>
        </w:rPr>
        <w:t xml:space="preserve">the </w:t>
      </w:r>
      <w:r w:rsidR="0016509E" w:rsidRPr="00725664">
        <w:rPr>
          <w:lang w:val="en-US"/>
        </w:rPr>
        <w:t>sample have</w:t>
      </w:r>
      <w:r w:rsidRPr="00725664">
        <w:rPr>
          <w:lang w:val="en-US"/>
        </w:rPr>
        <w:t xml:space="preserve"> severe effects on the </w:t>
      </w:r>
      <w:r w:rsidRPr="00725664">
        <w:rPr>
          <w:lang w:val="en-US"/>
        </w:rPr>
        <w:lastRenderedPageBreak/>
        <w:t>measurements</w:t>
      </w:r>
      <w:r w:rsidR="00596CDD" w:rsidRPr="00725664">
        <w:rPr>
          <w:lang w:val="en-US"/>
        </w:rPr>
        <w:t xml:space="preserve"> and high ambient temperature can cause overheating of the device, resulting in a shut</w:t>
      </w:r>
      <w:r w:rsidR="0062154E" w:rsidRPr="00725664">
        <w:rPr>
          <w:lang w:val="en-US"/>
        </w:rPr>
        <w:t>dow</w:t>
      </w:r>
      <w:r w:rsidR="0016509E" w:rsidRPr="00725664">
        <w:rPr>
          <w:lang w:val="en-US"/>
        </w:rPr>
        <w:t>n</w:t>
      </w:r>
      <w:r w:rsidRPr="00725664">
        <w:rPr>
          <w:lang w:val="en-US"/>
        </w:rPr>
        <w:t>. B</w:t>
      </w:r>
      <w:r w:rsidR="00BD69A3" w:rsidRPr="00725664">
        <w:rPr>
          <w:lang w:val="en-US"/>
        </w:rPr>
        <w:t xml:space="preserve">oth are </w:t>
      </w:r>
      <w:r w:rsidR="008E59BF" w:rsidRPr="00725664">
        <w:rPr>
          <w:lang w:val="en-US"/>
        </w:rPr>
        <w:t>monitored</w:t>
      </w:r>
      <w:r w:rsidR="00BD69A3" w:rsidRPr="00725664">
        <w:rPr>
          <w:lang w:val="en-US"/>
        </w:rPr>
        <w:t xml:space="preserve"> continuously</w:t>
      </w:r>
      <w:r w:rsidR="0081010D" w:rsidRPr="00725664">
        <w:rPr>
          <w:lang w:val="en-US"/>
        </w:rPr>
        <w:t>.</w:t>
      </w:r>
      <w:r w:rsidR="008E59BF" w:rsidRPr="00725664">
        <w:rPr>
          <w:lang w:val="en-US"/>
        </w:rPr>
        <w:t xml:space="preserve"> </w:t>
      </w:r>
      <w:r w:rsidRPr="00725664">
        <w:rPr>
          <w:lang w:val="en-US"/>
        </w:rPr>
        <w:t>Also</w:t>
      </w:r>
      <w:r w:rsidR="007C50E5">
        <w:rPr>
          <w:lang w:val="en-US"/>
        </w:rPr>
        <w:t>,</w:t>
      </w:r>
      <w:r w:rsidRPr="00725664">
        <w:rPr>
          <w:lang w:val="en-US"/>
        </w:rPr>
        <w:t xml:space="preserve"> a </w:t>
      </w:r>
      <w:r w:rsidR="00AC5631" w:rsidRPr="00725664">
        <w:rPr>
          <w:lang w:val="en-US"/>
        </w:rPr>
        <w:t>low water content of the sample</w:t>
      </w:r>
      <w:r w:rsidRPr="00725664">
        <w:rPr>
          <w:lang w:val="en-US"/>
        </w:rPr>
        <w:t xml:space="preserve"> is </w:t>
      </w:r>
      <w:r w:rsidRPr="00DC33D5">
        <w:rPr>
          <w:lang w:val="en-US"/>
        </w:rPr>
        <w:t>importa</w:t>
      </w:r>
      <w:r w:rsidR="0016509E" w:rsidRPr="00DC33D5">
        <w:rPr>
          <w:lang w:val="en-US"/>
        </w:rPr>
        <w:t>nt</w:t>
      </w:r>
      <w:r w:rsidR="009120F7" w:rsidRPr="00DC33D5">
        <w:rPr>
          <w:lang w:val="en-US"/>
        </w:rPr>
        <w:t xml:space="preserve"> (</w:t>
      </w:r>
      <w:proofErr w:type="spellStart"/>
      <w:r w:rsidR="009120F7" w:rsidRPr="00DC33D5">
        <w:rPr>
          <w:lang w:val="en-US"/>
        </w:rPr>
        <w:t>Helfert</w:t>
      </w:r>
      <w:proofErr w:type="spellEnd"/>
      <w:r w:rsidR="009120F7" w:rsidRPr="00DC33D5">
        <w:rPr>
          <w:lang w:val="en-US"/>
        </w:rPr>
        <w:t xml:space="preserve"> 2013</w:t>
      </w:r>
      <w:r w:rsidR="00DC33D5">
        <w:rPr>
          <w:lang w:val="en-US"/>
        </w:rPr>
        <w:t xml:space="preserve">; </w:t>
      </w:r>
      <w:proofErr w:type="spellStart"/>
      <w:r w:rsidR="00DC33D5">
        <w:rPr>
          <w:lang w:val="en-US"/>
        </w:rPr>
        <w:t>Shugar</w:t>
      </w:r>
      <w:proofErr w:type="spellEnd"/>
      <w:r w:rsidR="00DC33D5">
        <w:rPr>
          <w:lang w:val="en-US"/>
        </w:rPr>
        <w:t xml:space="preserve"> 2013</w:t>
      </w:r>
      <w:r w:rsidR="009120F7" w:rsidRPr="00725664">
        <w:rPr>
          <w:lang w:val="en-US"/>
        </w:rPr>
        <w:t>)</w:t>
      </w:r>
      <w:r w:rsidR="0016509E" w:rsidRPr="00725664">
        <w:rPr>
          <w:lang w:val="en-US"/>
        </w:rPr>
        <w:t>.</w:t>
      </w:r>
      <w:r w:rsidR="0062154E" w:rsidRPr="00725664">
        <w:rPr>
          <w:lang w:val="en-US"/>
        </w:rPr>
        <w:t xml:space="preserve"> </w:t>
      </w:r>
      <w:r w:rsidR="009120F7" w:rsidRPr="00725664">
        <w:rPr>
          <w:lang w:val="en-US"/>
        </w:rPr>
        <w:t>A</w:t>
      </w:r>
      <w:r w:rsidRPr="00725664">
        <w:rPr>
          <w:lang w:val="en-US"/>
        </w:rPr>
        <w:t>s</w:t>
      </w:r>
      <w:r w:rsidR="007C50E5">
        <w:rPr>
          <w:lang w:val="en-US"/>
        </w:rPr>
        <w:t xml:space="preserve"> with</w:t>
      </w:r>
      <w:r w:rsidRPr="00725664">
        <w:rPr>
          <w:lang w:val="en-US"/>
        </w:rPr>
        <w:t xml:space="preserve"> all </w:t>
      </w:r>
      <w:r w:rsidR="009120F7" w:rsidRPr="00725664">
        <w:rPr>
          <w:lang w:val="en-US"/>
        </w:rPr>
        <w:t>studied samples</w:t>
      </w:r>
      <w:r w:rsidRPr="00725664">
        <w:rPr>
          <w:lang w:val="en-US"/>
        </w:rPr>
        <w:t xml:space="preserve"> from</w:t>
      </w:r>
      <w:r w:rsidR="009120F7" w:rsidRPr="00725664">
        <w:rPr>
          <w:lang w:val="en-US"/>
        </w:rPr>
        <w:t xml:space="preserve"> excavations years or decades ago</w:t>
      </w:r>
      <w:r w:rsidR="007C50E5">
        <w:rPr>
          <w:lang w:val="en-US"/>
        </w:rPr>
        <w:t>,</w:t>
      </w:r>
      <w:r w:rsidR="00596CDD" w:rsidRPr="00725664">
        <w:rPr>
          <w:lang w:val="en-US"/>
        </w:rPr>
        <w:t xml:space="preserve"> they were stored under controlled</w:t>
      </w:r>
      <w:r w:rsidRPr="00725664">
        <w:rPr>
          <w:lang w:val="en-US"/>
        </w:rPr>
        <w:t xml:space="preserve"> humidity conditions</w:t>
      </w:r>
      <w:r w:rsidR="007C50E5">
        <w:rPr>
          <w:lang w:val="en-US"/>
        </w:rPr>
        <w:t xml:space="preserve"> for a significant period of time, so</w:t>
      </w:r>
      <w:r w:rsidRPr="00725664">
        <w:rPr>
          <w:lang w:val="en-US"/>
        </w:rPr>
        <w:t xml:space="preserve"> we can expect them to be dry</w:t>
      </w:r>
      <w:r w:rsidR="00055581" w:rsidRPr="00725664">
        <w:rPr>
          <w:lang w:val="en-US"/>
        </w:rPr>
        <w:t xml:space="preserve">. </w:t>
      </w:r>
    </w:p>
    <w:p w:rsidR="00840E5A" w:rsidRPr="00725664" w:rsidRDefault="00840E5A" w:rsidP="00B87FA0">
      <w:pPr>
        <w:spacing w:line="360" w:lineRule="auto"/>
        <w:rPr>
          <w:lang w:val="en-US"/>
        </w:rPr>
      </w:pPr>
    </w:p>
    <w:p w:rsidR="00D27E48" w:rsidRPr="00D93B12" w:rsidRDefault="00334BCF" w:rsidP="00B87FA0">
      <w:pPr>
        <w:spacing w:line="360" w:lineRule="auto"/>
        <w:rPr>
          <w:sz w:val="28"/>
          <w:lang w:val="en-US"/>
        </w:rPr>
      </w:pPr>
      <w:r w:rsidRPr="00D93B12">
        <w:rPr>
          <w:sz w:val="28"/>
          <w:lang w:val="en-US"/>
        </w:rPr>
        <w:t>Problems and limitations</w:t>
      </w:r>
    </w:p>
    <w:p w:rsidR="00CC2F08" w:rsidRPr="00725664" w:rsidRDefault="000760D7" w:rsidP="00B87FA0">
      <w:pPr>
        <w:spacing w:line="360" w:lineRule="auto"/>
        <w:rPr>
          <w:lang w:val="en-US"/>
        </w:rPr>
      </w:pPr>
      <w:r w:rsidRPr="00725664">
        <w:rPr>
          <w:lang w:val="en-US"/>
        </w:rPr>
        <w:t xml:space="preserve">The measurements had to be performed on the </w:t>
      </w:r>
      <w:r w:rsidR="00F567A4" w:rsidRPr="00725664">
        <w:rPr>
          <w:lang w:val="en-US"/>
        </w:rPr>
        <w:t>surfaces</w:t>
      </w:r>
      <w:r w:rsidR="007C50E5">
        <w:rPr>
          <w:lang w:val="en-US"/>
        </w:rPr>
        <w:t xml:space="preserve"> of the samples</w:t>
      </w:r>
      <w:r w:rsidRPr="00725664">
        <w:rPr>
          <w:lang w:val="en-US"/>
        </w:rPr>
        <w:t xml:space="preserve">, </w:t>
      </w:r>
      <w:r w:rsidR="00A03839" w:rsidRPr="00725664">
        <w:rPr>
          <w:lang w:val="en-US"/>
        </w:rPr>
        <w:t xml:space="preserve">which were </w:t>
      </w:r>
      <w:r w:rsidRPr="00725664">
        <w:rPr>
          <w:lang w:val="en-US"/>
        </w:rPr>
        <w:t xml:space="preserve">either </w:t>
      </w:r>
      <w:r w:rsidR="00F567A4" w:rsidRPr="00725664">
        <w:rPr>
          <w:lang w:val="en-US"/>
        </w:rPr>
        <w:t>fresh</w:t>
      </w:r>
      <w:r w:rsidR="007C50E5">
        <w:rPr>
          <w:lang w:val="en-US"/>
        </w:rPr>
        <w:t>ly</w:t>
      </w:r>
      <w:r w:rsidR="00F567A4" w:rsidRPr="00725664">
        <w:rPr>
          <w:lang w:val="en-US"/>
        </w:rPr>
        <w:t xml:space="preserve"> </w:t>
      </w:r>
      <w:r w:rsidRPr="00725664">
        <w:rPr>
          <w:lang w:val="en-US"/>
        </w:rPr>
        <w:t>cut, fresh</w:t>
      </w:r>
      <w:r w:rsidR="00F567A4" w:rsidRPr="00725664">
        <w:rPr>
          <w:lang w:val="en-US"/>
        </w:rPr>
        <w:t>ly broken,</w:t>
      </w:r>
      <w:r w:rsidR="00501022" w:rsidRPr="00725664">
        <w:rPr>
          <w:lang w:val="en-US"/>
        </w:rPr>
        <w:t xml:space="preserve"> </w:t>
      </w:r>
      <w:r w:rsidR="007C50E5">
        <w:rPr>
          <w:lang w:val="en-US"/>
        </w:rPr>
        <w:t xml:space="preserve">results of </w:t>
      </w:r>
      <w:r w:rsidR="00501022" w:rsidRPr="00725664">
        <w:rPr>
          <w:lang w:val="en-US"/>
        </w:rPr>
        <w:t>post</w:t>
      </w:r>
      <w:r w:rsidR="007C50E5">
        <w:rPr>
          <w:lang w:val="en-US"/>
        </w:rPr>
        <w:t>-</w:t>
      </w:r>
      <w:r w:rsidR="00501022" w:rsidRPr="00725664">
        <w:rPr>
          <w:lang w:val="en-US"/>
        </w:rPr>
        <w:t xml:space="preserve">excavation </w:t>
      </w:r>
      <w:r w:rsidRPr="00725664">
        <w:rPr>
          <w:lang w:val="en-US"/>
        </w:rPr>
        <w:t>breaks</w:t>
      </w:r>
      <w:r w:rsidR="00F567A4" w:rsidRPr="00725664">
        <w:rPr>
          <w:lang w:val="en-US"/>
        </w:rPr>
        <w:t xml:space="preserve"> or old surfaces</w:t>
      </w:r>
      <w:r w:rsidRPr="00725664">
        <w:rPr>
          <w:lang w:val="en-US"/>
        </w:rPr>
        <w:t xml:space="preserve">. </w:t>
      </w:r>
      <w:r w:rsidR="00E672C0" w:rsidRPr="00725664">
        <w:rPr>
          <w:lang w:val="en-US"/>
        </w:rPr>
        <w:t>To get optimal results</w:t>
      </w:r>
      <w:r w:rsidR="007C50E5">
        <w:rPr>
          <w:lang w:val="en-US"/>
        </w:rPr>
        <w:t>,</w:t>
      </w:r>
      <w:r w:rsidR="00E672C0" w:rsidRPr="00725664">
        <w:rPr>
          <w:lang w:val="en-US"/>
        </w:rPr>
        <w:t xml:space="preserve"> the samples should be homogenized by grinding them </w:t>
      </w:r>
      <w:r w:rsidR="007C50E5">
        <w:rPr>
          <w:lang w:val="en-US"/>
        </w:rPr>
        <w:t>in</w:t>
      </w:r>
      <w:r w:rsidR="00E672C0" w:rsidRPr="00725664">
        <w:rPr>
          <w:lang w:val="en-US"/>
        </w:rPr>
        <w:t>to powder. But</w:t>
      </w:r>
      <w:r w:rsidR="007C50E5">
        <w:rPr>
          <w:lang w:val="en-US"/>
        </w:rPr>
        <w:t>,</w:t>
      </w:r>
      <w:r w:rsidR="00E672C0" w:rsidRPr="00725664">
        <w:rPr>
          <w:lang w:val="en-US"/>
        </w:rPr>
        <w:t xml:space="preserve"> as mentioned above, that was no</w:t>
      </w:r>
      <w:r w:rsidR="007C50E5">
        <w:rPr>
          <w:lang w:val="en-US"/>
        </w:rPr>
        <w:t>t an</w:t>
      </w:r>
      <w:r w:rsidR="00E672C0" w:rsidRPr="00725664">
        <w:rPr>
          <w:lang w:val="en-US"/>
        </w:rPr>
        <w:t xml:space="preserve"> option for this study. </w:t>
      </w:r>
      <w:r w:rsidR="007C50E5">
        <w:rPr>
          <w:lang w:val="en-US"/>
        </w:rPr>
        <w:t>A</w:t>
      </w:r>
      <w:r w:rsidRPr="00725664">
        <w:rPr>
          <w:lang w:val="en-US"/>
        </w:rPr>
        <w:t xml:space="preserve"> slight variation bet</w:t>
      </w:r>
      <w:r w:rsidR="0001712F" w:rsidRPr="00725664">
        <w:rPr>
          <w:lang w:val="en-US"/>
        </w:rPr>
        <w:t xml:space="preserve">ween the results can </w:t>
      </w:r>
      <w:r w:rsidR="007C50E5">
        <w:rPr>
          <w:lang w:val="en-US"/>
        </w:rPr>
        <w:t xml:space="preserve">therefore </w:t>
      </w:r>
      <w:r w:rsidR="0001712F" w:rsidRPr="00725664">
        <w:rPr>
          <w:lang w:val="en-US"/>
        </w:rPr>
        <w:t xml:space="preserve">be expected, </w:t>
      </w:r>
      <w:r w:rsidR="00A03839" w:rsidRPr="00725664">
        <w:rPr>
          <w:lang w:val="en-US"/>
        </w:rPr>
        <w:t xml:space="preserve">due to contamination from deposition and storage. </w:t>
      </w:r>
    </w:p>
    <w:p w:rsidR="00FB4635" w:rsidRPr="00725664" w:rsidRDefault="0001712F" w:rsidP="00B87FA0">
      <w:pPr>
        <w:spacing w:line="360" w:lineRule="auto"/>
        <w:rPr>
          <w:lang w:val="en-US"/>
        </w:rPr>
      </w:pPr>
      <w:r w:rsidRPr="00725664">
        <w:rPr>
          <w:lang w:val="en-US"/>
        </w:rPr>
        <w:t>To get an idea of the variability of the che</w:t>
      </w:r>
      <w:r w:rsidR="00F567A4" w:rsidRPr="00725664">
        <w:rPr>
          <w:lang w:val="en-US"/>
        </w:rPr>
        <w:t>mical composition related to</w:t>
      </w:r>
      <w:r w:rsidRPr="00725664">
        <w:rPr>
          <w:lang w:val="en-US"/>
        </w:rPr>
        <w:t xml:space="preserve"> </w:t>
      </w:r>
      <w:r w:rsidR="004F4F52" w:rsidRPr="00725664">
        <w:rPr>
          <w:lang w:val="en-US"/>
        </w:rPr>
        <w:t xml:space="preserve">uneven </w:t>
      </w:r>
      <w:r w:rsidRPr="00725664">
        <w:rPr>
          <w:lang w:val="en-US"/>
        </w:rPr>
        <w:t>concentration</w:t>
      </w:r>
      <w:r w:rsidR="00F567A4" w:rsidRPr="00725664">
        <w:rPr>
          <w:lang w:val="en-US"/>
        </w:rPr>
        <w:t>s</w:t>
      </w:r>
      <w:r w:rsidR="00FB4635" w:rsidRPr="00725664">
        <w:rPr>
          <w:lang w:val="en-US"/>
        </w:rPr>
        <w:t>,</w:t>
      </w:r>
      <w:r w:rsidRPr="00725664">
        <w:rPr>
          <w:lang w:val="en-US"/>
        </w:rPr>
        <w:t xml:space="preserve"> each sample was measured at least three times on different spots. </w:t>
      </w:r>
      <w:r w:rsidR="00F567A4" w:rsidRPr="00725664">
        <w:rPr>
          <w:lang w:val="en-US"/>
        </w:rPr>
        <w:t>T</w:t>
      </w:r>
      <w:r w:rsidR="008E2BFB" w:rsidRPr="00725664">
        <w:rPr>
          <w:lang w:val="en-US"/>
        </w:rPr>
        <w:t xml:space="preserve">hey </w:t>
      </w:r>
      <w:r w:rsidR="00AC7198" w:rsidRPr="00725664">
        <w:rPr>
          <w:lang w:val="en-US"/>
        </w:rPr>
        <w:t>give a mean concentration</w:t>
      </w:r>
      <w:r w:rsidR="009A7753" w:rsidRPr="00725664">
        <w:rPr>
          <w:lang w:val="en-US"/>
        </w:rPr>
        <w:t xml:space="preserve"> for the </w:t>
      </w:r>
      <w:r w:rsidR="00F567A4" w:rsidRPr="00725664">
        <w:rPr>
          <w:lang w:val="en-US"/>
        </w:rPr>
        <w:t>samples</w:t>
      </w:r>
      <w:r w:rsidR="009A7753" w:rsidRPr="00725664">
        <w:rPr>
          <w:lang w:val="en-US"/>
        </w:rPr>
        <w:t xml:space="preserve"> surface in an area of</w:t>
      </w:r>
      <w:r w:rsidR="008E2BFB" w:rsidRPr="00725664">
        <w:rPr>
          <w:lang w:val="en-US"/>
        </w:rPr>
        <w:t xml:space="preserve"> 8 mm in diameter </w:t>
      </w:r>
      <w:r w:rsidR="009A7753" w:rsidRPr="00725664">
        <w:rPr>
          <w:lang w:val="en-US"/>
        </w:rPr>
        <w:t xml:space="preserve">(aperture </w:t>
      </w:r>
      <w:r w:rsidR="008E2BFB" w:rsidRPr="00725664">
        <w:rPr>
          <w:lang w:val="en-US"/>
        </w:rPr>
        <w:t>of the used device</w:t>
      </w:r>
      <w:r w:rsidR="009A7753" w:rsidRPr="00725664">
        <w:rPr>
          <w:lang w:val="en-US"/>
        </w:rPr>
        <w:t>)</w:t>
      </w:r>
      <w:r w:rsidR="00B5746B" w:rsidRPr="00725664">
        <w:rPr>
          <w:lang w:val="en-US"/>
        </w:rPr>
        <w:t>.</w:t>
      </w:r>
      <w:r w:rsidR="00FB4635" w:rsidRPr="00725664">
        <w:rPr>
          <w:lang w:val="en-US"/>
        </w:rPr>
        <w:t xml:space="preserve"> Also</w:t>
      </w:r>
      <w:r w:rsidR="007C50E5">
        <w:rPr>
          <w:lang w:val="en-US"/>
        </w:rPr>
        <w:t>,</w:t>
      </w:r>
      <w:r w:rsidR="00FB4635" w:rsidRPr="00725664">
        <w:rPr>
          <w:lang w:val="en-US"/>
        </w:rPr>
        <w:t xml:space="preserve"> it is </w:t>
      </w:r>
      <w:r w:rsidR="00B339CA" w:rsidRPr="00725664">
        <w:rPr>
          <w:lang w:val="en-US"/>
        </w:rPr>
        <w:t xml:space="preserve">clear that </w:t>
      </w:r>
      <w:r w:rsidR="00FB4635" w:rsidRPr="00725664">
        <w:rPr>
          <w:lang w:val="en-US"/>
        </w:rPr>
        <w:t xml:space="preserve">inhomogeneity could be tracked down to the sub-microscopic scale, but the question </w:t>
      </w:r>
      <w:r w:rsidR="007C50E5">
        <w:rPr>
          <w:lang w:val="en-US"/>
        </w:rPr>
        <w:t xml:space="preserve">remains as to whether or not </w:t>
      </w:r>
      <w:r w:rsidR="00FB4635" w:rsidRPr="00725664">
        <w:rPr>
          <w:lang w:val="en-US"/>
        </w:rPr>
        <w:t xml:space="preserve">this is necessary in </w:t>
      </w:r>
      <w:r w:rsidR="00F567A4" w:rsidRPr="00725664">
        <w:rPr>
          <w:lang w:val="en-US"/>
        </w:rPr>
        <w:t>this</w:t>
      </w:r>
      <w:r w:rsidR="00FB4635" w:rsidRPr="00725664">
        <w:rPr>
          <w:lang w:val="en-US"/>
        </w:rPr>
        <w:t xml:space="preserve"> case. As our focus is on the general chemical </w:t>
      </w:r>
      <w:r w:rsidR="00F567A4" w:rsidRPr="00725664">
        <w:rPr>
          <w:lang w:val="en-US"/>
        </w:rPr>
        <w:t>composition of the samples and the detection of peculiar lead traces</w:t>
      </w:r>
      <w:r w:rsidR="00FB4635" w:rsidRPr="00725664">
        <w:rPr>
          <w:lang w:val="en-US"/>
        </w:rPr>
        <w:t>, the sum of each of the 8 mm in diameter surface me</w:t>
      </w:r>
      <w:r w:rsidR="004E2242" w:rsidRPr="00725664">
        <w:rPr>
          <w:lang w:val="en-US"/>
        </w:rPr>
        <w:t>a</w:t>
      </w:r>
      <w:r w:rsidR="00FB4635" w:rsidRPr="00725664">
        <w:rPr>
          <w:lang w:val="en-US"/>
        </w:rPr>
        <w:t xml:space="preserve">surements is sufficient. </w:t>
      </w:r>
    </w:p>
    <w:p w:rsidR="00F7060C" w:rsidRPr="00725664" w:rsidRDefault="007F4EDB" w:rsidP="00B87FA0">
      <w:pPr>
        <w:spacing w:line="360" w:lineRule="auto"/>
        <w:rPr>
          <w:lang w:val="en-US"/>
        </w:rPr>
      </w:pPr>
      <w:r w:rsidRPr="00725664">
        <w:rPr>
          <w:lang w:val="en-US"/>
        </w:rPr>
        <w:t xml:space="preserve">It is known that </w:t>
      </w:r>
      <w:r w:rsidR="00197C0C" w:rsidRPr="00725664">
        <w:rPr>
          <w:lang w:val="en-US"/>
        </w:rPr>
        <w:t>a samples surface geometry</w:t>
      </w:r>
      <w:r w:rsidRPr="00725664">
        <w:rPr>
          <w:lang w:val="en-US"/>
        </w:rPr>
        <w:t xml:space="preserve"> influences the refraction of </w:t>
      </w:r>
      <w:r w:rsidR="00F80BC9" w:rsidRPr="00725664">
        <w:rPr>
          <w:lang w:val="en-US"/>
        </w:rPr>
        <w:t xml:space="preserve">radiation. </w:t>
      </w:r>
      <w:r w:rsidRPr="00725664">
        <w:rPr>
          <w:lang w:val="en-US"/>
        </w:rPr>
        <w:t>Another source of distortion is related to the uneven distr</w:t>
      </w:r>
      <w:r w:rsidR="00107538" w:rsidRPr="00725664">
        <w:rPr>
          <w:lang w:val="en-US"/>
        </w:rPr>
        <w:t xml:space="preserve">ibution of </w:t>
      </w:r>
      <w:r w:rsidR="00F567A4" w:rsidRPr="00725664">
        <w:rPr>
          <w:lang w:val="en-US"/>
        </w:rPr>
        <w:t xml:space="preserve">e.g. </w:t>
      </w:r>
      <w:r w:rsidR="00107538" w:rsidRPr="00725664">
        <w:rPr>
          <w:lang w:val="en-US"/>
        </w:rPr>
        <w:t>mineral temper in</w:t>
      </w:r>
      <w:r w:rsidRPr="00725664">
        <w:rPr>
          <w:lang w:val="en-US"/>
        </w:rPr>
        <w:t xml:space="preserve"> </w:t>
      </w:r>
      <w:r w:rsidR="00DE2694">
        <w:rPr>
          <w:lang w:val="en-US"/>
        </w:rPr>
        <w:t xml:space="preserve">a </w:t>
      </w:r>
      <w:r w:rsidRPr="00725664">
        <w:rPr>
          <w:lang w:val="en-US"/>
        </w:rPr>
        <w:t>clay matrix and chemical inhomogeneity in general. Crystallized compone</w:t>
      </w:r>
      <w:r w:rsidR="00107538" w:rsidRPr="00725664">
        <w:rPr>
          <w:lang w:val="en-US"/>
        </w:rPr>
        <w:t xml:space="preserve">nts and </w:t>
      </w:r>
      <w:r w:rsidRPr="00725664">
        <w:rPr>
          <w:lang w:val="en-US"/>
        </w:rPr>
        <w:t>grain size</w:t>
      </w:r>
      <w:r w:rsidR="00DE2694">
        <w:rPr>
          <w:lang w:val="en-US"/>
        </w:rPr>
        <w:t xml:space="preserve"> strongly</w:t>
      </w:r>
      <w:r w:rsidRPr="00725664">
        <w:rPr>
          <w:lang w:val="en-US"/>
        </w:rPr>
        <w:t xml:space="preserve"> influence the path of X-rays</w:t>
      </w:r>
      <w:r w:rsidR="00DE2694">
        <w:rPr>
          <w:lang w:val="en-US"/>
        </w:rPr>
        <w:t xml:space="preserve"> and, </w:t>
      </w:r>
      <w:r w:rsidRPr="00725664">
        <w:rPr>
          <w:lang w:val="en-US"/>
        </w:rPr>
        <w:t xml:space="preserve">especially in combination with amorphous </w:t>
      </w:r>
      <w:proofErr w:type="gramStart"/>
      <w:r w:rsidRPr="00725664">
        <w:rPr>
          <w:lang w:val="en-US"/>
        </w:rPr>
        <w:t>material</w:t>
      </w:r>
      <w:r w:rsidR="00DE2694">
        <w:rPr>
          <w:lang w:val="en-US"/>
        </w:rPr>
        <w:t>,</w:t>
      </w:r>
      <w:proofErr w:type="gramEnd"/>
      <w:r w:rsidRPr="00725664">
        <w:rPr>
          <w:lang w:val="en-US"/>
        </w:rPr>
        <w:t xml:space="preserve"> they amplify distortions in the readout of the detected </w:t>
      </w:r>
      <w:r w:rsidR="00C207FC" w:rsidRPr="00725664">
        <w:rPr>
          <w:lang w:val="en-US"/>
        </w:rPr>
        <w:t xml:space="preserve">fluorescence </w:t>
      </w:r>
      <w:r w:rsidRPr="00725664">
        <w:rPr>
          <w:lang w:val="en-US"/>
        </w:rPr>
        <w:t>energies and their interpretation in the spectra. As radiation cannot penetrate material</w:t>
      </w:r>
      <w:r w:rsidR="00DE2694">
        <w:rPr>
          <w:lang w:val="en-US"/>
        </w:rPr>
        <w:t>s</w:t>
      </w:r>
      <w:r w:rsidRPr="00725664">
        <w:rPr>
          <w:lang w:val="en-US"/>
        </w:rPr>
        <w:t xml:space="preserve"> of </w:t>
      </w:r>
      <w:r w:rsidR="00DE2694">
        <w:rPr>
          <w:lang w:val="en-US"/>
        </w:rPr>
        <w:t xml:space="preserve">varying </w:t>
      </w:r>
      <w:r w:rsidRPr="00725664">
        <w:rPr>
          <w:lang w:val="en-US"/>
        </w:rPr>
        <w:t xml:space="preserve">density and crystal structure in the same way, denser particles in the surface layer may prevent </w:t>
      </w:r>
      <w:r w:rsidR="00DE2694">
        <w:rPr>
          <w:lang w:val="en-US"/>
        </w:rPr>
        <w:t xml:space="preserve">deeper-lying </w:t>
      </w:r>
      <w:r w:rsidRPr="00725664">
        <w:rPr>
          <w:lang w:val="en-US"/>
        </w:rPr>
        <w:t>lighter components</w:t>
      </w:r>
      <w:r w:rsidR="00DE2694">
        <w:rPr>
          <w:lang w:val="en-US"/>
        </w:rPr>
        <w:t xml:space="preserve"> </w:t>
      </w:r>
      <w:r w:rsidRPr="00725664">
        <w:rPr>
          <w:lang w:val="en-US"/>
        </w:rPr>
        <w:t xml:space="preserve">from being </w:t>
      </w:r>
      <w:r w:rsidR="00DE2694">
        <w:rPr>
          <w:lang w:val="en-US"/>
        </w:rPr>
        <w:t xml:space="preserve">activated </w:t>
      </w:r>
      <w:r w:rsidRPr="00725664">
        <w:rPr>
          <w:lang w:val="en-US"/>
        </w:rPr>
        <w:t>and detected. Thus</w:t>
      </w:r>
      <w:r w:rsidR="00DE2694">
        <w:rPr>
          <w:lang w:val="en-US"/>
        </w:rPr>
        <w:t>,</w:t>
      </w:r>
      <w:r w:rsidRPr="00725664">
        <w:rPr>
          <w:lang w:val="en-US"/>
        </w:rPr>
        <w:t xml:space="preserve"> influences on the count rate of the detector lead to </w:t>
      </w:r>
      <w:r w:rsidR="00DE2694">
        <w:rPr>
          <w:lang w:val="en-US"/>
        </w:rPr>
        <w:t xml:space="preserve">false </w:t>
      </w:r>
      <w:r w:rsidRPr="00725664">
        <w:rPr>
          <w:lang w:val="en-US"/>
        </w:rPr>
        <w:t>calculations of the sample</w:t>
      </w:r>
      <w:r w:rsidR="00DE2694">
        <w:rPr>
          <w:lang w:val="en-US"/>
        </w:rPr>
        <w:t>’s</w:t>
      </w:r>
      <w:r w:rsidRPr="00725664">
        <w:rPr>
          <w:lang w:val="en-US"/>
        </w:rPr>
        <w:t xml:space="preserve"> composition. These interactions are summed up to some extent in the term </w:t>
      </w:r>
      <w:r w:rsidR="00DE2694">
        <w:rPr>
          <w:lang w:val="en-US"/>
        </w:rPr>
        <w:t>“</w:t>
      </w:r>
      <w:r w:rsidRPr="00725664">
        <w:rPr>
          <w:lang w:val="en-US"/>
        </w:rPr>
        <w:t>matrix effect</w:t>
      </w:r>
      <w:r w:rsidR="00DE2694">
        <w:rPr>
          <w:lang w:val="en-US"/>
        </w:rPr>
        <w:t xml:space="preserve">” </w:t>
      </w:r>
      <w:r w:rsidRPr="00725664">
        <w:rPr>
          <w:lang w:val="en-US"/>
        </w:rPr>
        <w:t xml:space="preserve">and are </w:t>
      </w:r>
      <w:r w:rsidR="00DE2694">
        <w:rPr>
          <w:lang w:val="en-US"/>
        </w:rPr>
        <w:t xml:space="preserve">further </w:t>
      </w:r>
      <w:r w:rsidRPr="00725664">
        <w:rPr>
          <w:lang w:val="en-US"/>
        </w:rPr>
        <w:t>reasons why ground and homogenized samples are advantageous</w:t>
      </w:r>
      <w:r w:rsidR="00CA5EE3" w:rsidRPr="00725664">
        <w:rPr>
          <w:lang w:val="en-US"/>
        </w:rPr>
        <w:t xml:space="preserve"> (Hunt – </w:t>
      </w:r>
      <w:proofErr w:type="spellStart"/>
      <w:r w:rsidR="00CA5EE3" w:rsidRPr="00725664">
        <w:rPr>
          <w:lang w:val="en-US"/>
        </w:rPr>
        <w:t>Speckman</w:t>
      </w:r>
      <w:proofErr w:type="spellEnd"/>
      <w:r w:rsidR="00CA5EE3" w:rsidRPr="00725664">
        <w:rPr>
          <w:lang w:val="en-US"/>
        </w:rPr>
        <w:t xml:space="preserve"> 2015</w:t>
      </w:r>
      <w:r w:rsidR="0030605C" w:rsidRPr="00725664">
        <w:rPr>
          <w:lang w:val="en-US"/>
        </w:rPr>
        <w:t xml:space="preserve">; Hall et al. 2012, 2014; </w:t>
      </w:r>
      <w:proofErr w:type="spellStart"/>
      <w:r w:rsidR="0030605C" w:rsidRPr="00725664">
        <w:rPr>
          <w:lang w:val="en-US"/>
        </w:rPr>
        <w:t>Gallhofer</w:t>
      </w:r>
      <w:proofErr w:type="spellEnd"/>
      <w:r w:rsidR="0030605C" w:rsidRPr="00725664">
        <w:rPr>
          <w:lang w:val="en-US"/>
        </w:rPr>
        <w:t xml:space="preserve"> – </w:t>
      </w:r>
      <w:proofErr w:type="spellStart"/>
      <w:r w:rsidR="0030605C" w:rsidRPr="00725664">
        <w:rPr>
          <w:lang w:val="en-US"/>
        </w:rPr>
        <w:t>Lottermoser</w:t>
      </w:r>
      <w:proofErr w:type="spellEnd"/>
      <w:r w:rsidR="0030605C" w:rsidRPr="00725664">
        <w:rPr>
          <w:lang w:val="en-US"/>
        </w:rPr>
        <w:t xml:space="preserve"> 2018; </w:t>
      </w:r>
      <w:proofErr w:type="spellStart"/>
      <w:r w:rsidR="0030605C" w:rsidRPr="00725664">
        <w:rPr>
          <w:lang w:val="en-US"/>
        </w:rPr>
        <w:t>Piercey</w:t>
      </w:r>
      <w:proofErr w:type="spellEnd"/>
      <w:r w:rsidR="0030605C" w:rsidRPr="00725664">
        <w:rPr>
          <w:lang w:val="en-US"/>
        </w:rPr>
        <w:t xml:space="preserve"> – Devine 2014; Kenna et </w:t>
      </w:r>
      <w:r w:rsidR="0030605C" w:rsidRPr="00DC33D5">
        <w:rPr>
          <w:lang w:val="en-US"/>
        </w:rPr>
        <w:t>al. 2011</w:t>
      </w:r>
      <w:r w:rsidR="00DC33D5" w:rsidRPr="00DC33D5">
        <w:rPr>
          <w:lang w:val="en-US"/>
        </w:rPr>
        <w:t xml:space="preserve">; </w:t>
      </w:r>
      <w:proofErr w:type="spellStart"/>
      <w:r w:rsidR="00DC33D5" w:rsidRPr="00DC33D5">
        <w:rPr>
          <w:lang w:val="en-US"/>
        </w:rPr>
        <w:t>Shugar</w:t>
      </w:r>
      <w:proofErr w:type="spellEnd"/>
      <w:r w:rsidR="00DC33D5" w:rsidRPr="00DC33D5">
        <w:rPr>
          <w:lang w:val="en-US"/>
        </w:rPr>
        <w:t xml:space="preserve"> 2013</w:t>
      </w:r>
      <w:r w:rsidR="00F7060C" w:rsidRPr="00DC33D5">
        <w:rPr>
          <w:lang w:val="en-US"/>
        </w:rPr>
        <w:t>).</w:t>
      </w:r>
    </w:p>
    <w:p w:rsidR="00656493" w:rsidRPr="00725664" w:rsidRDefault="00F66F9F" w:rsidP="00B87FA0">
      <w:pPr>
        <w:spacing w:line="360" w:lineRule="auto"/>
        <w:rPr>
          <w:lang w:val="en-US"/>
        </w:rPr>
      </w:pPr>
      <w:r w:rsidRPr="00725664">
        <w:rPr>
          <w:lang w:val="en-US"/>
        </w:rPr>
        <w:lastRenderedPageBreak/>
        <w:t>Even if ideal fine</w:t>
      </w:r>
      <w:r w:rsidR="00DE2694">
        <w:rPr>
          <w:lang w:val="en-US"/>
        </w:rPr>
        <w:t>-</w:t>
      </w:r>
      <w:r w:rsidRPr="00725664">
        <w:rPr>
          <w:lang w:val="en-US"/>
        </w:rPr>
        <w:t>grained and homogenous samples</w:t>
      </w:r>
      <w:r w:rsidR="00770F60" w:rsidRPr="00725664">
        <w:rPr>
          <w:lang w:val="en-US"/>
        </w:rPr>
        <w:t xml:space="preserve"> are</w:t>
      </w:r>
      <w:r w:rsidRPr="00725664">
        <w:rPr>
          <w:lang w:val="en-US"/>
        </w:rPr>
        <w:t xml:space="preserve"> </w:t>
      </w:r>
      <w:proofErr w:type="spellStart"/>
      <w:r w:rsidRPr="00725664">
        <w:rPr>
          <w:lang w:val="en-US"/>
        </w:rPr>
        <w:t>analy</w:t>
      </w:r>
      <w:r w:rsidR="00DE2694">
        <w:rPr>
          <w:lang w:val="en-US"/>
        </w:rPr>
        <w:t>s</w:t>
      </w:r>
      <w:r w:rsidRPr="00725664">
        <w:rPr>
          <w:lang w:val="en-US"/>
        </w:rPr>
        <w:t>ed</w:t>
      </w:r>
      <w:proofErr w:type="spellEnd"/>
      <w:r w:rsidRPr="00725664">
        <w:rPr>
          <w:lang w:val="en-US"/>
        </w:rPr>
        <w:t xml:space="preserve">, a </w:t>
      </w:r>
      <w:r w:rsidR="00DE2694">
        <w:rPr>
          <w:lang w:val="en-US"/>
        </w:rPr>
        <w:t>multitude</w:t>
      </w:r>
      <w:r w:rsidRPr="00725664">
        <w:rPr>
          <w:lang w:val="en-US"/>
        </w:rPr>
        <w:t xml:space="preserve"> of complex phenomena</w:t>
      </w:r>
      <w:r w:rsidR="006311BE" w:rsidRPr="00725664">
        <w:rPr>
          <w:lang w:val="en-US"/>
        </w:rPr>
        <w:t xml:space="preserve"> </w:t>
      </w:r>
      <w:r w:rsidR="00F80BC9" w:rsidRPr="00725664">
        <w:rPr>
          <w:lang w:val="en-US"/>
        </w:rPr>
        <w:t xml:space="preserve">can </w:t>
      </w:r>
      <w:r w:rsidR="00DE2694">
        <w:rPr>
          <w:lang w:val="en-US"/>
        </w:rPr>
        <w:t>a</w:t>
      </w:r>
      <w:r w:rsidR="00F80BC9" w:rsidRPr="00725664">
        <w:rPr>
          <w:lang w:val="en-US"/>
        </w:rPr>
        <w:t>rise when interpreting the fluorescence</w:t>
      </w:r>
      <w:r w:rsidR="00770F60" w:rsidRPr="00725664">
        <w:rPr>
          <w:lang w:val="en-US"/>
        </w:rPr>
        <w:t xml:space="preserve"> spectra in order to </w:t>
      </w:r>
      <w:r w:rsidR="00DE2694">
        <w:rPr>
          <w:lang w:val="en-US"/>
        </w:rPr>
        <w:t xml:space="preserve">determine </w:t>
      </w:r>
      <w:r w:rsidR="00770F60" w:rsidRPr="00725664">
        <w:rPr>
          <w:lang w:val="en-US"/>
        </w:rPr>
        <w:t>the presence of a certain element and its quantity</w:t>
      </w:r>
      <w:r w:rsidR="00BB4575" w:rsidRPr="00725664">
        <w:rPr>
          <w:lang w:val="en-US"/>
        </w:rPr>
        <w:t xml:space="preserve"> by plotting the count rate of detected radiation versus its energy</w:t>
      </w:r>
      <w:r w:rsidR="00770F60" w:rsidRPr="00725664">
        <w:rPr>
          <w:lang w:val="en-US"/>
        </w:rPr>
        <w:t xml:space="preserve">. </w:t>
      </w:r>
      <w:r w:rsidR="00DE2694">
        <w:rPr>
          <w:lang w:val="en-US"/>
        </w:rPr>
        <w:t>T</w:t>
      </w:r>
      <w:r w:rsidR="00770F60" w:rsidRPr="00725664">
        <w:rPr>
          <w:lang w:val="en-US"/>
        </w:rPr>
        <w:t>he final result is</w:t>
      </w:r>
      <w:r w:rsidRPr="00725664">
        <w:rPr>
          <w:lang w:val="en-US"/>
        </w:rPr>
        <w:t xml:space="preserve"> </w:t>
      </w:r>
      <w:r w:rsidR="00DE2694">
        <w:rPr>
          <w:lang w:val="en-US"/>
        </w:rPr>
        <w:t xml:space="preserve">usually </w:t>
      </w:r>
      <w:r w:rsidRPr="00725664">
        <w:rPr>
          <w:lang w:val="en-US"/>
        </w:rPr>
        <w:t>generated</w:t>
      </w:r>
      <w:r w:rsidR="00932142" w:rsidRPr="00725664">
        <w:rPr>
          <w:lang w:val="en-US"/>
        </w:rPr>
        <w:t xml:space="preserve"> by </w:t>
      </w:r>
      <w:r w:rsidR="00770F60" w:rsidRPr="00725664">
        <w:rPr>
          <w:lang w:val="en-US"/>
        </w:rPr>
        <w:t xml:space="preserve">proprietary </w:t>
      </w:r>
      <w:r w:rsidRPr="00725664">
        <w:rPr>
          <w:lang w:val="en-US"/>
        </w:rPr>
        <w:t>software</w:t>
      </w:r>
      <w:r w:rsidR="00770F60" w:rsidRPr="00725664">
        <w:rPr>
          <w:lang w:val="en-US"/>
        </w:rPr>
        <w:t xml:space="preserve"> preloaded in the system</w:t>
      </w:r>
      <w:r w:rsidR="00880EF8" w:rsidRPr="00725664">
        <w:rPr>
          <w:lang w:val="en-US"/>
        </w:rPr>
        <w:t xml:space="preserve"> – and</w:t>
      </w:r>
      <w:r w:rsidR="00770F60" w:rsidRPr="00725664">
        <w:rPr>
          <w:lang w:val="en-US"/>
        </w:rPr>
        <w:t xml:space="preserve"> </w:t>
      </w:r>
      <w:r w:rsidR="00880EF8" w:rsidRPr="00725664">
        <w:rPr>
          <w:lang w:val="en-US"/>
        </w:rPr>
        <w:t>here</w:t>
      </w:r>
      <w:r w:rsidR="00DE2694">
        <w:rPr>
          <w:lang w:val="en-US"/>
        </w:rPr>
        <w:t>in</w:t>
      </w:r>
      <w:r w:rsidR="00880EF8" w:rsidRPr="00725664">
        <w:rPr>
          <w:lang w:val="en-US"/>
        </w:rPr>
        <w:t xml:space="preserve"> </w:t>
      </w:r>
      <w:proofErr w:type="gramStart"/>
      <w:r w:rsidR="00880EF8" w:rsidRPr="00725664">
        <w:rPr>
          <w:lang w:val="en-US"/>
        </w:rPr>
        <w:t>lies</w:t>
      </w:r>
      <w:proofErr w:type="gramEnd"/>
      <w:r w:rsidR="00770F60" w:rsidRPr="00725664">
        <w:rPr>
          <w:lang w:val="en-US"/>
        </w:rPr>
        <w:t xml:space="preserve"> its sensitive spot. </w:t>
      </w:r>
      <w:r w:rsidR="00AC2845" w:rsidRPr="00725664">
        <w:rPr>
          <w:lang w:val="en-US"/>
        </w:rPr>
        <w:t xml:space="preserve">To calculate </w:t>
      </w:r>
      <w:r w:rsidR="00DE2694">
        <w:rPr>
          <w:lang w:val="en-US"/>
        </w:rPr>
        <w:t>the quantity of an element</w:t>
      </w:r>
      <w:r w:rsidR="00AC2845" w:rsidRPr="00725664">
        <w:rPr>
          <w:lang w:val="en-US"/>
        </w:rPr>
        <w:t xml:space="preserve">, the identification of its main lines </w:t>
      </w:r>
      <w:r w:rsidR="008E01B9" w:rsidRPr="00725664">
        <w:rPr>
          <w:lang w:val="en-US"/>
        </w:rPr>
        <w:t>(e.g. K</w:t>
      </w:r>
      <w:r w:rsidR="008E01B9" w:rsidRPr="00725664">
        <w:rPr>
          <w:rFonts w:ascii="Symbol" w:hAnsi="Symbol"/>
          <w:lang w:val="en-US"/>
        </w:rPr>
        <w:t></w:t>
      </w:r>
      <w:r w:rsidR="008E01B9" w:rsidRPr="00725664">
        <w:rPr>
          <w:lang w:val="en-US"/>
        </w:rPr>
        <w:t xml:space="preserve"> and K</w:t>
      </w:r>
      <w:r w:rsidR="008E01B9" w:rsidRPr="00725664">
        <w:rPr>
          <w:rFonts w:ascii="Symbol" w:hAnsi="Symbol"/>
          <w:lang w:val="en-US"/>
        </w:rPr>
        <w:t></w:t>
      </w:r>
      <w:r w:rsidR="008E01B9" w:rsidRPr="00725664">
        <w:rPr>
          <w:lang w:val="en-US"/>
        </w:rPr>
        <w:t xml:space="preserve">) </w:t>
      </w:r>
      <w:r w:rsidR="00AC2845" w:rsidRPr="00725664">
        <w:rPr>
          <w:lang w:val="en-US"/>
        </w:rPr>
        <w:t>and their peak</w:t>
      </w:r>
      <w:r w:rsidR="00DE2694">
        <w:rPr>
          <w:lang w:val="en-US"/>
        </w:rPr>
        <w:t>’s</w:t>
      </w:r>
      <w:r w:rsidR="00AC2845" w:rsidRPr="00725664">
        <w:rPr>
          <w:lang w:val="en-US"/>
        </w:rPr>
        <w:t xml:space="preserve"> height relation to each other are necessary data. As the peak</w:t>
      </w:r>
      <w:r w:rsidR="00BB4575" w:rsidRPr="00725664">
        <w:rPr>
          <w:lang w:val="en-US"/>
        </w:rPr>
        <w:t>s of several elements differ only slightly in their energy, they can overlap to some extent</w:t>
      </w:r>
      <w:r w:rsidR="008E01B9" w:rsidRPr="00725664">
        <w:rPr>
          <w:lang w:val="en-US"/>
        </w:rPr>
        <w:t xml:space="preserve"> with </w:t>
      </w:r>
      <w:r w:rsidR="0059054B" w:rsidRPr="00725664">
        <w:rPr>
          <w:lang w:val="en-US"/>
        </w:rPr>
        <w:t>a peak</w:t>
      </w:r>
      <w:r w:rsidR="008E01B9" w:rsidRPr="00725664">
        <w:rPr>
          <w:lang w:val="en-US"/>
        </w:rPr>
        <w:t xml:space="preserve"> of another element</w:t>
      </w:r>
      <w:r w:rsidR="00BB4575" w:rsidRPr="00725664">
        <w:rPr>
          <w:lang w:val="en-US"/>
        </w:rPr>
        <w:t xml:space="preserve">. </w:t>
      </w:r>
      <w:r w:rsidR="00266929" w:rsidRPr="00725664">
        <w:rPr>
          <w:lang w:val="en-US"/>
        </w:rPr>
        <w:t>Arsenic and lead are example</w:t>
      </w:r>
      <w:r w:rsidR="00DE2694">
        <w:rPr>
          <w:lang w:val="en-US"/>
        </w:rPr>
        <w:t>s of this</w:t>
      </w:r>
      <w:r w:rsidR="00266929" w:rsidRPr="00725664">
        <w:rPr>
          <w:lang w:val="en-US"/>
        </w:rPr>
        <w:t xml:space="preserve">. </w:t>
      </w:r>
      <w:r w:rsidR="008E01B9" w:rsidRPr="00725664">
        <w:rPr>
          <w:lang w:val="en-US"/>
        </w:rPr>
        <w:t xml:space="preserve">The result is a sum peak with count rates </w:t>
      </w:r>
      <w:r w:rsidR="00DE2694">
        <w:rPr>
          <w:lang w:val="en-US"/>
        </w:rPr>
        <w:t xml:space="preserve">too high </w:t>
      </w:r>
      <w:r w:rsidR="008E01B9" w:rsidRPr="00725664">
        <w:rPr>
          <w:lang w:val="en-US"/>
        </w:rPr>
        <w:t xml:space="preserve">for an element while the </w:t>
      </w:r>
      <w:r w:rsidR="00D17BD5" w:rsidRPr="00725664">
        <w:rPr>
          <w:lang w:val="en-US"/>
        </w:rPr>
        <w:t>other element</w:t>
      </w:r>
      <w:r w:rsidR="008E01B9" w:rsidRPr="00725664">
        <w:rPr>
          <w:lang w:val="en-US"/>
        </w:rPr>
        <w:t xml:space="preserve"> may not be reported by the software at all. Besides radiation effects in the sample itself (e.g. Bremsstrahlung)</w:t>
      </w:r>
      <w:r w:rsidR="00DE2694">
        <w:rPr>
          <w:lang w:val="en-US"/>
        </w:rPr>
        <w:t>,</w:t>
      </w:r>
      <w:r w:rsidR="008E01B9" w:rsidRPr="00725664">
        <w:rPr>
          <w:lang w:val="en-US"/>
        </w:rPr>
        <w:t xml:space="preserve"> so</w:t>
      </w:r>
      <w:r w:rsidR="00DE2694">
        <w:rPr>
          <w:lang w:val="en-US"/>
        </w:rPr>
        <w:t>-</w:t>
      </w:r>
      <w:r w:rsidR="008E01B9" w:rsidRPr="00725664">
        <w:rPr>
          <w:lang w:val="en-US"/>
        </w:rPr>
        <w:t>called escape peaks in the detector can produce radiations that are mere interferences inherent to the system, but they can contribute severely to the count rate of an element (</w:t>
      </w:r>
      <w:r w:rsidR="00264A23" w:rsidRPr="00725664">
        <w:rPr>
          <w:lang w:val="en-US"/>
        </w:rPr>
        <w:t xml:space="preserve">Hunt – </w:t>
      </w:r>
      <w:proofErr w:type="spellStart"/>
      <w:r w:rsidR="00264A23" w:rsidRPr="00725664">
        <w:rPr>
          <w:lang w:val="en-US"/>
        </w:rPr>
        <w:t>Speckman</w:t>
      </w:r>
      <w:proofErr w:type="spellEnd"/>
      <w:r w:rsidR="00264A23" w:rsidRPr="00725664">
        <w:rPr>
          <w:lang w:val="en-US"/>
        </w:rPr>
        <w:t xml:space="preserve"> 2015; Hall et al. 2012, 2014; </w:t>
      </w:r>
      <w:proofErr w:type="spellStart"/>
      <w:r w:rsidR="00264A23" w:rsidRPr="00725664">
        <w:rPr>
          <w:lang w:val="en-US"/>
        </w:rPr>
        <w:t>Gallhofer</w:t>
      </w:r>
      <w:proofErr w:type="spellEnd"/>
      <w:r w:rsidR="00264A23" w:rsidRPr="00725664">
        <w:rPr>
          <w:lang w:val="en-US"/>
        </w:rPr>
        <w:t xml:space="preserve"> – </w:t>
      </w:r>
      <w:proofErr w:type="spellStart"/>
      <w:r w:rsidR="00264A23" w:rsidRPr="00725664">
        <w:rPr>
          <w:lang w:val="en-US"/>
        </w:rPr>
        <w:t>Lottermoser</w:t>
      </w:r>
      <w:proofErr w:type="spellEnd"/>
      <w:r w:rsidR="00264A23" w:rsidRPr="00725664">
        <w:rPr>
          <w:lang w:val="en-US"/>
        </w:rPr>
        <w:t xml:space="preserve"> 2018; </w:t>
      </w:r>
      <w:proofErr w:type="spellStart"/>
      <w:r w:rsidR="00264A23" w:rsidRPr="00725664">
        <w:rPr>
          <w:lang w:val="en-US"/>
        </w:rPr>
        <w:t>Piercey</w:t>
      </w:r>
      <w:proofErr w:type="spellEnd"/>
      <w:r w:rsidR="00264A23" w:rsidRPr="00725664">
        <w:rPr>
          <w:lang w:val="en-US"/>
        </w:rPr>
        <w:t xml:space="preserve"> – Devine 2014; Kenna et al. 2011;</w:t>
      </w:r>
      <w:r w:rsidR="008C38D7">
        <w:rPr>
          <w:lang w:val="en-US"/>
        </w:rPr>
        <w:t xml:space="preserve"> </w:t>
      </w:r>
      <w:proofErr w:type="spellStart"/>
      <w:r w:rsidR="008C38D7" w:rsidRPr="00DC33D5">
        <w:rPr>
          <w:lang w:val="en-US"/>
        </w:rPr>
        <w:t>Shugar</w:t>
      </w:r>
      <w:proofErr w:type="spellEnd"/>
      <w:r w:rsidR="008C38D7" w:rsidRPr="00DC33D5">
        <w:rPr>
          <w:lang w:val="en-US"/>
        </w:rPr>
        <w:t xml:space="preserve"> – Mass 2012;</w:t>
      </w:r>
      <w:r w:rsidR="00264A23" w:rsidRPr="00725664">
        <w:rPr>
          <w:lang w:val="en-US"/>
        </w:rPr>
        <w:t xml:space="preserve"> </w:t>
      </w:r>
      <w:proofErr w:type="spellStart"/>
      <w:r w:rsidR="00264A23" w:rsidRPr="00725664">
        <w:rPr>
          <w:lang w:val="en-US"/>
        </w:rPr>
        <w:t>Speckman</w:t>
      </w:r>
      <w:proofErr w:type="spellEnd"/>
      <w:r w:rsidR="00264A23" w:rsidRPr="00725664">
        <w:rPr>
          <w:lang w:val="en-US"/>
        </w:rPr>
        <w:t xml:space="preserve"> et al. 2011</w:t>
      </w:r>
      <w:r w:rsidR="008E01B9" w:rsidRPr="00725664">
        <w:rPr>
          <w:lang w:val="en-US"/>
        </w:rPr>
        <w:t xml:space="preserve">). </w:t>
      </w:r>
    </w:p>
    <w:p w:rsidR="00681B13" w:rsidRPr="00725664" w:rsidRDefault="009A2009" w:rsidP="00B87FA0">
      <w:pPr>
        <w:spacing w:line="360" w:lineRule="auto"/>
        <w:rPr>
          <w:lang w:val="en-US"/>
        </w:rPr>
      </w:pPr>
      <w:r w:rsidRPr="00725664">
        <w:rPr>
          <w:lang w:val="en-US"/>
        </w:rPr>
        <w:t>Because of</w:t>
      </w:r>
      <w:r w:rsidR="00681B13" w:rsidRPr="00725664">
        <w:rPr>
          <w:lang w:val="en-US"/>
        </w:rPr>
        <w:t xml:space="preserve"> spectra</w:t>
      </w:r>
      <w:r w:rsidR="004379B0" w:rsidRPr="00725664">
        <w:rPr>
          <w:lang w:val="en-US"/>
        </w:rPr>
        <w:t>l interference</w:t>
      </w:r>
      <w:r w:rsidRPr="00725664">
        <w:rPr>
          <w:lang w:val="en-US"/>
        </w:rPr>
        <w:t>,</w:t>
      </w:r>
      <w:r w:rsidR="00681B13" w:rsidRPr="00725664">
        <w:rPr>
          <w:lang w:val="en-US"/>
        </w:rPr>
        <w:t xml:space="preserve"> many elements are only </w:t>
      </w:r>
      <w:r w:rsidR="00DE2694" w:rsidRPr="00725664">
        <w:rPr>
          <w:lang w:val="en-US"/>
        </w:rPr>
        <w:t xml:space="preserve">adequately </w:t>
      </w:r>
      <w:r w:rsidR="00681B13" w:rsidRPr="00725664">
        <w:rPr>
          <w:lang w:val="en-US"/>
        </w:rPr>
        <w:t xml:space="preserve">detectable </w:t>
      </w:r>
      <w:r w:rsidR="00F23212" w:rsidRPr="00725664">
        <w:rPr>
          <w:lang w:val="en-US"/>
        </w:rPr>
        <w:t xml:space="preserve">in real world samples </w:t>
      </w:r>
      <w:r w:rsidR="004379B0" w:rsidRPr="00725664">
        <w:rPr>
          <w:lang w:val="en-US"/>
        </w:rPr>
        <w:t xml:space="preserve">when </w:t>
      </w:r>
      <w:r w:rsidR="00681B13" w:rsidRPr="00725664">
        <w:rPr>
          <w:lang w:val="en-US"/>
        </w:rPr>
        <w:t xml:space="preserve">present in amounts considerably higher than their limit of </w:t>
      </w:r>
      <w:r w:rsidR="00B930E0" w:rsidRPr="00725664">
        <w:rPr>
          <w:lang w:val="en-US"/>
        </w:rPr>
        <w:t xml:space="preserve">quantification (LOQ) </w:t>
      </w:r>
      <w:r w:rsidR="00681B13" w:rsidRPr="00725664">
        <w:rPr>
          <w:lang w:val="en-US"/>
        </w:rPr>
        <w:t xml:space="preserve">would be </w:t>
      </w:r>
      <w:r w:rsidR="00B930E0" w:rsidRPr="00725664">
        <w:rPr>
          <w:lang w:val="en-US"/>
        </w:rPr>
        <w:t xml:space="preserve">when measured </w:t>
      </w:r>
      <w:r w:rsidR="002C012B" w:rsidRPr="00725664">
        <w:rPr>
          <w:lang w:val="en-US"/>
        </w:rPr>
        <w:t xml:space="preserve">in an </w:t>
      </w:r>
      <w:r w:rsidR="00B930E0" w:rsidRPr="00725664">
        <w:rPr>
          <w:lang w:val="en-US"/>
        </w:rPr>
        <w:t>ideally</w:t>
      </w:r>
      <w:r w:rsidR="00681B13" w:rsidRPr="00725664">
        <w:rPr>
          <w:lang w:val="en-US"/>
        </w:rPr>
        <w:t xml:space="preserve"> </w:t>
      </w:r>
      <w:r w:rsidR="002C012B" w:rsidRPr="00725664">
        <w:rPr>
          <w:lang w:val="en-US"/>
        </w:rPr>
        <w:t xml:space="preserve">clean matrix, i.e. </w:t>
      </w:r>
      <w:r w:rsidR="00681B13" w:rsidRPr="00725664">
        <w:rPr>
          <w:lang w:val="en-US"/>
        </w:rPr>
        <w:t>in combination with elements that do</w:t>
      </w:r>
      <w:r w:rsidR="00DE2694">
        <w:rPr>
          <w:lang w:val="en-US"/>
        </w:rPr>
        <w:t xml:space="preserve"> not</w:t>
      </w:r>
      <w:r w:rsidR="00681B13" w:rsidRPr="00725664">
        <w:rPr>
          <w:lang w:val="en-US"/>
        </w:rPr>
        <w:t xml:space="preserve"> interfere with each other. </w:t>
      </w:r>
      <w:r w:rsidR="00B930E0" w:rsidRPr="00725664">
        <w:rPr>
          <w:lang w:val="en-US"/>
        </w:rPr>
        <w:t>The limit of detection (LOD) is defined as the lowest concentration for which the mere presence of an element can be detected and the LOD</w:t>
      </w:r>
      <w:r w:rsidR="00681B13" w:rsidRPr="00725664">
        <w:rPr>
          <w:lang w:val="en-US"/>
        </w:rPr>
        <w:t xml:space="preserve"> is often given for elements in SiO</w:t>
      </w:r>
      <w:r w:rsidR="00681B13" w:rsidRPr="00725664">
        <w:rPr>
          <w:vertAlign w:val="subscript"/>
          <w:lang w:val="en-US"/>
        </w:rPr>
        <w:t>2</w:t>
      </w:r>
      <w:r w:rsidR="00681B13" w:rsidRPr="00725664">
        <w:rPr>
          <w:lang w:val="en-US"/>
        </w:rPr>
        <w:t xml:space="preserve"> matrix </w:t>
      </w:r>
      <w:r w:rsidR="004D535D" w:rsidRPr="00725664">
        <w:rPr>
          <w:lang w:val="en-US"/>
        </w:rPr>
        <w:t>by the device’s provider</w:t>
      </w:r>
      <w:r w:rsidR="0027085C" w:rsidRPr="00725664">
        <w:rPr>
          <w:lang w:val="en-US"/>
        </w:rPr>
        <w:t>. This</w:t>
      </w:r>
      <w:r w:rsidR="004D535D" w:rsidRPr="00725664">
        <w:rPr>
          <w:lang w:val="en-US"/>
        </w:rPr>
        <w:t xml:space="preserve"> </w:t>
      </w:r>
      <w:r w:rsidR="0027085C" w:rsidRPr="00725664">
        <w:rPr>
          <w:lang w:val="en-US"/>
        </w:rPr>
        <w:t>avoids</w:t>
      </w:r>
      <w:r w:rsidR="004379B0" w:rsidRPr="00725664">
        <w:rPr>
          <w:lang w:val="en-US"/>
        </w:rPr>
        <w:t xml:space="preserve"> </w:t>
      </w:r>
      <w:r w:rsidR="004D535D" w:rsidRPr="00725664">
        <w:rPr>
          <w:lang w:val="en-US"/>
        </w:rPr>
        <w:t>many inte</w:t>
      </w:r>
      <w:r w:rsidR="004379B0" w:rsidRPr="00725664">
        <w:rPr>
          <w:lang w:val="en-US"/>
        </w:rPr>
        <w:t xml:space="preserve">rference sources present in </w:t>
      </w:r>
      <w:r w:rsidR="00A97BB4" w:rsidRPr="00725664">
        <w:rPr>
          <w:lang w:val="en-US"/>
        </w:rPr>
        <w:t xml:space="preserve">most </w:t>
      </w:r>
      <w:r w:rsidR="004379B0" w:rsidRPr="00725664">
        <w:rPr>
          <w:lang w:val="en-US"/>
        </w:rPr>
        <w:t>rocks or</w:t>
      </w:r>
      <w:r w:rsidR="004D535D" w:rsidRPr="00725664">
        <w:rPr>
          <w:lang w:val="en-US"/>
        </w:rPr>
        <w:t xml:space="preserve"> artefacts </w:t>
      </w:r>
      <w:r w:rsidR="004379B0" w:rsidRPr="00725664">
        <w:rPr>
          <w:lang w:val="en-US"/>
        </w:rPr>
        <w:t>and</w:t>
      </w:r>
      <w:r w:rsidR="004D535D" w:rsidRPr="00725664">
        <w:rPr>
          <w:lang w:val="en-US"/>
        </w:rPr>
        <w:t xml:space="preserve"> sugges</w:t>
      </w:r>
      <w:r w:rsidR="00DE2694">
        <w:rPr>
          <w:lang w:val="en-US"/>
        </w:rPr>
        <w:t>ts a</w:t>
      </w:r>
      <w:r w:rsidR="004D535D" w:rsidRPr="00725664">
        <w:rPr>
          <w:lang w:val="en-US"/>
        </w:rPr>
        <w:t xml:space="preserve"> very lo</w:t>
      </w:r>
      <w:r w:rsidR="004379B0" w:rsidRPr="00725664">
        <w:rPr>
          <w:lang w:val="en-US"/>
        </w:rPr>
        <w:t>w LOD instead</w:t>
      </w:r>
      <w:r w:rsidR="00B930E0" w:rsidRPr="00725664">
        <w:rPr>
          <w:lang w:val="en-US"/>
        </w:rPr>
        <w:t xml:space="preserve">. </w:t>
      </w:r>
      <w:r w:rsidR="00DE2694">
        <w:rPr>
          <w:lang w:val="en-US"/>
        </w:rPr>
        <w:t xml:space="preserve">A </w:t>
      </w:r>
      <w:r w:rsidR="00B930E0" w:rsidRPr="00725664">
        <w:rPr>
          <w:lang w:val="en-US"/>
        </w:rPr>
        <w:t xml:space="preserve">LOD should not be confused with </w:t>
      </w:r>
      <w:r w:rsidR="00DE2694">
        <w:rPr>
          <w:lang w:val="en-US"/>
        </w:rPr>
        <w:t xml:space="preserve">the </w:t>
      </w:r>
      <w:r w:rsidR="00B930E0" w:rsidRPr="00725664">
        <w:rPr>
          <w:lang w:val="en-US"/>
        </w:rPr>
        <w:t>LOQ, the lowest of an element</w:t>
      </w:r>
      <w:r w:rsidR="00DE2694">
        <w:rPr>
          <w:lang w:val="en-US"/>
        </w:rPr>
        <w:t>’</w:t>
      </w:r>
      <w:r w:rsidR="00B930E0" w:rsidRPr="00725664">
        <w:rPr>
          <w:lang w:val="en-US"/>
        </w:rPr>
        <w:t>s quantifiable concentration, which</w:t>
      </w:r>
      <w:r w:rsidR="0027085C" w:rsidRPr="00725664">
        <w:rPr>
          <w:lang w:val="en-US"/>
        </w:rPr>
        <w:t xml:space="preserve"> is</w:t>
      </w:r>
      <w:r w:rsidR="00B930E0" w:rsidRPr="00725664">
        <w:rPr>
          <w:lang w:val="en-US"/>
        </w:rPr>
        <w:t xml:space="preserve"> </w:t>
      </w:r>
      <w:r w:rsidR="0027085C" w:rsidRPr="00725664">
        <w:rPr>
          <w:lang w:val="en-US"/>
        </w:rPr>
        <w:t>by definition 3.3</w:t>
      </w:r>
      <w:r w:rsidR="00B930E0" w:rsidRPr="00725664">
        <w:rPr>
          <w:lang w:val="en-US"/>
        </w:rPr>
        <w:t xml:space="preserve"> times higher than the LOD and is the truly relevant </w:t>
      </w:r>
      <w:r w:rsidR="001705A5" w:rsidRPr="00725664">
        <w:rPr>
          <w:lang w:val="en-US"/>
        </w:rPr>
        <w:t>parameter</w:t>
      </w:r>
      <w:r w:rsidR="00B930E0" w:rsidRPr="00725664">
        <w:rPr>
          <w:lang w:val="en-US"/>
        </w:rPr>
        <w:t xml:space="preserve"> (</w:t>
      </w:r>
      <w:r w:rsidR="002476AD" w:rsidRPr="00725664">
        <w:rPr>
          <w:lang w:val="en-US"/>
        </w:rPr>
        <w:t>Thomsen et al. 2003</w:t>
      </w:r>
      <w:r w:rsidR="00681B13" w:rsidRPr="00725664">
        <w:rPr>
          <w:lang w:val="en-US"/>
        </w:rPr>
        <w:t>)</w:t>
      </w:r>
      <w:r w:rsidR="00B930E0" w:rsidRPr="00725664">
        <w:rPr>
          <w:lang w:val="en-US"/>
        </w:rPr>
        <w:t xml:space="preserve">. </w:t>
      </w:r>
    </w:p>
    <w:p w:rsidR="00725664" w:rsidRPr="00725664" w:rsidRDefault="008E01B9" w:rsidP="00B87FA0">
      <w:pPr>
        <w:spacing w:line="360" w:lineRule="auto"/>
        <w:rPr>
          <w:lang w:val="en-US"/>
        </w:rPr>
      </w:pPr>
      <w:r w:rsidRPr="00725664">
        <w:rPr>
          <w:lang w:val="en-US"/>
        </w:rPr>
        <w:t>All these spectra related topics are well</w:t>
      </w:r>
      <w:r w:rsidR="00DE2694">
        <w:rPr>
          <w:lang w:val="en-US"/>
        </w:rPr>
        <w:t>-</w:t>
      </w:r>
      <w:r w:rsidRPr="00725664">
        <w:rPr>
          <w:lang w:val="en-US"/>
        </w:rPr>
        <w:t xml:space="preserve">studied but too complex for </w:t>
      </w:r>
      <w:r w:rsidR="002F004A" w:rsidRPr="00725664">
        <w:rPr>
          <w:lang w:val="en-US"/>
        </w:rPr>
        <w:t>automatic software</w:t>
      </w:r>
      <w:r w:rsidRPr="00725664">
        <w:rPr>
          <w:lang w:val="en-US"/>
        </w:rPr>
        <w:t xml:space="preserve"> to be solved by </w:t>
      </w:r>
      <w:r w:rsidR="002F004A" w:rsidRPr="00725664">
        <w:rPr>
          <w:lang w:val="en-US"/>
        </w:rPr>
        <w:t>computing algorithms alone. The human researcher has to control and decide here, as is the usual procedure for many laboratory</w:t>
      </w:r>
      <w:r w:rsidR="00DE2694">
        <w:rPr>
          <w:lang w:val="en-US"/>
        </w:rPr>
        <w:t>-</w:t>
      </w:r>
      <w:r w:rsidR="002F004A" w:rsidRPr="00725664">
        <w:rPr>
          <w:lang w:val="en-US"/>
        </w:rPr>
        <w:t xml:space="preserve">based analytics. </w:t>
      </w:r>
      <w:r w:rsidR="00DE2694">
        <w:rPr>
          <w:lang w:val="en-US"/>
        </w:rPr>
        <w:t xml:space="preserve">It is outside the objective of this paper to </w:t>
      </w:r>
      <w:r w:rsidR="000669AA" w:rsidRPr="00725664">
        <w:rPr>
          <w:lang w:val="en-US"/>
        </w:rPr>
        <w:t>discuss</w:t>
      </w:r>
      <w:r w:rsidR="002F004A" w:rsidRPr="00725664">
        <w:rPr>
          <w:lang w:val="en-US"/>
        </w:rPr>
        <w:t xml:space="preserve"> these subjects</w:t>
      </w:r>
      <w:r w:rsidRPr="00725664">
        <w:rPr>
          <w:lang w:val="en-US"/>
        </w:rPr>
        <w:t xml:space="preserve"> thoroughly. They are described in depth in several brilliant studies (</w:t>
      </w:r>
      <w:r w:rsidR="0029073E" w:rsidRPr="00725664">
        <w:rPr>
          <w:lang w:val="en-US"/>
        </w:rPr>
        <w:t xml:space="preserve">Hunt – </w:t>
      </w:r>
      <w:proofErr w:type="spellStart"/>
      <w:r w:rsidR="0029073E" w:rsidRPr="00725664">
        <w:rPr>
          <w:lang w:val="en-US"/>
        </w:rPr>
        <w:t>Speckman</w:t>
      </w:r>
      <w:proofErr w:type="spellEnd"/>
      <w:r w:rsidR="0029073E" w:rsidRPr="00725664">
        <w:rPr>
          <w:lang w:val="en-US"/>
        </w:rPr>
        <w:t xml:space="preserve"> 2015; Hall et al. 2012, 2014; </w:t>
      </w:r>
      <w:proofErr w:type="spellStart"/>
      <w:r w:rsidR="0029073E" w:rsidRPr="00725664">
        <w:rPr>
          <w:lang w:val="en-US"/>
        </w:rPr>
        <w:t>Gallhofer</w:t>
      </w:r>
      <w:proofErr w:type="spellEnd"/>
      <w:r w:rsidR="0029073E" w:rsidRPr="00725664">
        <w:rPr>
          <w:lang w:val="en-US"/>
        </w:rPr>
        <w:t xml:space="preserve"> – </w:t>
      </w:r>
      <w:proofErr w:type="spellStart"/>
      <w:r w:rsidR="0029073E" w:rsidRPr="00725664">
        <w:rPr>
          <w:lang w:val="en-US"/>
        </w:rPr>
        <w:t>Lottermoser</w:t>
      </w:r>
      <w:proofErr w:type="spellEnd"/>
      <w:r w:rsidR="0029073E" w:rsidRPr="00725664">
        <w:rPr>
          <w:lang w:val="en-US"/>
        </w:rPr>
        <w:t xml:space="preserve"> 2018; </w:t>
      </w:r>
      <w:proofErr w:type="spellStart"/>
      <w:r w:rsidR="0029073E" w:rsidRPr="00725664">
        <w:rPr>
          <w:lang w:val="en-US"/>
        </w:rPr>
        <w:t>Conrey</w:t>
      </w:r>
      <w:proofErr w:type="spellEnd"/>
      <w:r w:rsidR="0029073E" w:rsidRPr="00725664">
        <w:rPr>
          <w:lang w:val="en-US"/>
        </w:rPr>
        <w:t xml:space="preserve"> et al. 2013; Kenna et al. 2011</w:t>
      </w:r>
      <w:r w:rsidRPr="00725664">
        <w:rPr>
          <w:lang w:val="en-US"/>
        </w:rPr>
        <w:t>)</w:t>
      </w:r>
      <w:r w:rsidR="002F004A" w:rsidRPr="00725664">
        <w:rPr>
          <w:lang w:val="en-US"/>
        </w:rPr>
        <w:t>.</w:t>
      </w:r>
    </w:p>
    <w:p w:rsidR="00725664" w:rsidRPr="00725664" w:rsidRDefault="00725664" w:rsidP="00B87FA0">
      <w:pPr>
        <w:spacing w:line="360" w:lineRule="auto"/>
        <w:rPr>
          <w:lang w:val="en-US"/>
        </w:rPr>
      </w:pPr>
    </w:p>
    <w:p w:rsidR="00F83C4D" w:rsidRPr="00D93B12" w:rsidRDefault="00F83C4D" w:rsidP="00B87FA0">
      <w:pPr>
        <w:spacing w:line="360" w:lineRule="auto"/>
        <w:rPr>
          <w:sz w:val="28"/>
          <w:lang w:val="en-US"/>
        </w:rPr>
      </w:pPr>
      <w:r w:rsidRPr="00D93B12">
        <w:rPr>
          <w:sz w:val="28"/>
          <w:lang w:val="en-US"/>
        </w:rPr>
        <w:t>Evaluation of data quality</w:t>
      </w:r>
    </w:p>
    <w:p w:rsidR="0043610B" w:rsidRPr="00725664" w:rsidRDefault="002F004A" w:rsidP="00B87FA0">
      <w:pPr>
        <w:spacing w:line="360" w:lineRule="auto"/>
        <w:rPr>
          <w:lang w:val="en-US"/>
        </w:rPr>
      </w:pPr>
      <w:r w:rsidRPr="00725664">
        <w:rPr>
          <w:lang w:val="en-US"/>
        </w:rPr>
        <w:lastRenderedPageBreak/>
        <w:t xml:space="preserve">The </w:t>
      </w:r>
      <w:r w:rsidR="009F0262" w:rsidRPr="00725664">
        <w:rPr>
          <w:lang w:val="en-US"/>
        </w:rPr>
        <w:t>usual</w:t>
      </w:r>
      <w:r w:rsidRPr="00725664">
        <w:rPr>
          <w:lang w:val="en-US"/>
        </w:rPr>
        <w:t xml:space="preserve"> procedure </w:t>
      </w:r>
      <w:r w:rsidR="008E01B9" w:rsidRPr="00725664">
        <w:rPr>
          <w:lang w:val="en-US"/>
        </w:rPr>
        <w:t xml:space="preserve">to overcome </w:t>
      </w:r>
      <w:r w:rsidR="002654B5" w:rsidRPr="00725664">
        <w:rPr>
          <w:lang w:val="en-US"/>
        </w:rPr>
        <w:t>some of the mentioned</w:t>
      </w:r>
      <w:r w:rsidRPr="00725664">
        <w:rPr>
          <w:lang w:val="en-US"/>
        </w:rPr>
        <w:t xml:space="preserve"> severe problem</w:t>
      </w:r>
      <w:r w:rsidR="00905A0A" w:rsidRPr="00725664">
        <w:rPr>
          <w:lang w:val="en-US"/>
        </w:rPr>
        <w:t>s</w:t>
      </w:r>
      <w:r w:rsidRPr="00725664">
        <w:rPr>
          <w:lang w:val="en-US"/>
        </w:rPr>
        <w:t xml:space="preserve"> is the so</w:t>
      </w:r>
      <w:r w:rsidR="00DE2694">
        <w:rPr>
          <w:lang w:val="en-US"/>
        </w:rPr>
        <w:t>-</w:t>
      </w:r>
      <w:r w:rsidRPr="00725664">
        <w:rPr>
          <w:lang w:val="en-US"/>
        </w:rPr>
        <w:t>cal</w:t>
      </w:r>
      <w:r w:rsidR="009F0262" w:rsidRPr="00725664">
        <w:rPr>
          <w:lang w:val="en-US"/>
        </w:rPr>
        <w:t xml:space="preserve">led </w:t>
      </w:r>
      <w:r w:rsidR="00DE2694">
        <w:rPr>
          <w:lang w:val="en-US"/>
        </w:rPr>
        <w:t>“</w:t>
      </w:r>
      <w:r w:rsidR="009F0262" w:rsidRPr="00725664">
        <w:rPr>
          <w:lang w:val="en-US"/>
        </w:rPr>
        <w:t>matrix matched calibration</w:t>
      </w:r>
      <w:r w:rsidR="00DE2694">
        <w:rPr>
          <w:lang w:val="en-US"/>
        </w:rPr>
        <w:t>”</w:t>
      </w:r>
      <w:r w:rsidR="009F0262" w:rsidRPr="00725664">
        <w:rPr>
          <w:lang w:val="en-US"/>
        </w:rPr>
        <w:t>.</w:t>
      </w:r>
      <w:r w:rsidR="0043610B" w:rsidRPr="00725664">
        <w:rPr>
          <w:lang w:val="en-US"/>
        </w:rPr>
        <w:t xml:space="preserve"> By measuri</w:t>
      </w:r>
      <w:r w:rsidR="002B7785" w:rsidRPr="00725664">
        <w:rPr>
          <w:lang w:val="en-US"/>
        </w:rPr>
        <w:t xml:space="preserve">ng samples of known composition (determined by other methods) with roughly the same element range </w:t>
      </w:r>
      <w:r w:rsidR="0043610B" w:rsidRPr="00725664">
        <w:rPr>
          <w:lang w:val="en-US"/>
        </w:rPr>
        <w:t>that consi</w:t>
      </w:r>
      <w:r w:rsidR="002B7785" w:rsidRPr="00725664">
        <w:rPr>
          <w:lang w:val="en-US"/>
        </w:rPr>
        <w:t>st</w:t>
      </w:r>
      <w:r w:rsidR="00DE2694">
        <w:rPr>
          <w:lang w:val="en-US"/>
        </w:rPr>
        <w:t>s</w:t>
      </w:r>
      <w:r w:rsidR="002B7785" w:rsidRPr="00725664">
        <w:rPr>
          <w:lang w:val="en-US"/>
        </w:rPr>
        <w:t xml:space="preserve"> of the same material, plus</w:t>
      </w:r>
      <w:r w:rsidR="0043610B" w:rsidRPr="00725664">
        <w:rPr>
          <w:lang w:val="en-US"/>
        </w:rPr>
        <w:t xml:space="preserve"> ideally having comparable surfaces</w:t>
      </w:r>
      <w:r w:rsidR="002B7785" w:rsidRPr="00725664">
        <w:rPr>
          <w:lang w:val="en-US"/>
        </w:rPr>
        <w:t xml:space="preserve"> </w:t>
      </w:r>
      <w:r w:rsidR="0043610B" w:rsidRPr="00725664">
        <w:rPr>
          <w:lang w:val="en-US"/>
        </w:rPr>
        <w:t>as the objects</w:t>
      </w:r>
      <w:r w:rsidR="002B2B01">
        <w:rPr>
          <w:lang w:val="en-US"/>
        </w:rPr>
        <w:t xml:space="preserve"> of study</w:t>
      </w:r>
      <w:r w:rsidR="0043610B" w:rsidRPr="00725664">
        <w:rPr>
          <w:lang w:val="en-US"/>
        </w:rPr>
        <w:t xml:space="preserve">, the deviation of the </w:t>
      </w:r>
      <w:r w:rsidR="002B7785" w:rsidRPr="00725664">
        <w:rPr>
          <w:lang w:val="en-US"/>
        </w:rPr>
        <w:t>p</w:t>
      </w:r>
      <w:r w:rsidR="00DE2694">
        <w:rPr>
          <w:lang w:val="en-US"/>
        </w:rPr>
        <w:t>-</w:t>
      </w:r>
      <w:r w:rsidR="002B7785" w:rsidRPr="00725664">
        <w:rPr>
          <w:lang w:val="en-US"/>
        </w:rPr>
        <w:t xml:space="preserve">XRF </w:t>
      </w:r>
      <w:r w:rsidR="0043610B" w:rsidRPr="00725664">
        <w:rPr>
          <w:lang w:val="en-US"/>
        </w:rPr>
        <w:t>measurement in relation to the expected value is used</w:t>
      </w:r>
      <w:r w:rsidR="002B7785" w:rsidRPr="00725664">
        <w:rPr>
          <w:lang w:val="en-US"/>
        </w:rPr>
        <w:t xml:space="preserve"> for calibration.</w:t>
      </w:r>
    </w:p>
    <w:p w:rsidR="00E672C0" w:rsidRPr="00725664" w:rsidRDefault="009F7919" w:rsidP="00B87FA0">
      <w:pPr>
        <w:spacing w:line="360" w:lineRule="auto"/>
        <w:rPr>
          <w:rFonts w:ascii="TimesNewRomanPSMT" w:hAnsi="TimesNewRomanPSMT" w:cs="TimesNewRomanPSMT"/>
          <w:lang w:val="en-US"/>
        </w:rPr>
      </w:pPr>
      <w:r w:rsidRPr="00725664">
        <w:rPr>
          <w:lang w:val="en-US"/>
        </w:rPr>
        <w:t>For archaeological ceramics and potter</w:t>
      </w:r>
      <w:r w:rsidR="002B2B01">
        <w:rPr>
          <w:lang w:val="en-US"/>
        </w:rPr>
        <w:t>’s</w:t>
      </w:r>
      <w:r w:rsidRPr="00725664">
        <w:rPr>
          <w:lang w:val="en-US"/>
        </w:rPr>
        <w:t xml:space="preserve"> clay</w:t>
      </w:r>
      <w:r w:rsidR="002B2B01">
        <w:rPr>
          <w:lang w:val="en-US"/>
        </w:rPr>
        <w:t xml:space="preserve">, a </w:t>
      </w:r>
      <w:r w:rsidRPr="00725664">
        <w:rPr>
          <w:lang w:val="en-US"/>
        </w:rPr>
        <w:t>SiO</w:t>
      </w:r>
      <w:r w:rsidRPr="00725664">
        <w:rPr>
          <w:vertAlign w:val="subscript"/>
          <w:lang w:val="en-US"/>
        </w:rPr>
        <w:t>2</w:t>
      </w:r>
      <w:r w:rsidRPr="00725664">
        <w:rPr>
          <w:lang w:val="en-US"/>
        </w:rPr>
        <w:t xml:space="preserve">-rich matrix is </w:t>
      </w:r>
      <w:r w:rsidR="002B2B01">
        <w:rPr>
          <w:lang w:val="en-US"/>
        </w:rPr>
        <w:t xml:space="preserve">generally </w:t>
      </w:r>
      <w:r w:rsidRPr="00725664">
        <w:rPr>
          <w:lang w:val="en-US"/>
        </w:rPr>
        <w:t>assumed as sufficient for calibration. Some teams use powdered obsidian as reference material because its components are homogenously distributed and the material is predominantly amorphous (</w:t>
      </w:r>
      <w:proofErr w:type="spellStart"/>
      <w:r w:rsidR="00A374FD" w:rsidRPr="00725664">
        <w:rPr>
          <w:lang w:val="en-US"/>
        </w:rPr>
        <w:t>Speckman</w:t>
      </w:r>
      <w:proofErr w:type="spellEnd"/>
      <w:r w:rsidR="00A374FD" w:rsidRPr="00725664">
        <w:rPr>
          <w:lang w:val="en-US"/>
        </w:rPr>
        <w:t xml:space="preserve"> et al. 2011</w:t>
      </w:r>
      <w:r w:rsidRPr="00725664">
        <w:rPr>
          <w:lang w:val="en-US"/>
        </w:rPr>
        <w:t xml:space="preserve">). </w:t>
      </w:r>
      <w:r w:rsidR="007816A5" w:rsidRPr="00725664">
        <w:rPr>
          <w:lang w:val="en-US"/>
        </w:rPr>
        <w:t>Nevertheless</w:t>
      </w:r>
      <w:r w:rsidR="002B2B01">
        <w:rPr>
          <w:lang w:val="en-US"/>
        </w:rPr>
        <w:t>,</w:t>
      </w:r>
      <w:r w:rsidR="007816A5" w:rsidRPr="00725664">
        <w:rPr>
          <w:lang w:val="en-US"/>
        </w:rPr>
        <w:t xml:space="preserve"> calcium</w:t>
      </w:r>
      <w:r w:rsidR="002B2B01">
        <w:rPr>
          <w:lang w:val="en-US"/>
        </w:rPr>
        <w:t xml:space="preserve">- </w:t>
      </w:r>
      <w:r w:rsidR="007816A5" w:rsidRPr="00725664">
        <w:rPr>
          <w:lang w:val="en-US"/>
        </w:rPr>
        <w:t>or alumina</w:t>
      </w:r>
      <w:r w:rsidR="002B2B01">
        <w:rPr>
          <w:lang w:val="en-US"/>
        </w:rPr>
        <w:t>-</w:t>
      </w:r>
      <w:r w:rsidR="007816A5" w:rsidRPr="00725664">
        <w:rPr>
          <w:lang w:val="en-US"/>
        </w:rPr>
        <w:t>rich pottery has to be kept in mind when e.g. lime</w:t>
      </w:r>
      <w:r w:rsidR="002B2B01">
        <w:rPr>
          <w:lang w:val="en-US"/>
        </w:rPr>
        <w:t>-</w:t>
      </w:r>
      <w:r w:rsidR="007816A5" w:rsidRPr="00725664">
        <w:rPr>
          <w:lang w:val="en-US"/>
        </w:rPr>
        <w:t>rich temper (coarse or fine</w:t>
      </w:r>
      <w:r w:rsidR="002B2B01">
        <w:rPr>
          <w:lang w:val="en-US"/>
        </w:rPr>
        <w:t>-</w:t>
      </w:r>
      <w:r w:rsidR="007816A5" w:rsidRPr="00725664">
        <w:rPr>
          <w:lang w:val="en-US"/>
        </w:rPr>
        <w:t>ground</w:t>
      </w:r>
      <w:r w:rsidR="006A18B7" w:rsidRPr="00725664">
        <w:rPr>
          <w:lang w:val="en-US"/>
        </w:rPr>
        <w:t>) was added or clay mineral</w:t>
      </w:r>
      <w:r w:rsidR="002B2B01">
        <w:rPr>
          <w:lang w:val="en-US"/>
        </w:rPr>
        <w:t>’</w:t>
      </w:r>
      <w:r w:rsidR="006A18B7" w:rsidRPr="00725664">
        <w:rPr>
          <w:lang w:val="en-US"/>
        </w:rPr>
        <w:t>s concentration increased</w:t>
      </w:r>
      <w:r w:rsidR="007816A5" w:rsidRPr="00725664">
        <w:rPr>
          <w:lang w:val="en-US"/>
        </w:rPr>
        <w:t xml:space="preserve"> by intense </w:t>
      </w:r>
      <w:proofErr w:type="spellStart"/>
      <w:r w:rsidR="007816A5" w:rsidRPr="00725664">
        <w:rPr>
          <w:lang w:val="en-US"/>
        </w:rPr>
        <w:t>levigation</w:t>
      </w:r>
      <w:proofErr w:type="spellEnd"/>
      <w:r w:rsidR="007816A5" w:rsidRPr="00725664">
        <w:rPr>
          <w:lang w:val="en-US"/>
        </w:rPr>
        <w:t>.</w:t>
      </w:r>
      <w:r w:rsidR="00E672C0" w:rsidRPr="00725664">
        <w:rPr>
          <w:rFonts w:ascii="TimesNewRomanPSMT" w:hAnsi="TimesNewRomanPSMT" w:cs="TimesNewRomanPSMT"/>
          <w:lang w:val="en-US"/>
        </w:rPr>
        <w:t xml:space="preserve"> </w:t>
      </w:r>
    </w:p>
    <w:p w:rsidR="00534E3A" w:rsidRPr="00725664" w:rsidRDefault="00922E29" w:rsidP="00B87FA0">
      <w:pPr>
        <w:spacing w:line="360" w:lineRule="auto"/>
        <w:rPr>
          <w:rFonts w:ascii="TimesNewRomanPSMT" w:hAnsi="TimesNewRomanPSMT" w:cs="TimesNewRomanPSMT"/>
          <w:lang w:val="en-US"/>
        </w:rPr>
      </w:pPr>
      <w:r w:rsidRPr="00725664">
        <w:rPr>
          <w:lang w:val="en-US"/>
        </w:rPr>
        <w:t>One</w:t>
      </w:r>
      <w:r w:rsidR="007509DB" w:rsidRPr="00725664">
        <w:rPr>
          <w:lang w:val="en-US"/>
        </w:rPr>
        <w:t xml:space="preserve"> </w:t>
      </w:r>
      <w:r w:rsidRPr="00725664">
        <w:rPr>
          <w:lang w:val="en-US"/>
        </w:rPr>
        <w:t xml:space="preserve">aim of this </w:t>
      </w:r>
      <w:r w:rsidR="002B2B01">
        <w:rPr>
          <w:lang w:val="en-US"/>
        </w:rPr>
        <w:t>paper</w:t>
      </w:r>
      <w:r w:rsidR="002B2B01" w:rsidRPr="00725664">
        <w:rPr>
          <w:lang w:val="en-US"/>
        </w:rPr>
        <w:t xml:space="preserve"> </w:t>
      </w:r>
      <w:r w:rsidR="007509DB" w:rsidRPr="00725664">
        <w:rPr>
          <w:lang w:val="en-US"/>
        </w:rPr>
        <w:t xml:space="preserve">is to </w:t>
      </w:r>
      <w:r w:rsidR="00D77B8F" w:rsidRPr="00725664">
        <w:rPr>
          <w:lang w:val="en-US"/>
        </w:rPr>
        <w:t>discuss if a</w:t>
      </w:r>
      <w:r w:rsidR="007509DB" w:rsidRPr="00725664">
        <w:rPr>
          <w:lang w:val="en-US"/>
        </w:rPr>
        <w:t xml:space="preserve"> </w:t>
      </w:r>
      <w:r w:rsidR="00D77B8F" w:rsidRPr="00725664">
        <w:rPr>
          <w:lang w:val="en-US"/>
        </w:rPr>
        <w:t xml:space="preserve">study </w:t>
      </w:r>
      <w:r w:rsidR="002B2B01">
        <w:rPr>
          <w:lang w:val="en-US"/>
        </w:rPr>
        <w:t xml:space="preserve">using </w:t>
      </w:r>
      <w:r w:rsidR="00D77B8F" w:rsidRPr="00725664">
        <w:rPr>
          <w:lang w:val="en-US"/>
        </w:rPr>
        <w:t>p</w:t>
      </w:r>
      <w:r w:rsidR="002B2B01">
        <w:rPr>
          <w:lang w:val="en-US"/>
        </w:rPr>
        <w:t>-</w:t>
      </w:r>
      <w:r w:rsidR="00D77B8F" w:rsidRPr="00725664">
        <w:rPr>
          <w:lang w:val="en-US"/>
        </w:rPr>
        <w:t xml:space="preserve">XRF of the </w:t>
      </w:r>
      <w:r w:rsidR="007509DB" w:rsidRPr="00725664">
        <w:rPr>
          <w:lang w:val="en-US"/>
        </w:rPr>
        <w:t xml:space="preserve">material under investigation turns out to be sufficient </w:t>
      </w:r>
      <w:r w:rsidR="00D77B8F" w:rsidRPr="00725664">
        <w:rPr>
          <w:lang w:val="en-US"/>
        </w:rPr>
        <w:t xml:space="preserve">to </w:t>
      </w:r>
      <w:r w:rsidR="002B2B01">
        <w:rPr>
          <w:lang w:val="en-US"/>
        </w:rPr>
        <w:t xml:space="preserve">pose </w:t>
      </w:r>
      <w:r w:rsidR="00D77B8F" w:rsidRPr="00725664">
        <w:rPr>
          <w:lang w:val="en-US"/>
        </w:rPr>
        <w:t>several questions, e.g. if traces of lead or metal in general are present on or in some ceramic vessels or not</w:t>
      </w:r>
      <w:r w:rsidR="007509DB" w:rsidRPr="00725664">
        <w:rPr>
          <w:lang w:val="en-US"/>
        </w:rPr>
        <w:t xml:space="preserve">. </w:t>
      </w:r>
      <w:r w:rsidR="00814496" w:rsidRPr="00725664">
        <w:rPr>
          <w:lang w:val="en-US"/>
        </w:rPr>
        <w:t xml:space="preserve">According to the </w:t>
      </w:r>
      <w:r w:rsidR="002B2B01">
        <w:rPr>
          <w:lang w:val="en-US"/>
        </w:rPr>
        <w:t>afore</w:t>
      </w:r>
      <w:r w:rsidR="00814496" w:rsidRPr="00725664">
        <w:rPr>
          <w:lang w:val="en-US"/>
        </w:rPr>
        <w:t>mentioned difficulties and limitations of the p</w:t>
      </w:r>
      <w:r w:rsidR="002B2B01">
        <w:rPr>
          <w:lang w:val="en-US"/>
        </w:rPr>
        <w:t>-</w:t>
      </w:r>
      <w:r w:rsidR="00814496" w:rsidRPr="00725664">
        <w:rPr>
          <w:lang w:val="en-US"/>
        </w:rPr>
        <w:t xml:space="preserve">XRF method, </w:t>
      </w:r>
      <w:r w:rsidR="00A9531B" w:rsidRPr="00725664">
        <w:rPr>
          <w:lang w:val="en-US"/>
        </w:rPr>
        <w:t xml:space="preserve">the </w:t>
      </w:r>
      <w:r w:rsidR="00D2021D" w:rsidRPr="00725664">
        <w:rPr>
          <w:lang w:val="en-US"/>
        </w:rPr>
        <w:t xml:space="preserve">accuracy of the </w:t>
      </w:r>
      <w:proofErr w:type="spellStart"/>
      <w:r w:rsidR="00D2021D" w:rsidRPr="00725664">
        <w:rPr>
          <w:lang w:val="en-US"/>
        </w:rPr>
        <w:t>measuremts</w:t>
      </w:r>
      <w:proofErr w:type="spellEnd"/>
      <w:r w:rsidR="00D2021D" w:rsidRPr="00725664">
        <w:rPr>
          <w:lang w:val="en-US"/>
        </w:rPr>
        <w:t xml:space="preserve"> of the device used</w:t>
      </w:r>
      <w:r w:rsidR="00814496" w:rsidRPr="00725664">
        <w:rPr>
          <w:lang w:val="en-US"/>
        </w:rPr>
        <w:t xml:space="preserve"> </w:t>
      </w:r>
      <w:r w:rsidR="002B2B01">
        <w:rPr>
          <w:lang w:val="en-US"/>
        </w:rPr>
        <w:t>must</w:t>
      </w:r>
      <w:r w:rsidR="002B2B01" w:rsidRPr="00725664">
        <w:rPr>
          <w:lang w:val="en-US"/>
        </w:rPr>
        <w:t xml:space="preserve"> </w:t>
      </w:r>
      <w:r w:rsidR="00814496" w:rsidRPr="00725664">
        <w:rPr>
          <w:lang w:val="en-US"/>
        </w:rPr>
        <w:t>be</w:t>
      </w:r>
      <w:r w:rsidR="0032093E" w:rsidRPr="00725664">
        <w:rPr>
          <w:lang w:val="en-US"/>
        </w:rPr>
        <w:t xml:space="preserve"> evaluated first.</w:t>
      </w:r>
      <w:r w:rsidR="00814496" w:rsidRPr="00725664">
        <w:rPr>
          <w:lang w:val="en-US"/>
        </w:rPr>
        <w:t xml:space="preserve"> </w:t>
      </w:r>
      <w:r w:rsidR="00735A16" w:rsidRPr="00725664">
        <w:rPr>
          <w:lang w:val="en-US"/>
        </w:rPr>
        <w:t>As stated above, an ideal matrix matched calibration cannot be applied at the current state of the project.</w:t>
      </w:r>
      <w:r w:rsidR="009F3551" w:rsidRPr="00725664">
        <w:rPr>
          <w:lang w:val="en-US"/>
        </w:rPr>
        <w:t xml:space="preserve"> To illustrate</w:t>
      </w:r>
      <w:r w:rsidR="0032093E" w:rsidRPr="00725664">
        <w:rPr>
          <w:lang w:val="en-US"/>
        </w:rPr>
        <w:t xml:space="preserve"> the</w:t>
      </w:r>
      <w:r w:rsidR="009F3551" w:rsidRPr="00725664">
        <w:rPr>
          <w:lang w:val="en-US"/>
        </w:rPr>
        <w:t xml:space="preserve"> accuracy and comparability of the results given by the p</w:t>
      </w:r>
      <w:r w:rsidR="002B2B01">
        <w:rPr>
          <w:lang w:val="en-US"/>
        </w:rPr>
        <w:t>-</w:t>
      </w:r>
      <w:r w:rsidR="009F3551" w:rsidRPr="00725664">
        <w:rPr>
          <w:lang w:val="en-US"/>
        </w:rPr>
        <w:t xml:space="preserve">XRF device used, we </w:t>
      </w:r>
      <w:r w:rsidR="00062FF2" w:rsidRPr="00725664">
        <w:rPr>
          <w:lang w:val="en-US"/>
        </w:rPr>
        <w:t>present</w:t>
      </w:r>
      <w:r w:rsidR="0032093E" w:rsidRPr="00725664">
        <w:rPr>
          <w:lang w:val="en-US"/>
        </w:rPr>
        <w:t xml:space="preserve"> and discuss</w:t>
      </w:r>
      <w:r w:rsidR="00062FF2" w:rsidRPr="00725664">
        <w:rPr>
          <w:lang w:val="en-US"/>
        </w:rPr>
        <w:t xml:space="preserve"> the evaluation of </w:t>
      </w:r>
      <w:r w:rsidR="00C92F21" w:rsidRPr="00725664">
        <w:rPr>
          <w:lang w:val="en-US"/>
        </w:rPr>
        <w:t>497</w:t>
      </w:r>
      <w:r w:rsidR="00062FF2" w:rsidRPr="00725664">
        <w:rPr>
          <w:lang w:val="en-US"/>
        </w:rPr>
        <w:t xml:space="preserve"> measurements made between 2015 and</w:t>
      </w:r>
      <w:r w:rsidR="0032093E" w:rsidRPr="00725664">
        <w:rPr>
          <w:lang w:val="en-US"/>
        </w:rPr>
        <w:t xml:space="preserve"> 20</w:t>
      </w:r>
      <w:r w:rsidR="00505161" w:rsidRPr="00725664">
        <w:rPr>
          <w:lang w:val="en-US"/>
        </w:rPr>
        <w:t>18 on several commonly used CRM</w:t>
      </w:r>
      <w:r w:rsidR="0032093E" w:rsidRPr="00725664">
        <w:rPr>
          <w:lang w:val="en-US"/>
        </w:rPr>
        <w:t xml:space="preserve"> </w:t>
      </w:r>
      <w:r w:rsidR="00415D8D" w:rsidRPr="00725664">
        <w:rPr>
          <w:lang w:val="en-US"/>
        </w:rPr>
        <w:t xml:space="preserve">composed of different geological and industrial material with different elemental concentrations </w:t>
      </w:r>
      <w:r w:rsidR="0032093E" w:rsidRPr="00725664">
        <w:rPr>
          <w:lang w:val="en-US"/>
        </w:rPr>
        <w:t>(</w:t>
      </w:r>
      <w:r w:rsidR="00EA00D4">
        <w:rPr>
          <w:lang w:val="en-US"/>
        </w:rPr>
        <w:t>S1 and S2 Tables</w:t>
      </w:r>
      <w:r w:rsidR="0032093E" w:rsidRPr="00725664">
        <w:rPr>
          <w:lang w:val="en-US"/>
        </w:rPr>
        <w:t>)</w:t>
      </w:r>
      <w:r w:rsidR="00062FF2" w:rsidRPr="00725664">
        <w:rPr>
          <w:lang w:val="en-US"/>
        </w:rPr>
        <w:t>.</w:t>
      </w:r>
      <w:r w:rsidRPr="00725664">
        <w:rPr>
          <w:lang w:val="en-US"/>
        </w:rPr>
        <w:t xml:space="preserve"> According to geochemical standard procedure</w:t>
      </w:r>
      <w:r w:rsidR="002B2B01">
        <w:rPr>
          <w:lang w:val="en-US"/>
        </w:rPr>
        <w:t>,</w:t>
      </w:r>
      <w:r w:rsidRPr="00725664">
        <w:rPr>
          <w:lang w:val="en-US"/>
        </w:rPr>
        <w:t xml:space="preserve"> the results of the main components (except Na) are calculated as oxides and </w:t>
      </w:r>
      <w:proofErr w:type="spellStart"/>
      <w:r w:rsidRPr="00725664">
        <w:rPr>
          <w:lang w:val="en-US"/>
        </w:rPr>
        <w:t>normali</w:t>
      </w:r>
      <w:r w:rsidR="002B2B01">
        <w:rPr>
          <w:lang w:val="en-US"/>
        </w:rPr>
        <w:t>s</w:t>
      </w:r>
      <w:r w:rsidRPr="00725664">
        <w:rPr>
          <w:lang w:val="en-US"/>
        </w:rPr>
        <w:t>ed</w:t>
      </w:r>
      <w:proofErr w:type="spellEnd"/>
      <w:r w:rsidRPr="00725664">
        <w:rPr>
          <w:lang w:val="en-US"/>
        </w:rPr>
        <w:t xml:space="preserve"> to 100 </w:t>
      </w:r>
      <w:proofErr w:type="spellStart"/>
      <w:r w:rsidRPr="00725664">
        <w:rPr>
          <w:lang w:val="en-US"/>
        </w:rPr>
        <w:t>wt</w:t>
      </w:r>
      <w:proofErr w:type="spellEnd"/>
      <w:r w:rsidRPr="00725664">
        <w:rPr>
          <w:lang w:val="en-US"/>
        </w:rPr>
        <w:t>%.</w:t>
      </w:r>
      <w:r w:rsidR="004628D2" w:rsidRPr="00725664">
        <w:rPr>
          <w:lang w:val="en-US"/>
        </w:rPr>
        <w:t xml:space="preserve"> </w:t>
      </w:r>
      <w:r w:rsidR="00534E3A" w:rsidRPr="00725664">
        <w:rPr>
          <w:lang w:val="en-US"/>
        </w:rPr>
        <w:t>Besides lead</w:t>
      </w:r>
      <w:r w:rsidR="002B2B01">
        <w:rPr>
          <w:lang w:val="en-US"/>
        </w:rPr>
        <w:t>,</w:t>
      </w:r>
      <w:r w:rsidR="004628D2" w:rsidRPr="00725664">
        <w:rPr>
          <w:lang w:val="en-US"/>
        </w:rPr>
        <w:t xml:space="preserve"> this study </w:t>
      </w:r>
      <w:r w:rsidR="00482D95" w:rsidRPr="00725664">
        <w:rPr>
          <w:lang w:val="en-US"/>
        </w:rPr>
        <w:t xml:space="preserve">focused </w:t>
      </w:r>
      <w:r w:rsidR="004628D2" w:rsidRPr="00725664">
        <w:rPr>
          <w:lang w:val="en-US"/>
        </w:rPr>
        <w:t>only on the trace</w:t>
      </w:r>
      <w:r w:rsidR="00534E3A" w:rsidRPr="00725664">
        <w:rPr>
          <w:lang w:val="en-US"/>
        </w:rPr>
        <w:t>s</w:t>
      </w:r>
      <w:r w:rsidR="004628D2" w:rsidRPr="00725664">
        <w:rPr>
          <w:lang w:val="en-US"/>
        </w:rPr>
        <w:t xml:space="preserve"> </w:t>
      </w:r>
      <w:r w:rsidR="00534E3A" w:rsidRPr="00725664">
        <w:rPr>
          <w:lang w:val="en-US"/>
        </w:rPr>
        <w:t>of zinc, copper and sulfur</w:t>
      </w:r>
      <w:r w:rsidR="00482D95" w:rsidRPr="00725664">
        <w:rPr>
          <w:lang w:val="en-US"/>
        </w:rPr>
        <w:t>.</w:t>
      </w:r>
      <w:r w:rsidR="00E672C0" w:rsidRPr="00725664">
        <w:rPr>
          <w:rFonts w:ascii="TimesNewRomanPSMT" w:hAnsi="TimesNewRomanPSMT" w:cs="TimesNewRomanPSMT"/>
          <w:lang w:val="en-US"/>
        </w:rPr>
        <w:t xml:space="preserve"> </w:t>
      </w:r>
      <w:r w:rsidR="00534E3A" w:rsidRPr="00725664">
        <w:rPr>
          <w:lang w:val="en-US"/>
        </w:rPr>
        <w:t xml:space="preserve">The possibilities and difficulties of their detection </w:t>
      </w:r>
      <w:r w:rsidR="00482D95" w:rsidRPr="00725664">
        <w:rPr>
          <w:lang w:val="en-US"/>
        </w:rPr>
        <w:t xml:space="preserve">in ceramics </w:t>
      </w:r>
      <w:r w:rsidR="00534E3A" w:rsidRPr="00725664">
        <w:rPr>
          <w:lang w:val="en-US"/>
        </w:rPr>
        <w:t>with p</w:t>
      </w:r>
      <w:r w:rsidR="002B2B01">
        <w:rPr>
          <w:lang w:val="en-US"/>
        </w:rPr>
        <w:t>-</w:t>
      </w:r>
      <w:r w:rsidR="00534E3A" w:rsidRPr="00725664">
        <w:rPr>
          <w:lang w:val="en-US"/>
        </w:rPr>
        <w:t>XRF is discussed in</w:t>
      </w:r>
      <w:r w:rsidR="004628D2" w:rsidRPr="00725664">
        <w:rPr>
          <w:lang w:val="en-US"/>
        </w:rPr>
        <w:t xml:space="preserve"> literature</w:t>
      </w:r>
      <w:r w:rsidR="00534E3A" w:rsidRPr="00725664">
        <w:rPr>
          <w:lang w:val="en-US"/>
        </w:rPr>
        <w:t xml:space="preserve"> also</w:t>
      </w:r>
      <w:r w:rsidR="004628D2" w:rsidRPr="00725664">
        <w:rPr>
          <w:lang w:val="en-US"/>
        </w:rPr>
        <w:t xml:space="preserve"> </w:t>
      </w:r>
      <w:r w:rsidR="00482D95" w:rsidRPr="00725664">
        <w:rPr>
          <w:lang w:val="en-US"/>
        </w:rPr>
        <w:t xml:space="preserve">to some extent </w:t>
      </w:r>
      <w:r w:rsidR="00FC15BA" w:rsidRPr="00725664">
        <w:rPr>
          <w:lang w:val="en-US"/>
        </w:rPr>
        <w:t>in</w:t>
      </w:r>
      <w:r w:rsidR="002B2B01">
        <w:rPr>
          <w:lang w:val="en-US"/>
        </w:rPr>
        <w:t xml:space="preserve"> the following papers:</w:t>
      </w:r>
      <w:r w:rsidR="00FC15BA" w:rsidRPr="00725664">
        <w:rPr>
          <w:lang w:val="en-US"/>
        </w:rPr>
        <w:t xml:space="preserve"> </w:t>
      </w:r>
      <w:r w:rsidR="00B243B8" w:rsidRPr="00725664">
        <w:rPr>
          <w:lang w:val="en-US"/>
        </w:rPr>
        <w:t xml:space="preserve">Hunt – </w:t>
      </w:r>
      <w:proofErr w:type="spellStart"/>
      <w:r w:rsidR="00B243B8" w:rsidRPr="00725664">
        <w:rPr>
          <w:lang w:val="en-US"/>
        </w:rPr>
        <w:t>Speckman</w:t>
      </w:r>
      <w:proofErr w:type="spellEnd"/>
      <w:r w:rsidR="00B243B8" w:rsidRPr="00725664">
        <w:rPr>
          <w:lang w:val="en-US"/>
        </w:rPr>
        <w:t xml:space="preserve"> 2015; Hall et al. 2012, 2014; </w:t>
      </w:r>
      <w:proofErr w:type="spellStart"/>
      <w:r w:rsidR="00B243B8" w:rsidRPr="00725664">
        <w:rPr>
          <w:lang w:val="en-US"/>
        </w:rPr>
        <w:t>Gallhofer</w:t>
      </w:r>
      <w:proofErr w:type="spellEnd"/>
      <w:r w:rsidR="00B243B8" w:rsidRPr="00725664">
        <w:rPr>
          <w:lang w:val="en-US"/>
        </w:rPr>
        <w:t xml:space="preserve"> – </w:t>
      </w:r>
      <w:proofErr w:type="spellStart"/>
      <w:r w:rsidR="00B243B8" w:rsidRPr="00725664">
        <w:rPr>
          <w:lang w:val="en-US"/>
        </w:rPr>
        <w:t>Lottermoser</w:t>
      </w:r>
      <w:proofErr w:type="spellEnd"/>
      <w:r w:rsidR="00B243B8" w:rsidRPr="00725664">
        <w:rPr>
          <w:lang w:val="en-US"/>
        </w:rPr>
        <w:t xml:space="preserve"> 2018; </w:t>
      </w:r>
      <w:proofErr w:type="spellStart"/>
      <w:r w:rsidR="00B243B8" w:rsidRPr="00725664">
        <w:rPr>
          <w:lang w:val="en-US"/>
        </w:rPr>
        <w:t>Conrey</w:t>
      </w:r>
      <w:proofErr w:type="spellEnd"/>
      <w:r w:rsidR="00B243B8" w:rsidRPr="00725664">
        <w:rPr>
          <w:lang w:val="en-US"/>
        </w:rPr>
        <w:t xml:space="preserve"> et al. 2013</w:t>
      </w:r>
      <w:r w:rsidR="00FC15BA" w:rsidRPr="00B87FA0">
        <w:rPr>
          <w:lang w:val="en-US"/>
        </w:rPr>
        <w:t xml:space="preserve">; </w:t>
      </w:r>
      <w:proofErr w:type="spellStart"/>
      <w:r w:rsidR="00FC15BA" w:rsidRPr="00725664">
        <w:rPr>
          <w:lang w:val="en-US"/>
        </w:rPr>
        <w:t>Bandama</w:t>
      </w:r>
      <w:proofErr w:type="spellEnd"/>
      <w:r w:rsidR="00FC15BA" w:rsidRPr="00725664">
        <w:rPr>
          <w:lang w:val="en-US"/>
        </w:rPr>
        <w:t xml:space="preserve"> et al. 2016; </w:t>
      </w:r>
      <w:proofErr w:type="spellStart"/>
      <w:r w:rsidR="00FC15BA" w:rsidRPr="00725664">
        <w:rPr>
          <w:lang w:val="en-US"/>
        </w:rPr>
        <w:t>Dungworth</w:t>
      </w:r>
      <w:proofErr w:type="spellEnd"/>
      <w:r w:rsidR="00FC15BA" w:rsidRPr="00725664">
        <w:rPr>
          <w:lang w:val="en-US"/>
        </w:rPr>
        <w:t xml:space="preserve"> 2015; </w:t>
      </w:r>
      <w:proofErr w:type="spellStart"/>
      <w:r w:rsidR="00FC15BA" w:rsidRPr="00725664">
        <w:rPr>
          <w:lang w:val="en-US"/>
        </w:rPr>
        <w:t>Orfanou</w:t>
      </w:r>
      <w:proofErr w:type="spellEnd"/>
      <w:r w:rsidR="00FC15BA" w:rsidRPr="00725664">
        <w:rPr>
          <w:lang w:val="en-US"/>
        </w:rPr>
        <w:t xml:space="preserve"> – </w:t>
      </w:r>
      <w:proofErr w:type="spellStart"/>
      <w:r w:rsidR="00FC15BA" w:rsidRPr="00725664">
        <w:rPr>
          <w:lang w:val="en-US"/>
        </w:rPr>
        <w:t>Rehren</w:t>
      </w:r>
      <w:proofErr w:type="spellEnd"/>
      <w:r w:rsidR="00FC15BA" w:rsidRPr="00725664">
        <w:rPr>
          <w:lang w:val="en-US"/>
        </w:rPr>
        <w:t xml:space="preserve"> 2015; </w:t>
      </w:r>
      <w:proofErr w:type="spellStart"/>
      <w:r w:rsidR="00FC15BA" w:rsidRPr="00725664">
        <w:rPr>
          <w:lang w:val="en-US"/>
        </w:rPr>
        <w:t>Rademakers</w:t>
      </w:r>
      <w:proofErr w:type="spellEnd"/>
      <w:r w:rsidR="00FC15BA" w:rsidRPr="00725664">
        <w:rPr>
          <w:lang w:val="en-US"/>
        </w:rPr>
        <w:t xml:space="preserve"> – </w:t>
      </w:r>
      <w:proofErr w:type="spellStart"/>
      <w:r w:rsidR="00FC15BA" w:rsidRPr="00725664">
        <w:rPr>
          <w:lang w:val="en-US"/>
        </w:rPr>
        <w:t>Rehren</w:t>
      </w:r>
      <w:proofErr w:type="spellEnd"/>
      <w:r w:rsidR="00FC15BA" w:rsidRPr="00725664">
        <w:rPr>
          <w:lang w:val="en-US"/>
        </w:rPr>
        <w:t xml:space="preserve"> 2016; Scott et al. 2015; Slater – </w:t>
      </w:r>
      <w:proofErr w:type="spellStart"/>
      <w:r w:rsidR="00FC15BA" w:rsidRPr="00725664">
        <w:rPr>
          <w:lang w:val="en-US"/>
        </w:rPr>
        <w:t>Doonan</w:t>
      </w:r>
      <w:proofErr w:type="spellEnd"/>
      <w:r w:rsidR="00FC15BA" w:rsidRPr="00725664">
        <w:rPr>
          <w:lang w:val="en-US"/>
        </w:rPr>
        <w:t xml:space="preserve"> 2012; </w:t>
      </w:r>
      <w:proofErr w:type="spellStart"/>
      <w:r w:rsidR="00FC15BA" w:rsidRPr="00725664">
        <w:rPr>
          <w:lang w:val="en-US"/>
        </w:rPr>
        <w:t>Tighe</w:t>
      </w:r>
      <w:proofErr w:type="spellEnd"/>
      <w:r w:rsidR="00FC15BA" w:rsidRPr="00725664">
        <w:rPr>
          <w:lang w:val="en-US"/>
        </w:rPr>
        <w:t xml:space="preserve"> et al. 2018; Young et al. 2016; </w:t>
      </w:r>
      <w:proofErr w:type="spellStart"/>
      <w:r w:rsidR="00FC15BA" w:rsidRPr="00725664">
        <w:rPr>
          <w:lang w:val="en-US"/>
        </w:rPr>
        <w:t>Zori</w:t>
      </w:r>
      <w:proofErr w:type="spellEnd"/>
      <w:r w:rsidR="00FC15BA" w:rsidRPr="00725664">
        <w:rPr>
          <w:lang w:val="en-US"/>
        </w:rPr>
        <w:t xml:space="preserve"> – </w:t>
      </w:r>
      <w:proofErr w:type="spellStart"/>
      <w:r w:rsidR="00FC15BA" w:rsidRPr="00725664">
        <w:rPr>
          <w:lang w:val="en-US"/>
        </w:rPr>
        <w:t>Tropper</w:t>
      </w:r>
      <w:proofErr w:type="spellEnd"/>
      <w:r w:rsidR="00FC15BA" w:rsidRPr="00725664">
        <w:rPr>
          <w:lang w:val="en-US"/>
        </w:rPr>
        <w:t xml:space="preserve"> 2013.</w:t>
      </w:r>
    </w:p>
    <w:p w:rsidR="005140D7" w:rsidRPr="00725664" w:rsidRDefault="00505161" w:rsidP="00B87FA0">
      <w:pPr>
        <w:spacing w:line="360" w:lineRule="auto"/>
        <w:rPr>
          <w:lang w:val="en-US"/>
        </w:rPr>
      </w:pPr>
      <w:r w:rsidRPr="00725664">
        <w:rPr>
          <w:lang w:val="en-US"/>
        </w:rPr>
        <w:t>Althoug</w:t>
      </w:r>
      <w:r w:rsidR="004628D2" w:rsidRPr="00725664">
        <w:rPr>
          <w:lang w:val="en-US"/>
        </w:rPr>
        <w:t xml:space="preserve">h </w:t>
      </w:r>
      <w:r w:rsidRPr="00725664">
        <w:rPr>
          <w:lang w:val="en-US"/>
        </w:rPr>
        <w:t>the CRM</w:t>
      </w:r>
      <w:r w:rsidR="00584226" w:rsidRPr="00725664">
        <w:rPr>
          <w:lang w:val="en-US"/>
        </w:rPr>
        <w:t xml:space="preserve"> concentrations of several elements in question do not cover the complete range necessary to establish ideal calibration factors</w:t>
      </w:r>
      <w:r w:rsidRPr="00725664">
        <w:rPr>
          <w:lang w:val="en-US"/>
        </w:rPr>
        <w:t xml:space="preserve"> for pottery</w:t>
      </w:r>
      <w:r w:rsidR="00584226" w:rsidRPr="00725664">
        <w:rPr>
          <w:lang w:val="en-US"/>
        </w:rPr>
        <w:t xml:space="preserve">, the dataset is useful to get an idea of the effective magnitudes. </w:t>
      </w:r>
      <w:r w:rsidR="00C26B80" w:rsidRPr="00725664">
        <w:rPr>
          <w:lang w:val="en-US"/>
        </w:rPr>
        <w:t>This can</w:t>
      </w:r>
      <w:r w:rsidR="0032093E" w:rsidRPr="00725664">
        <w:rPr>
          <w:lang w:val="en-US"/>
        </w:rPr>
        <w:t xml:space="preserve"> serve as</w:t>
      </w:r>
      <w:r w:rsidR="009F3551" w:rsidRPr="00725664">
        <w:rPr>
          <w:lang w:val="en-US"/>
        </w:rPr>
        <w:t xml:space="preserve"> a practical estimation of the reliability and </w:t>
      </w:r>
      <w:r w:rsidR="0032093E" w:rsidRPr="00725664">
        <w:rPr>
          <w:lang w:val="en-US"/>
        </w:rPr>
        <w:t>comparability of the results</w:t>
      </w:r>
      <w:r w:rsidR="00C26B80" w:rsidRPr="00725664">
        <w:rPr>
          <w:lang w:val="en-US"/>
        </w:rPr>
        <w:t xml:space="preserve"> and is</w:t>
      </w:r>
      <w:r w:rsidR="0032093E" w:rsidRPr="00725664">
        <w:rPr>
          <w:lang w:val="en-US"/>
        </w:rPr>
        <w:t xml:space="preserve"> express</w:t>
      </w:r>
      <w:r w:rsidR="007868C6" w:rsidRPr="00725664">
        <w:rPr>
          <w:lang w:val="en-US"/>
        </w:rPr>
        <w:t>ed</w:t>
      </w:r>
      <w:r w:rsidR="0032093E" w:rsidRPr="00725664">
        <w:rPr>
          <w:lang w:val="en-US"/>
        </w:rPr>
        <w:t xml:space="preserve"> in several parameters. The expected values</w:t>
      </w:r>
      <w:r w:rsidR="00584226" w:rsidRPr="00725664">
        <w:rPr>
          <w:lang w:val="en-US"/>
        </w:rPr>
        <w:t xml:space="preserve"> given for the standards</w:t>
      </w:r>
      <w:r w:rsidR="0032093E" w:rsidRPr="00725664">
        <w:rPr>
          <w:lang w:val="en-US"/>
        </w:rPr>
        <w:t xml:space="preserve"> are compared to the mean value of the p</w:t>
      </w:r>
      <w:r w:rsidR="002B2B01">
        <w:rPr>
          <w:lang w:val="en-US"/>
        </w:rPr>
        <w:t>-</w:t>
      </w:r>
      <w:r w:rsidR="0032093E" w:rsidRPr="00725664">
        <w:rPr>
          <w:lang w:val="en-US"/>
        </w:rPr>
        <w:t>XRF measurements</w:t>
      </w:r>
      <w:r w:rsidR="00C26B80" w:rsidRPr="00725664">
        <w:rPr>
          <w:lang w:val="en-US"/>
        </w:rPr>
        <w:t>,</w:t>
      </w:r>
      <w:r w:rsidR="007868C6" w:rsidRPr="00725664">
        <w:rPr>
          <w:lang w:val="en-US"/>
        </w:rPr>
        <w:t xml:space="preserve"> the</w:t>
      </w:r>
      <w:r w:rsidR="0032093E" w:rsidRPr="00725664">
        <w:rPr>
          <w:lang w:val="en-US"/>
        </w:rPr>
        <w:t xml:space="preserve"> standard </w:t>
      </w:r>
      <w:r w:rsidR="0032093E" w:rsidRPr="00725664">
        <w:rPr>
          <w:lang w:val="en-US"/>
        </w:rPr>
        <w:lastRenderedPageBreak/>
        <w:t>deviation (SD)</w:t>
      </w:r>
      <w:r w:rsidR="007868C6" w:rsidRPr="00725664">
        <w:rPr>
          <w:lang w:val="en-US"/>
        </w:rPr>
        <w:t xml:space="preserve"> of the p</w:t>
      </w:r>
      <w:r w:rsidR="002B2B01">
        <w:rPr>
          <w:lang w:val="en-US"/>
        </w:rPr>
        <w:t>-</w:t>
      </w:r>
      <w:r w:rsidR="007868C6" w:rsidRPr="00725664">
        <w:rPr>
          <w:lang w:val="en-US"/>
        </w:rPr>
        <w:t>XRF result</w:t>
      </w:r>
      <w:r w:rsidR="003C3932" w:rsidRPr="00725664">
        <w:rPr>
          <w:lang w:val="en-US"/>
        </w:rPr>
        <w:t xml:space="preserve"> is</w:t>
      </w:r>
      <w:r w:rsidR="00415D8D" w:rsidRPr="00725664">
        <w:rPr>
          <w:lang w:val="en-US"/>
        </w:rPr>
        <w:t xml:space="preserve"> given</w:t>
      </w:r>
      <w:r w:rsidR="002B2B01">
        <w:rPr>
          <w:lang w:val="en-US"/>
        </w:rPr>
        <w:t xml:space="preserve"> as well as</w:t>
      </w:r>
      <w:r w:rsidR="00C26B80" w:rsidRPr="00725664">
        <w:rPr>
          <w:lang w:val="en-US"/>
        </w:rPr>
        <w:t xml:space="preserve"> the</w:t>
      </w:r>
      <w:r w:rsidR="0032093E" w:rsidRPr="00725664">
        <w:rPr>
          <w:lang w:val="en-US"/>
        </w:rPr>
        <w:t xml:space="preserve"> relative standard deviation (RSD)</w:t>
      </w:r>
      <w:r w:rsidR="00075A96" w:rsidRPr="00725664">
        <w:rPr>
          <w:lang w:val="en-US"/>
        </w:rPr>
        <w:t xml:space="preserve"> or precision </w:t>
      </w:r>
      <w:r w:rsidR="00127655" w:rsidRPr="00725664">
        <w:rPr>
          <w:lang w:val="en-US"/>
        </w:rPr>
        <w:t>(</w:t>
      </w:r>
      <w:r w:rsidR="002D4F3A">
        <w:rPr>
          <w:lang w:val="en-US"/>
        </w:rPr>
        <w:t>S2 Table</w:t>
      </w:r>
      <w:r w:rsidR="0032093E" w:rsidRPr="00725664">
        <w:rPr>
          <w:lang w:val="en-US"/>
        </w:rPr>
        <w:t>).</w:t>
      </w:r>
      <w:r w:rsidR="003C3932" w:rsidRPr="00725664">
        <w:rPr>
          <w:lang w:val="en-US"/>
        </w:rPr>
        <w:t xml:space="preserve"> </w:t>
      </w:r>
      <w:r w:rsidR="00127655" w:rsidRPr="00725664">
        <w:rPr>
          <w:lang w:val="en-US"/>
        </w:rPr>
        <w:t>Furthermore</w:t>
      </w:r>
      <w:r w:rsidR="002B2B01">
        <w:rPr>
          <w:lang w:val="en-US"/>
        </w:rPr>
        <w:t>,</w:t>
      </w:r>
      <w:r w:rsidR="00127655" w:rsidRPr="00725664">
        <w:rPr>
          <w:lang w:val="en-US"/>
        </w:rPr>
        <w:t xml:space="preserve"> the </w:t>
      </w:r>
      <w:r w:rsidR="00335512" w:rsidRPr="00725664">
        <w:rPr>
          <w:lang w:val="en-US"/>
        </w:rPr>
        <w:t>regression analysis</w:t>
      </w:r>
      <w:r w:rsidR="00610244" w:rsidRPr="00725664">
        <w:rPr>
          <w:lang w:val="en-US"/>
        </w:rPr>
        <w:t xml:space="preserve"> and graphical comparison against reference values is used to assess the accuracy of p</w:t>
      </w:r>
      <w:r w:rsidR="002B2B01">
        <w:rPr>
          <w:lang w:val="en-US"/>
        </w:rPr>
        <w:t>-</w:t>
      </w:r>
      <w:r w:rsidR="00610244" w:rsidRPr="00725664">
        <w:rPr>
          <w:lang w:val="en-US"/>
        </w:rPr>
        <w:t>XRF measurements</w:t>
      </w:r>
      <w:r w:rsidR="00335512" w:rsidRPr="00725664">
        <w:rPr>
          <w:lang w:val="en-US"/>
        </w:rPr>
        <w:t>,</w:t>
      </w:r>
      <w:r w:rsidR="00610244" w:rsidRPr="00725664">
        <w:rPr>
          <w:lang w:val="en-US"/>
        </w:rPr>
        <w:t xml:space="preserve"> i.e. the</w:t>
      </w:r>
      <w:r w:rsidR="00335512" w:rsidRPr="00725664">
        <w:rPr>
          <w:lang w:val="en-US"/>
        </w:rPr>
        <w:t xml:space="preserve"> </w:t>
      </w:r>
      <w:r w:rsidR="007868C6" w:rsidRPr="00725664">
        <w:rPr>
          <w:lang w:val="en-US"/>
        </w:rPr>
        <w:t>so</w:t>
      </w:r>
      <w:r w:rsidR="002B2B01">
        <w:rPr>
          <w:lang w:val="en-US"/>
        </w:rPr>
        <w:t>-</w:t>
      </w:r>
      <w:r w:rsidR="007868C6" w:rsidRPr="00725664">
        <w:rPr>
          <w:lang w:val="en-US"/>
        </w:rPr>
        <w:t xml:space="preserve">called </w:t>
      </w:r>
      <w:r w:rsidR="00075A96" w:rsidRPr="00725664">
        <w:rPr>
          <w:lang w:val="en-US"/>
        </w:rPr>
        <w:t>‘</w:t>
      </w:r>
      <w:r w:rsidR="007868C6" w:rsidRPr="00725664">
        <w:rPr>
          <w:lang w:val="en-US"/>
        </w:rPr>
        <w:t>goodness of fit</w:t>
      </w:r>
      <w:r w:rsidR="00075A96" w:rsidRPr="00725664">
        <w:rPr>
          <w:lang w:val="en-US"/>
        </w:rPr>
        <w:t>’ or comparability</w:t>
      </w:r>
      <w:r w:rsidR="00335512" w:rsidRPr="00725664">
        <w:rPr>
          <w:lang w:val="en-US"/>
        </w:rPr>
        <w:t>,</w:t>
      </w:r>
      <w:r w:rsidR="007868C6" w:rsidRPr="00725664">
        <w:rPr>
          <w:lang w:val="en-US"/>
        </w:rPr>
        <w:t xml:space="preserve"> </w:t>
      </w:r>
      <w:r w:rsidR="00127655" w:rsidRPr="00725664">
        <w:rPr>
          <w:lang w:val="en-US"/>
        </w:rPr>
        <w:t xml:space="preserve">expressed by the linear coefficient of correlation (r²) and </w:t>
      </w:r>
      <w:r w:rsidR="00C26B80" w:rsidRPr="00725664">
        <w:rPr>
          <w:lang w:val="en-US"/>
        </w:rPr>
        <w:t>the graph</w:t>
      </w:r>
      <w:r w:rsidR="007868C6" w:rsidRPr="00725664">
        <w:rPr>
          <w:lang w:val="en-US"/>
        </w:rPr>
        <w:t xml:space="preserve"> parameters</w:t>
      </w:r>
      <w:r w:rsidR="00127655" w:rsidRPr="00725664">
        <w:rPr>
          <w:lang w:val="en-US"/>
        </w:rPr>
        <w:t xml:space="preserve"> interc</w:t>
      </w:r>
      <w:bookmarkStart w:id="0" w:name="_GoBack"/>
      <w:bookmarkEnd w:id="0"/>
      <w:r w:rsidR="00127655" w:rsidRPr="00725664">
        <w:rPr>
          <w:lang w:val="en-US"/>
        </w:rPr>
        <w:t>ept and slope (</w:t>
      </w:r>
      <w:r w:rsidR="00055A45">
        <w:rPr>
          <w:lang w:val="en-US"/>
        </w:rPr>
        <w:t>S3 Table and S1</w:t>
      </w:r>
      <w:r w:rsidR="002D4F3A">
        <w:rPr>
          <w:lang w:val="en-US"/>
        </w:rPr>
        <w:t xml:space="preserve"> Fig</w:t>
      </w:r>
      <w:r w:rsidR="00533D01">
        <w:rPr>
          <w:lang w:val="en-US"/>
        </w:rPr>
        <w:t>ure</w:t>
      </w:r>
      <w:r w:rsidR="00127655" w:rsidRPr="00725664">
        <w:rPr>
          <w:lang w:val="en-US"/>
        </w:rPr>
        <w:t>).</w:t>
      </w:r>
      <w:r w:rsidR="00C26B80" w:rsidRPr="00725664">
        <w:rPr>
          <w:lang w:val="en-US"/>
        </w:rPr>
        <w:t xml:space="preserve"> </w:t>
      </w:r>
      <w:r w:rsidR="008C6340" w:rsidRPr="00725664">
        <w:rPr>
          <w:lang w:val="en-US"/>
        </w:rPr>
        <w:t>(</w:t>
      </w:r>
      <w:proofErr w:type="spellStart"/>
      <w:r w:rsidR="00B243B8" w:rsidRPr="00725664">
        <w:rPr>
          <w:lang w:val="en-US"/>
        </w:rPr>
        <w:t>Rawski</w:t>
      </w:r>
      <w:proofErr w:type="spellEnd"/>
      <w:r w:rsidR="00B243B8" w:rsidRPr="00725664">
        <w:rPr>
          <w:lang w:val="en-US"/>
        </w:rPr>
        <w:t xml:space="preserve"> et al. 2016; </w:t>
      </w:r>
      <w:proofErr w:type="spellStart"/>
      <w:r w:rsidR="00B243B8" w:rsidRPr="00725664">
        <w:rPr>
          <w:lang w:val="en-US"/>
        </w:rPr>
        <w:t>Rouillon</w:t>
      </w:r>
      <w:proofErr w:type="spellEnd"/>
      <w:r w:rsidR="00B243B8" w:rsidRPr="00725664">
        <w:rPr>
          <w:lang w:val="en-US"/>
        </w:rPr>
        <w:t xml:space="preserve"> – Taylor 2016; </w:t>
      </w:r>
      <w:r w:rsidR="00A374FD" w:rsidRPr="00725664">
        <w:rPr>
          <w:lang w:val="en-US"/>
        </w:rPr>
        <w:t>Ramsey – Ellison 2007</w:t>
      </w:r>
      <w:r w:rsidR="00262EE7" w:rsidRPr="00725664">
        <w:rPr>
          <w:lang w:val="en-US"/>
        </w:rPr>
        <w:t xml:space="preserve">; Hunt – </w:t>
      </w:r>
      <w:proofErr w:type="spellStart"/>
      <w:r w:rsidR="00262EE7" w:rsidRPr="00725664">
        <w:rPr>
          <w:lang w:val="en-US"/>
        </w:rPr>
        <w:t>Speckman</w:t>
      </w:r>
      <w:proofErr w:type="spellEnd"/>
      <w:r w:rsidR="00262EE7" w:rsidRPr="00725664">
        <w:rPr>
          <w:lang w:val="en-US"/>
        </w:rPr>
        <w:t xml:space="preserve"> 2015; Hall et al. 2012, 2014; </w:t>
      </w:r>
      <w:proofErr w:type="spellStart"/>
      <w:r w:rsidR="00262EE7" w:rsidRPr="00725664">
        <w:rPr>
          <w:lang w:val="en-US"/>
        </w:rPr>
        <w:t>Gallhofer</w:t>
      </w:r>
      <w:proofErr w:type="spellEnd"/>
      <w:r w:rsidR="00262EE7" w:rsidRPr="00725664">
        <w:rPr>
          <w:lang w:val="en-US"/>
        </w:rPr>
        <w:t xml:space="preserve"> – </w:t>
      </w:r>
      <w:proofErr w:type="spellStart"/>
      <w:r w:rsidR="00262EE7" w:rsidRPr="00725664">
        <w:rPr>
          <w:lang w:val="en-US"/>
        </w:rPr>
        <w:t>Lottermoser</w:t>
      </w:r>
      <w:proofErr w:type="spellEnd"/>
      <w:r w:rsidR="00262EE7" w:rsidRPr="00725664">
        <w:rPr>
          <w:lang w:val="en-US"/>
        </w:rPr>
        <w:t xml:space="preserve"> 2018; </w:t>
      </w:r>
      <w:proofErr w:type="spellStart"/>
      <w:r w:rsidR="00262EE7" w:rsidRPr="00725664">
        <w:rPr>
          <w:lang w:val="en-US"/>
        </w:rPr>
        <w:t>Piercey</w:t>
      </w:r>
      <w:proofErr w:type="spellEnd"/>
      <w:r w:rsidR="00262EE7" w:rsidRPr="00725664">
        <w:rPr>
          <w:lang w:val="en-US"/>
        </w:rPr>
        <w:t xml:space="preserve"> – Devine 2014; Kenna et al. 2011</w:t>
      </w:r>
      <w:r w:rsidR="008C6340" w:rsidRPr="00725664">
        <w:rPr>
          <w:lang w:val="en-US"/>
        </w:rPr>
        <w:t>)</w:t>
      </w:r>
      <w:r w:rsidR="00584226" w:rsidRPr="00725664">
        <w:rPr>
          <w:lang w:val="en-US"/>
        </w:rPr>
        <w:t>.</w:t>
      </w:r>
    </w:p>
    <w:p w:rsidR="00854EAA" w:rsidRPr="00725664" w:rsidRDefault="00ED7FDD" w:rsidP="00B87FA0">
      <w:pPr>
        <w:spacing w:line="360" w:lineRule="auto"/>
        <w:rPr>
          <w:lang w:val="en-US"/>
        </w:rPr>
      </w:pPr>
      <w:r w:rsidRPr="00725664">
        <w:rPr>
          <w:lang w:val="en-US"/>
        </w:rPr>
        <w:t xml:space="preserve">We follow the criteria for </w:t>
      </w:r>
      <w:proofErr w:type="spellStart"/>
      <w:r w:rsidRPr="00725664">
        <w:rPr>
          <w:lang w:val="en-US"/>
        </w:rPr>
        <w:t>characteri</w:t>
      </w:r>
      <w:r w:rsidR="002B2B01">
        <w:rPr>
          <w:lang w:val="en-US"/>
        </w:rPr>
        <w:t>s</w:t>
      </w:r>
      <w:r w:rsidRPr="00725664">
        <w:rPr>
          <w:lang w:val="en-US"/>
        </w:rPr>
        <w:t>ing</w:t>
      </w:r>
      <w:proofErr w:type="spellEnd"/>
      <w:r w:rsidRPr="00725664">
        <w:rPr>
          <w:lang w:val="en-US"/>
        </w:rPr>
        <w:t xml:space="preserve"> data quality proposed by </w:t>
      </w:r>
      <w:proofErr w:type="spellStart"/>
      <w:r w:rsidR="00C117DC" w:rsidRPr="00725664">
        <w:rPr>
          <w:lang w:val="en-US"/>
        </w:rPr>
        <w:t>Rouillon</w:t>
      </w:r>
      <w:proofErr w:type="spellEnd"/>
      <w:r w:rsidR="00C117DC" w:rsidRPr="00725664">
        <w:rPr>
          <w:lang w:val="en-US"/>
        </w:rPr>
        <w:t xml:space="preserve"> &amp;</w:t>
      </w:r>
      <w:r w:rsidRPr="00725664">
        <w:rPr>
          <w:lang w:val="en-US"/>
        </w:rPr>
        <w:t xml:space="preserve"> Taylor 2016</w:t>
      </w:r>
      <w:r w:rsidR="00C117DC" w:rsidRPr="00725664">
        <w:rPr>
          <w:lang w:val="en-US"/>
        </w:rPr>
        <w:t>, respectively</w:t>
      </w:r>
      <w:r w:rsidRPr="00725664">
        <w:rPr>
          <w:lang w:val="en-US"/>
        </w:rPr>
        <w:t xml:space="preserve"> </w:t>
      </w:r>
      <w:r w:rsidR="00C117DC" w:rsidRPr="00725664">
        <w:rPr>
          <w:lang w:val="en-US"/>
        </w:rPr>
        <w:t xml:space="preserve">US </w:t>
      </w:r>
      <w:r w:rsidRPr="00725664">
        <w:rPr>
          <w:lang w:val="en-US"/>
        </w:rPr>
        <w:t>EPA 1998</w:t>
      </w:r>
      <w:r w:rsidR="00854EAA" w:rsidRPr="00725664">
        <w:rPr>
          <w:lang w:val="en-US"/>
        </w:rPr>
        <w:t>, for defining three data quality levels</w:t>
      </w:r>
      <w:r w:rsidR="000A63B7" w:rsidRPr="00725664">
        <w:rPr>
          <w:lang w:val="en-US"/>
        </w:rPr>
        <w:t xml:space="preserve">, supplemented by a review of relative bias following </w:t>
      </w:r>
      <w:proofErr w:type="spellStart"/>
      <w:r w:rsidR="000A63B7" w:rsidRPr="00725664">
        <w:rPr>
          <w:lang w:val="en-US"/>
        </w:rPr>
        <w:t>Rostron</w:t>
      </w:r>
      <w:proofErr w:type="spellEnd"/>
      <w:r w:rsidR="000A63B7" w:rsidRPr="00725664">
        <w:rPr>
          <w:lang w:val="en-US"/>
        </w:rPr>
        <w:t xml:space="preserve"> &amp; Ramsay 2017</w:t>
      </w:r>
      <w:r w:rsidR="00854EAA" w:rsidRPr="00725664">
        <w:rPr>
          <w:lang w:val="en-US"/>
        </w:rPr>
        <w:t>. For the highest level</w:t>
      </w:r>
      <w:r w:rsidR="002B2B01">
        <w:rPr>
          <w:lang w:val="en-US"/>
        </w:rPr>
        <w:t xml:space="preserve"> known as the</w:t>
      </w:r>
      <w:r w:rsidR="00854EAA" w:rsidRPr="00725664">
        <w:rPr>
          <w:lang w:val="en-US"/>
        </w:rPr>
        <w:t xml:space="preserve"> </w:t>
      </w:r>
      <w:r w:rsidR="00D63D92" w:rsidRPr="00725664">
        <w:rPr>
          <w:lang w:val="en-US"/>
        </w:rPr>
        <w:t>‘</w:t>
      </w:r>
      <w:r w:rsidR="00854EAA" w:rsidRPr="00725664">
        <w:rPr>
          <w:lang w:val="en-US"/>
        </w:rPr>
        <w:t>definitive level</w:t>
      </w:r>
      <w:r w:rsidR="00D63D92" w:rsidRPr="00725664">
        <w:rPr>
          <w:lang w:val="en-US"/>
        </w:rPr>
        <w:t>’</w:t>
      </w:r>
      <w:r w:rsidR="002B2B01">
        <w:rPr>
          <w:lang w:val="en-US"/>
        </w:rPr>
        <w:t>,</w:t>
      </w:r>
      <w:r w:rsidR="00854EAA" w:rsidRPr="00725664">
        <w:rPr>
          <w:lang w:val="en-US"/>
        </w:rPr>
        <w:t xml:space="preserve"> the st</w:t>
      </w:r>
      <w:r w:rsidR="009F70C9" w:rsidRPr="00725664">
        <w:rPr>
          <w:lang w:val="en-US"/>
        </w:rPr>
        <w:t>atistical parameters are r² = 0.</w:t>
      </w:r>
      <w:r w:rsidR="00854EAA" w:rsidRPr="00725664">
        <w:rPr>
          <w:lang w:val="en-US"/>
        </w:rPr>
        <w:t>85 – 1 and RSD ≤ 10 %.</w:t>
      </w:r>
      <w:r w:rsidR="003C3AAE" w:rsidRPr="00725664">
        <w:rPr>
          <w:lang w:val="en-US"/>
        </w:rPr>
        <w:t xml:space="preserve"> The medium level</w:t>
      </w:r>
      <w:r w:rsidR="002B2B01">
        <w:rPr>
          <w:lang w:val="en-US"/>
        </w:rPr>
        <w:t>,</w:t>
      </w:r>
      <w:r w:rsidR="003C3AAE" w:rsidRPr="00725664">
        <w:rPr>
          <w:lang w:val="en-US"/>
        </w:rPr>
        <w:t xml:space="preserve"> named </w:t>
      </w:r>
      <w:r w:rsidR="00D63D92" w:rsidRPr="00725664">
        <w:rPr>
          <w:lang w:val="en-US"/>
        </w:rPr>
        <w:t>‘</w:t>
      </w:r>
      <w:r w:rsidR="003C3AAE" w:rsidRPr="00725664">
        <w:rPr>
          <w:lang w:val="en-US"/>
        </w:rPr>
        <w:t>quantitative screening</w:t>
      </w:r>
      <w:r w:rsidR="00D63D92" w:rsidRPr="00725664">
        <w:rPr>
          <w:lang w:val="en-US"/>
        </w:rPr>
        <w:t>’</w:t>
      </w:r>
      <w:r w:rsidR="002B2B01">
        <w:rPr>
          <w:lang w:val="en-US"/>
        </w:rPr>
        <w:t>,</w:t>
      </w:r>
      <w:r w:rsidR="00E66B93" w:rsidRPr="00725664">
        <w:rPr>
          <w:lang w:val="en-US"/>
        </w:rPr>
        <w:t xml:space="preserve"> has</w:t>
      </w:r>
      <w:r w:rsidR="009F70C9" w:rsidRPr="00725664">
        <w:rPr>
          <w:lang w:val="en-US"/>
        </w:rPr>
        <w:t xml:space="preserve"> r² = 0.7 – 1.</w:t>
      </w:r>
      <w:r w:rsidR="00A305B5" w:rsidRPr="00725664">
        <w:rPr>
          <w:lang w:val="en-US"/>
        </w:rPr>
        <w:t>0 and</w:t>
      </w:r>
      <w:r w:rsidR="00E66B93" w:rsidRPr="00725664">
        <w:rPr>
          <w:lang w:val="en-US"/>
        </w:rPr>
        <w:t xml:space="preserve"> R</w:t>
      </w:r>
      <w:r w:rsidR="003C3AAE" w:rsidRPr="00725664">
        <w:rPr>
          <w:lang w:val="en-US"/>
        </w:rPr>
        <w:t>S</w:t>
      </w:r>
      <w:r w:rsidR="00E66B93" w:rsidRPr="00725664">
        <w:rPr>
          <w:lang w:val="en-US"/>
        </w:rPr>
        <w:t>D</w:t>
      </w:r>
      <w:r w:rsidR="003C3AAE" w:rsidRPr="00725664">
        <w:rPr>
          <w:lang w:val="en-US"/>
        </w:rPr>
        <w:t xml:space="preserve"> &lt; 20 %</w:t>
      </w:r>
      <w:r w:rsidR="002B2B01">
        <w:rPr>
          <w:lang w:val="en-US"/>
        </w:rPr>
        <w:t xml:space="preserve"> and t</w:t>
      </w:r>
      <w:r w:rsidR="003C3AAE" w:rsidRPr="00725664">
        <w:rPr>
          <w:lang w:val="en-US"/>
        </w:rPr>
        <w:t>he lowest level</w:t>
      </w:r>
      <w:r w:rsidR="002B2B01">
        <w:rPr>
          <w:lang w:val="en-US"/>
        </w:rPr>
        <w:t>,</w:t>
      </w:r>
      <w:r w:rsidR="003C3AAE" w:rsidRPr="00725664">
        <w:rPr>
          <w:lang w:val="en-US"/>
        </w:rPr>
        <w:t xml:space="preserve"> </w:t>
      </w:r>
      <w:r w:rsidR="00E66B93" w:rsidRPr="00725664">
        <w:rPr>
          <w:lang w:val="en-US"/>
        </w:rPr>
        <w:t xml:space="preserve">called </w:t>
      </w:r>
      <w:r w:rsidR="00D63D92" w:rsidRPr="00725664">
        <w:rPr>
          <w:lang w:val="en-US"/>
        </w:rPr>
        <w:t>‘</w:t>
      </w:r>
      <w:r w:rsidR="00E66B93" w:rsidRPr="00725664">
        <w:rPr>
          <w:lang w:val="en-US"/>
        </w:rPr>
        <w:t>qualitative screening</w:t>
      </w:r>
      <w:r w:rsidR="00D63D92" w:rsidRPr="00725664">
        <w:rPr>
          <w:lang w:val="en-US"/>
        </w:rPr>
        <w:t>’</w:t>
      </w:r>
      <w:r w:rsidR="002B2B01">
        <w:rPr>
          <w:lang w:val="en-US"/>
        </w:rPr>
        <w:t>,</w:t>
      </w:r>
      <w:r w:rsidR="009F70C9" w:rsidRPr="00725664">
        <w:rPr>
          <w:lang w:val="en-US"/>
        </w:rPr>
        <w:t xml:space="preserve"> with r² &lt; 0.</w:t>
      </w:r>
      <w:r w:rsidR="00E66B93" w:rsidRPr="00725664">
        <w:rPr>
          <w:lang w:val="en-US"/>
        </w:rPr>
        <w:t>7 and</w:t>
      </w:r>
      <w:r w:rsidR="003C3AAE" w:rsidRPr="00725664">
        <w:rPr>
          <w:lang w:val="en-US"/>
        </w:rPr>
        <w:t xml:space="preserve"> RSD &gt; 20 %. In other words, level one means that two datasets (</w:t>
      </w:r>
      <w:r w:rsidR="00FA6117" w:rsidRPr="00725664">
        <w:rPr>
          <w:lang w:val="en-US"/>
        </w:rPr>
        <w:t>e.g. the given standard and</w:t>
      </w:r>
      <w:r w:rsidR="003C3AAE" w:rsidRPr="00725664">
        <w:rPr>
          <w:lang w:val="en-US"/>
        </w:rPr>
        <w:t xml:space="preserve"> actual measurement) are statistically similar (at a level of 5 %), level two </w:t>
      </w:r>
      <w:r w:rsidR="002B2B01">
        <w:rPr>
          <w:lang w:val="en-US"/>
        </w:rPr>
        <w:t xml:space="preserve">means </w:t>
      </w:r>
      <w:r w:rsidR="003C3AAE" w:rsidRPr="00725664">
        <w:rPr>
          <w:lang w:val="en-US"/>
        </w:rPr>
        <w:t xml:space="preserve">that there is a linear </w:t>
      </w:r>
      <w:r w:rsidR="00A305B5" w:rsidRPr="00725664">
        <w:rPr>
          <w:lang w:val="en-US"/>
        </w:rPr>
        <w:t>cor</w:t>
      </w:r>
      <w:r w:rsidR="003C3AAE" w:rsidRPr="00725664">
        <w:rPr>
          <w:lang w:val="en-US"/>
        </w:rPr>
        <w:t>relation between them (</w:t>
      </w:r>
      <w:r w:rsidR="00A305B5" w:rsidRPr="00725664">
        <w:rPr>
          <w:lang w:val="en-US"/>
        </w:rPr>
        <w:t xml:space="preserve">i.e. their </w:t>
      </w:r>
      <w:r w:rsidR="003C3AAE" w:rsidRPr="00725664">
        <w:rPr>
          <w:lang w:val="en-US"/>
        </w:rPr>
        <w:t xml:space="preserve">deviation) that can be corrected (by calibration) and level three </w:t>
      </w:r>
      <w:r w:rsidR="002B2B01">
        <w:rPr>
          <w:lang w:val="en-US"/>
        </w:rPr>
        <w:t xml:space="preserve">means that they </w:t>
      </w:r>
      <w:r w:rsidR="003C3AAE" w:rsidRPr="00725664">
        <w:rPr>
          <w:lang w:val="en-US"/>
        </w:rPr>
        <w:t xml:space="preserve">are statistically different datasets (no </w:t>
      </w:r>
      <w:r w:rsidR="008D4363" w:rsidRPr="00725664">
        <w:rPr>
          <w:lang w:val="en-US"/>
        </w:rPr>
        <w:t xml:space="preserve">linear relation means no </w:t>
      </w:r>
      <w:r w:rsidR="003C3AAE" w:rsidRPr="00725664">
        <w:rPr>
          <w:lang w:val="en-US"/>
        </w:rPr>
        <w:t xml:space="preserve">calibration </w:t>
      </w:r>
      <w:r w:rsidR="002B3DC1" w:rsidRPr="00725664">
        <w:rPr>
          <w:lang w:val="en-US"/>
        </w:rPr>
        <w:t xml:space="preserve">is </w:t>
      </w:r>
      <w:r w:rsidR="003C3AAE" w:rsidRPr="00725664">
        <w:rPr>
          <w:lang w:val="en-US"/>
        </w:rPr>
        <w:t>possible).</w:t>
      </w:r>
    </w:p>
    <w:p w:rsidR="00AB3472" w:rsidRPr="00725664" w:rsidRDefault="00922E29" w:rsidP="00B87FA0">
      <w:pPr>
        <w:spacing w:line="360" w:lineRule="auto"/>
        <w:rPr>
          <w:lang w:val="en-US"/>
        </w:rPr>
      </w:pPr>
      <w:r w:rsidRPr="00725664">
        <w:rPr>
          <w:lang w:val="en-US"/>
        </w:rPr>
        <w:t xml:space="preserve">The performance of the </w:t>
      </w:r>
      <w:proofErr w:type="spellStart"/>
      <w:r w:rsidRPr="00725664">
        <w:rPr>
          <w:lang w:val="en-US"/>
        </w:rPr>
        <w:t>Niton</w:t>
      </w:r>
      <w:proofErr w:type="spellEnd"/>
      <w:r w:rsidRPr="00725664">
        <w:rPr>
          <w:lang w:val="en-US"/>
        </w:rPr>
        <w:t xml:space="preserve"> XL3t for </w:t>
      </w:r>
      <w:r w:rsidR="006905D1" w:rsidRPr="00725664">
        <w:rPr>
          <w:lang w:val="en-US"/>
        </w:rPr>
        <w:t>seven of nine</w:t>
      </w:r>
      <w:r w:rsidRPr="00725664">
        <w:rPr>
          <w:lang w:val="en-US"/>
        </w:rPr>
        <w:t xml:space="preserve"> main oxides is good, as </w:t>
      </w:r>
      <w:r w:rsidR="002D314A" w:rsidRPr="00725664">
        <w:rPr>
          <w:lang w:val="en-US"/>
        </w:rPr>
        <w:t>eight have relative standard deviations (precision) les</w:t>
      </w:r>
      <w:r w:rsidR="005974CE" w:rsidRPr="00725664">
        <w:rPr>
          <w:lang w:val="en-US"/>
        </w:rPr>
        <w:t xml:space="preserve">s than 10% for all </w:t>
      </w:r>
      <w:proofErr w:type="spellStart"/>
      <w:r w:rsidR="005974CE" w:rsidRPr="00725664">
        <w:rPr>
          <w:lang w:val="en-US"/>
        </w:rPr>
        <w:t>analy</w:t>
      </w:r>
      <w:r w:rsidR="002B2B01">
        <w:rPr>
          <w:lang w:val="en-US"/>
        </w:rPr>
        <w:t>s</w:t>
      </w:r>
      <w:r w:rsidR="005974CE" w:rsidRPr="00725664">
        <w:rPr>
          <w:lang w:val="en-US"/>
        </w:rPr>
        <w:t>ed</w:t>
      </w:r>
      <w:proofErr w:type="spellEnd"/>
      <w:r w:rsidR="005974CE" w:rsidRPr="00725664">
        <w:rPr>
          <w:lang w:val="en-US"/>
        </w:rPr>
        <w:t xml:space="preserve"> CRM</w:t>
      </w:r>
      <w:r w:rsidR="002D314A" w:rsidRPr="00725664">
        <w:rPr>
          <w:lang w:val="en-US"/>
        </w:rPr>
        <w:t xml:space="preserve"> and </w:t>
      </w:r>
      <w:r w:rsidR="00824A5C" w:rsidRPr="00725664">
        <w:rPr>
          <w:lang w:val="en-US"/>
        </w:rPr>
        <w:t>also</w:t>
      </w:r>
      <w:r w:rsidR="006905D1" w:rsidRPr="00725664">
        <w:rPr>
          <w:lang w:val="en-US"/>
        </w:rPr>
        <w:t xml:space="preserve"> seven have a</w:t>
      </w:r>
      <w:r w:rsidR="00824A5C" w:rsidRPr="00725664">
        <w:rPr>
          <w:lang w:val="en-US"/>
        </w:rPr>
        <w:t xml:space="preserve"> coefficient of correlation</w:t>
      </w:r>
      <w:r w:rsidR="006905D1" w:rsidRPr="00725664">
        <w:rPr>
          <w:lang w:val="en-US"/>
        </w:rPr>
        <w:t xml:space="preserve"> higher than 0</w:t>
      </w:r>
      <w:r w:rsidR="002B2B01">
        <w:rPr>
          <w:lang w:val="en-US"/>
        </w:rPr>
        <w:t>.</w:t>
      </w:r>
      <w:r w:rsidR="00824A5C" w:rsidRPr="00725664">
        <w:rPr>
          <w:lang w:val="en-US"/>
        </w:rPr>
        <w:t>85.</w:t>
      </w:r>
      <w:r w:rsidR="006905D1" w:rsidRPr="00725664">
        <w:rPr>
          <w:lang w:val="en-US"/>
        </w:rPr>
        <w:t xml:space="preserve"> </w:t>
      </w:r>
      <w:r w:rsidR="005807C7" w:rsidRPr="00725664">
        <w:rPr>
          <w:lang w:val="en-US"/>
        </w:rPr>
        <w:t>Thus</w:t>
      </w:r>
      <w:r w:rsidR="002B2B01">
        <w:rPr>
          <w:lang w:val="en-US"/>
        </w:rPr>
        <w:t>,</w:t>
      </w:r>
      <w:r w:rsidR="005807C7" w:rsidRPr="00725664">
        <w:rPr>
          <w:lang w:val="en-US"/>
        </w:rPr>
        <w:t xml:space="preserve"> the device gives accurate and precise data for SiO</w:t>
      </w:r>
      <w:r w:rsidR="005807C7" w:rsidRPr="00725664">
        <w:rPr>
          <w:vertAlign w:val="subscript"/>
          <w:lang w:val="en-US"/>
        </w:rPr>
        <w:t>2</w:t>
      </w:r>
      <w:r w:rsidR="005807C7" w:rsidRPr="00725664">
        <w:rPr>
          <w:lang w:val="en-US"/>
        </w:rPr>
        <w:t>, TiO</w:t>
      </w:r>
      <w:r w:rsidR="005807C7" w:rsidRPr="00725664">
        <w:rPr>
          <w:vertAlign w:val="subscript"/>
          <w:lang w:val="en-US"/>
        </w:rPr>
        <w:t>2,</w:t>
      </w:r>
      <w:r w:rsidR="005807C7" w:rsidRPr="00725664">
        <w:rPr>
          <w:lang w:val="en-US"/>
        </w:rPr>
        <w:t xml:space="preserve"> Al</w:t>
      </w:r>
      <w:r w:rsidR="005807C7" w:rsidRPr="00725664">
        <w:rPr>
          <w:vertAlign w:val="subscript"/>
          <w:lang w:val="en-US"/>
        </w:rPr>
        <w:t>2</w:t>
      </w:r>
      <w:r w:rsidR="005807C7" w:rsidRPr="00725664">
        <w:rPr>
          <w:lang w:val="en-US"/>
        </w:rPr>
        <w:t>O</w:t>
      </w:r>
      <w:r w:rsidR="005807C7" w:rsidRPr="00725664">
        <w:rPr>
          <w:vertAlign w:val="subscript"/>
          <w:lang w:val="en-US"/>
        </w:rPr>
        <w:t>3</w:t>
      </w:r>
      <w:r w:rsidR="005807C7" w:rsidRPr="00725664">
        <w:rPr>
          <w:lang w:val="en-US"/>
        </w:rPr>
        <w:t xml:space="preserve">, </w:t>
      </w:r>
      <w:proofErr w:type="gramStart"/>
      <w:r w:rsidR="005807C7" w:rsidRPr="00725664">
        <w:rPr>
          <w:lang w:val="en-US"/>
        </w:rPr>
        <w:t>Fe</w:t>
      </w:r>
      <w:r w:rsidR="005807C7" w:rsidRPr="00725664">
        <w:rPr>
          <w:vertAlign w:val="subscript"/>
          <w:lang w:val="en-US"/>
        </w:rPr>
        <w:t>2</w:t>
      </w:r>
      <w:r w:rsidR="005807C7" w:rsidRPr="00725664">
        <w:rPr>
          <w:lang w:val="en-US"/>
        </w:rPr>
        <w:t>O</w:t>
      </w:r>
      <w:r w:rsidR="005807C7" w:rsidRPr="00725664">
        <w:rPr>
          <w:vertAlign w:val="subscript"/>
          <w:lang w:val="en-US"/>
        </w:rPr>
        <w:t>3</w:t>
      </w:r>
      <w:r w:rsidR="006D5ED7" w:rsidRPr="00725664">
        <w:rPr>
          <w:vertAlign w:val="subscript"/>
          <w:lang w:val="en-US"/>
        </w:rPr>
        <w:t>(</w:t>
      </w:r>
      <w:proofErr w:type="gramEnd"/>
      <w:r w:rsidR="006D5ED7" w:rsidRPr="00725664">
        <w:rPr>
          <w:vertAlign w:val="subscript"/>
          <w:lang w:val="en-US"/>
        </w:rPr>
        <w:t>Total</w:t>
      </w:r>
      <w:r w:rsidR="00BE0F3A" w:rsidRPr="00725664">
        <w:rPr>
          <w:vertAlign w:val="subscript"/>
          <w:lang w:val="en-US"/>
        </w:rPr>
        <w:t>)</w:t>
      </w:r>
      <w:r w:rsidR="005807C7" w:rsidRPr="00725664">
        <w:rPr>
          <w:lang w:val="en-US"/>
        </w:rPr>
        <w:t xml:space="preserve">, </w:t>
      </w:r>
      <w:proofErr w:type="spellStart"/>
      <w:r w:rsidR="005807C7" w:rsidRPr="00725664">
        <w:rPr>
          <w:lang w:val="en-US"/>
        </w:rPr>
        <w:t>MnO</w:t>
      </w:r>
      <w:proofErr w:type="spellEnd"/>
      <w:r w:rsidR="005807C7" w:rsidRPr="00725664">
        <w:rPr>
          <w:lang w:val="en-US"/>
        </w:rPr>
        <w:t xml:space="preserve">, </w:t>
      </w:r>
      <w:proofErr w:type="spellStart"/>
      <w:r w:rsidR="005807C7" w:rsidRPr="00725664">
        <w:rPr>
          <w:lang w:val="en-US"/>
        </w:rPr>
        <w:t>CaO</w:t>
      </w:r>
      <w:proofErr w:type="spellEnd"/>
      <w:r w:rsidR="005807C7" w:rsidRPr="00725664">
        <w:rPr>
          <w:lang w:val="en-US"/>
        </w:rPr>
        <w:t xml:space="preserve"> and K</w:t>
      </w:r>
      <w:r w:rsidR="005807C7" w:rsidRPr="00725664">
        <w:rPr>
          <w:vertAlign w:val="subscript"/>
          <w:lang w:val="en-US"/>
        </w:rPr>
        <w:t>2</w:t>
      </w:r>
      <w:r w:rsidR="005807C7" w:rsidRPr="00725664">
        <w:rPr>
          <w:lang w:val="en-US"/>
        </w:rPr>
        <w:t xml:space="preserve">O. </w:t>
      </w:r>
      <w:r w:rsidR="006905D1" w:rsidRPr="00725664">
        <w:rPr>
          <w:lang w:val="en-US"/>
        </w:rPr>
        <w:t xml:space="preserve">The </w:t>
      </w:r>
      <w:r w:rsidR="005807C7" w:rsidRPr="00725664">
        <w:rPr>
          <w:lang w:val="en-US"/>
        </w:rPr>
        <w:t>RSD</w:t>
      </w:r>
      <w:r w:rsidR="006905D1" w:rsidRPr="00725664">
        <w:rPr>
          <w:lang w:val="en-US"/>
        </w:rPr>
        <w:t xml:space="preserve"> for</w:t>
      </w:r>
      <w:r w:rsidR="002D314A" w:rsidRPr="00725664">
        <w:rPr>
          <w:lang w:val="en-US"/>
        </w:rPr>
        <w:t xml:space="preserve"> </w:t>
      </w:r>
      <w:proofErr w:type="spellStart"/>
      <w:r w:rsidR="002D314A" w:rsidRPr="00725664">
        <w:rPr>
          <w:lang w:val="en-US"/>
        </w:rPr>
        <w:t>MgO</w:t>
      </w:r>
      <w:proofErr w:type="spellEnd"/>
      <w:r w:rsidR="002D314A" w:rsidRPr="00725664">
        <w:rPr>
          <w:lang w:val="en-US"/>
        </w:rPr>
        <w:t xml:space="preserve"> is greater than 20% </w:t>
      </w:r>
      <w:r w:rsidR="005974CE" w:rsidRPr="00725664">
        <w:rPr>
          <w:lang w:val="en-US"/>
        </w:rPr>
        <w:t>for most CRM</w:t>
      </w:r>
      <w:r w:rsidR="006905D1" w:rsidRPr="00725664">
        <w:rPr>
          <w:lang w:val="en-US"/>
        </w:rPr>
        <w:t xml:space="preserve"> and the correlation of P</w:t>
      </w:r>
      <w:r w:rsidR="006905D1" w:rsidRPr="00725664">
        <w:rPr>
          <w:vertAlign w:val="subscript"/>
          <w:lang w:val="en-US"/>
        </w:rPr>
        <w:t>2</w:t>
      </w:r>
      <w:r w:rsidR="006905D1" w:rsidRPr="00725664">
        <w:rPr>
          <w:lang w:val="en-US"/>
        </w:rPr>
        <w:t>O</w:t>
      </w:r>
      <w:r w:rsidR="006905D1" w:rsidRPr="00725664">
        <w:rPr>
          <w:vertAlign w:val="subscript"/>
          <w:lang w:val="en-US"/>
        </w:rPr>
        <w:t>5</w:t>
      </w:r>
      <w:r w:rsidR="00824A5C" w:rsidRPr="00725664">
        <w:rPr>
          <w:lang w:val="en-US"/>
        </w:rPr>
        <w:t xml:space="preserve"> far below</w:t>
      </w:r>
      <w:r w:rsidR="006905D1" w:rsidRPr="00725664">
        <w:rPr>
          <w:lang w:val="en-US"/>
        </w:rPr>
        <w:t xml:space="preserve"> </w:t>
      </w:r>
      <w:r w:rsidR="00824A5C" w:rsidRPr="00725664">
        <w:rPr>
          <w:lang w:val="en-US"/>
        </w:rPr>
        <w:t>0</w:t>
      </w:r>
      <w:r w:rsidR="002B2B01">
        <w:rPr>
          <w:lang w:val="en-US"/>
        </w:rPr>
        <w:t>.</w:t>
      </w:r>
      <w:r w:rsidR="00824A5C" w:rsidRPr="00725664">
        <w:rPr>
          <w:lang w:val="en-US"/>
        </w:rPr>
        <w:t xml:space="preserve">7 </w:t>
      </w:r>
      <w:r w:rsidR="002D314A" w:rsidRPr="00725664">
        <w:rPr>
          <w:lang w:val="en-US"/>
        </w:rPr>
        <w:t xml:space="preserve">which means </w:t>
      </w:r>
      <w:r w:rsidR="00824A5C" w:rsidRPr="00725664">
        <w:rPr>
          <w:lang w:val="en-US"/>
        </w:rPr>
        <w:t>both fall</w:t>
      </w:r>
      <w:r w:rsidR="006905D1" w:rsidRPr="00725664">
        <w:rPr>
          <w:lang w:val="en-US"/>
        </w:rPr>
        <w:t xml:space="preserve"> </w:t>
      </w:r>
      <w:r w:rsidR="005807C7" w:rsidRPr="00725664">
        <w:rPr>
          <w:lang w:val="en-US"/>
        </w:rPr>
        <w:t xml:space="preserve">out of the quantitative screening level and </w:t>
      </w:r>
      <w:r w:rsidR="006905D1" w:rsidRPr="00725664">
        <w:rPr>
          <w:lang w:val="en-US"/>
        </w:rPr>
        <w:t>within the level of qua</w:t>
      </w:r>
      <w:r w:rsidR="005807C7" w:rsidRPr="00725664">
        <w:rPr>
          <w:lang w:val="en-US"/>
        </w:rPr>
        <w:t>lit</w:t>
      </w:r>
      <w:r w:rsidR="006905D1" w:rsidRPr="00725664">
        <w:rPr>
          <w:lang w:val="en-US"/>
        </w:rPr>
        <w:t>ative screening only</w:t>
      </w:r>
      <w:r w:rsidR="005807C7" w:rsidRPr="00725664">
        <w:rPr>
          <w:lang w:val="en-US"/>
        </w:rPr>
        <w:t xml:space="preserve">, </w:t>
      </w:r>
      <w:r w:rsidR="00824A5C" w:rsidRPr="00725664">
        <w:rPr>
          <w:lang w:val="en-US"/>
        </w:rPr>
        <w:t xml:space="preserve">calibration </w:t>
      </w:r>
      <w:r w:rsidR="005807C7" w:rsidRPr="00725664">
        <w:rPr>
          <w:lang w:val="en-US"/>
        </w:rPr>
        <w:t>by</w:t>
      </w:r>
      <w:r w:rsidR="00824A5C" w:rsidRPr="00725664">
        <w:rPr>
          <w:lang w:val="en-US"/>
        </w:rPr>
        <w:t xml:space="preserve"> the aid of the given CRMs is not possible. This result is not surprising</w:t>
      </w:r>
      <w:r w:rsidR="002B2B01">
        <w:rPr>
          <w:lang w:val="en-US"/>
        </w:rPr>
        <w:t>,</w:t>
      </w:r>
      <w:r w:rsidR="00824A5C" w:rsidRPr="00725664">
        <w:rPr>
          <w:lang w:val="en-US"/>
        </w:rPr>
        <w:t xml:space="preserve"> as both are reported frequently as problematic for p</w:t>
      </w:r>
      <w:r w:rsidR="002B2B01">
        <w:rPr>
          <w:lang w:val="en-US"/>
        </w:rPr>
        <w:t>-</w:t>
      </w:r>
      <w:r w:rsidR="00824A5C" w:rsidRPr="00725664">
        <w:rPr>
          <w:lang w:val="en-US"/>
        </w:rPr>
        <w:t>X</w:t>
      </w:r>
      <w:r w:rsidR="005807C7" w:rsidRPr="00725664">
        <w:rPr>
          <w:lang w:val="en-US"/>
        </w:rPr>
        <w:t>RF</w:t>
      </w:r>
      <w:r w:rsidR="00824A5C" w:rsidRPr="00725664">
        <w:rPr>
          <w:lang w:val="en-US"/>
        </w:rPr>
        <w:t>, especially when they appear in low concentrations</w:t>
      </w:r>
      <w:r w:rsidR="00262EE7" w:rsidRPr="00725664">
        <w:rPr>
          <w:lang w:val="en-US"/>
        </w:rPr>
        <w:t xml:space="preserve"> (Hunt – </w:t>
      </w:r>
      <w:proofErr w:type="spellStart"/>
      <w:r w:rsidR="00262EE7" w:rsidRPr="00725664">
        <w:rPr>
          <w:lang w:val="en-US"/>
        </w:rPr>
        <w:t>Speckman</w:t>
      </w:r>
      <w:proofErr w:type="spellEnd"/>
      <w:r w:rsidR="00262EE7" w:rsidRPr="00725664">
        <w:rPr>
          <w:lang w:val="en-US"/>
        </w:rPr>
        <w:t xml:space="preserve"> 2015; Hall et al. 2012, 2014; </w:t>
      </w:r>
      <w:proofErr w:type="spellStart"/>
      <w:r w:rsidR="00262EE7" w:rsidRPr="00725664">
        <w:rPr>
          <w:lang w:val="en-US"/>
        </w:rPr>
        <w:t>Gallhofer</w:t>
      </w:r>
      <w:proofErr w:type="spellEnd"/>
      <w:r w:rsidR="00262EE7" w:rsidRPr="00725664">
        <w:rPr>
          <w:lang w:val="en-US"/>
        </w:rPr>
        <w:t xml:space="preserve"> – </w:t>
      </w:r>
      <w:proofErr w:type="spellStart"/>
      <w:r w:rsidR="00262EE7" w:rsidRPr="00725664">
        <w:rPr>
          <w:lang w:val="en-US"/>
        </w:rPr>
        <w:t>Lottermoser</w:t>
      </w:r>
      <w:proofErr w:type="spellEnd"/>
      <w:r w:rsidR="00262EE7" w:rsidRPr="00725664">
        <w:rPr>
          <w:lang w:val="en-US"/>
        </w:rPr>
        <w:t xml:space="preserve"> 2018</w:t>
      </w:r>
      <w:r w:rsidR="005807C7" w:rsidRPr="00725664">
        <w:rPr>
          <w:lang w:val="en-US"/>
        </w:rPr>
        <w:t>)</w:t>
      </w:r>
      <w:r w:rsidR="00824A5C" w:rsidRPr="00725664">
        <w:rPr>
          <w:lang w:val="en-US"/>
        </w:rPr>
        <w:t xml:space="preserve">. </w:t>
      </w:r>
    </w:p>
    <w:p w:rsidR="0053016F" w:rsidRPr="00725664" w:rsidRDefault="002B2B01" w:rsidP="00B87FA0">
      <w:pPr>
        <w:spacing w:line="360" w:lineRule="auto"/>
        <w:rPr>
          <w:lang w:val="en-US"/>
        </w:rPr>
      </w:pPr>
      <w:r>
        <w:rPr>
          <w:lang w:val="en-US"/>
        </w:rPr>
        <w:t>In addition to</w:t>
      </w:r>
      <w:r w:rsidRPr="00725664">
        <w:rPr>
          <w:lang w:val="en-US"/>
        </w:rPr>
        <w:t xml:space="preserve"> </w:t>
      </w:r>
      <w:r w:rsidR="005140D7" w:rsidRPr="00725664">
        <w:rPr>
          <w:lang w:val="en-US"/>
        </w:rPr>
        <w:t xml:space="preserve">the </w:t>
      </w:r>
      <w:proofErr w:type="spellStart"/>
      <w:r w:rsidR="005140D7" w:rsidRPr="00725664">
        <w:rPr>
          <w:lang w:val="en-US"/>
        </w:rPr>
        <w:t>oxidic</w:t>
      </w:r>
      <w:proofErr w:type="spellEnd"/>
      <w:r w:rsidR="005140D7" w:rsidRPr="00725664">
        <w:rPr>
          <w:lang w:val="en-US"/>
        </w:rPr>
        <w:t xml:space="preserve"> main components</w:t>
      </w:r>
      <w:r>
        <w:rPr>
          <w:lang w:val="en-US"/>
        </w:rPr>
        <w:t>,</w:t>
      </w:r>
      <w:r w:rsidR="005140D7" w:rsidRPr="00725664">
        <w:rPr>
          <w:lang w:val="en-US"/>
        </w:rPr>
        <w:t xml:space="preserve"> we took a closer look also to a few selected trace elements, namely </w:t>
      </w:r>
      <w:r w:rsidR="00482D95" w:rsidRPr="00725664">
        <w:rPr>
          <w:lang w:val="en-US"/>
        </w:rPr>
        <w:t>lead, zinc, copper and sulfur.</w:t>
      </w:r>
      <w:r w:rsidR="00AB3472" w:rsidRPr="00725664">
        <w:rPr>
          <w:lang w:val="en-US"/>
        </w:rPr>
        <w:t xml:space="preserve"> </w:t>
      </w:r>
      <w:r w:rsidR="005140D7" w:rsidRPr="00725664">
        <w:rPr>
          <w:lang w:val="en-US"/>
        </w:rPr>
        <w:t>According to their RSD and r²</w:t>
      </w:r>
      <w:r>
        <w:rPr>
          <w:lang w:val="en-US"/>
        </w:rPr>
        <w:t>,</w:t>
      </w:r>
      <w:r w:rsidR="005140D7" w:rsidRPr="00725664">
        <w:rPr>
          <w:lang w:val="en-US"/>
        </w:rPr>
        <w:t xml:space="preserve"> the</w:t>
      </w:r>
      <w:r w:rsidR="006D5ED7" w:rsidRPr="00725664">
        <w:rPr>
          <w:lang w:val="en-US"/>
        </w:rPr>
        <w:t xml:space="preserve"> device gives data for </w:t>
      </w:r>
      <w:r w:rsidR="00AB3472" w:rsidRPr="00725664">
        <w:rPr>
          <w:lang w:val="en-US"/>
        </w:rPr>
        <w:t>three</w:t>
      </w:r>
      <w:r w:rsidR="005140D7" w:rsidRPr="00725664">
        <w:rPr>
          <w:lang w:val="en-US"/>
        </w:rPr>
        <w:t xml:space="preserve"> elements within the definitive quality level.</w:t>
      </w:r>
      <w:r w:rsidR="0053016F" w:rsidRPr="00725664">
        <w:rPr>
          <w:lang w:val="en-US"/>
        </w:rPr>
        <w:t xml:space="preserve"> </w:t>
      </w:r>
      <w:r w:rsidR="00AB3472" w:rsidRPr="00725664">
        <w:rPr>
          <w:lang w:val="en-US"/>
        </w:rPr>
        <w:t xml:space="preserve">Only copper has in two cases (Loess 1 and NIST 2780) a RSD higher than 20% while it remains below 10% for the other standards. Its coefficient of correlation is </w:t>
      </w:r>
      <w:r>
        <w:rPr>
          <w:lang w:val="en-US"/>
        </w:rPr>
        <w:t xml:space="preserve">excellent, with </w:t>
      </w:r>
      <w:r w:rsidR="00AB3472" w:rsidRPr="00725664">
        <w:rPr>
          <w:lang w:val="en-US"/>
        </w:rPr>
        <w:t>0</w:t>
      </w:r>
      <w:r>
        <w:rPr>
          <w:lang w:val="en-US"/>
        </w:rPr>
        <w:t>.</w:t>
      </w:r>
      <w:r w:rsidR="00AB3472" w:rsidRPr="00725664">
        <w:rPr>
          <w:lang w:val="en-US"/>
        </w:rPr>
        <w:t xml:space="preserve">99. </w:t>
      </w:r>
      <w:r w:rsidR="005140D7" w:rsidRPr="00725664">
        <w:rPr>
          <w:lang w:val="en-US"/>
        </w:rPr>
        <w:t xml:space="preserve">Although this outcome is promising and consistent with published results of many teams evaluating different portable </w:t>
      </w:r>
      <w:r w:rsidR="005140D7" w:rsidRPr="00725664">
        <w:rPr>
          <w:lang w:val="en-US"/>
        </w:rPr>
        <w:lastRenderedPageBreak/>
        <w:t>and benchtop XRF devices</w:t>
      </w:r>
      <w:r w:rsidR="000F69C9" w:rsidRPr="00725664">
        <w:rPr>
          <w:lang w:val="en-US"/>
        </w:rPr>
        <w:t xml:space="preserve"> in archaeology and geology</w:t>
      </w:r>
      <w:r w:rsidR="005607A6" w:rsidRPr="00725664">
        <w:rPr>
          <w:lang w:val="en-US"/>
        </w:rPr>
        <w:t xml:space="preserve">, </w:t>
      </w:r>
      <w:r w:rsidR="00AB3472" w:rsidRPr="00725664">
        <w:rPr>
          <w:lang w:val="en-US"/>
        </w:rPr>
        <w:t xml:space="preserve">also concerning Mg and P </w:t>
      </w:r>
      <w:r w:rsidR="004F4202" w:rsidRPr="00725664">
        <w:rPr>
          <w:lang w:val="en-US"/>
        </w:rPr>
        <w:t>(</w:t>
      </w:r>
      <w:r w:rsidR="00262EE7" w:rsidRPr="00725664">
        <w:rPr>
          <w:lang w:val="en-US"/>
        </w:rPr>
        <w:t xml:space="preserve">Hunt – </w:t>
      </w:r>
      <w:proofErr w:type="spellStart"/>
      <w:r w:rsidR="00262EE7" w:rsidRPr="00725664">
        <w:rPr>
          <w:lang w:val="en-US"/>
        </w:rPr>
        <w:t>Speckman</w:t>
      </w:r>
      <w:proofErr w:type="spellEnd"/>
      <w:r w:rsidR="00262EE7" w:rsidRPr="00725664">
        <w:rPr>
          <w:lang w:val="en-US"/>
        </w:rPr>
        <w:t xml:space="preserve"> 2015; Hall et al. 2012, 2014; </w:t>
      </w:r>
      <w:proofErr w:type="spellStart"/>
      <w:r w:rsidR="00262EE7" w:rsidRPr="00725664">
        <w:rPr>
          <w:lang w:val="en-US"/>
        </w:rPr>
        <w:t>Gallhofer</w:t>
      </w:r>
      <w:proofErr w:type="spellEnd"/>
      <w:r w:rsidR="00262EE7" w:rsidRPr="00725664">
        <w:rPr>
          <w:lang w:val="en-US"/>
        </w:rPr>
        <w:t xml:space="preserve"> – </w:t>
      </w:r>
      <w:proofErr w:type="spellStart"/>
      <w:r w:rsidR="00262EE7" w:rsidRPr="00725664">
        <w:rPr>
          <w:lang w:val="en-US"/>
        </w:rPr>
        <w:t>Lottermoser</w:t>
      </w:r>
      <w:proofErr w:type="spellEnd"/>
      <w:r w:rsidR="00262EE7" w:rsidRPr="00725664">
        <w:rPr>
          <w:lang w:val="en-US"/>
        </w:rPr>
        <w:t xml:space="preserve"> 2018</w:t>
      </w:r>
      <w:r w:rsidR="004F4202" w:rsidRPr="00725664">
        <w:rPr>
          <w:lang w:val="en-US"/>
        </w:rPr>
        <w:t>)</w:t>
      </w:r>
      <w:r w:rsidR="005140D7" w:rsidRPr="00725664">
        <w:rPr>
          <w:lang w:val="en-US"/>
        </w:rPr>
        <w:t>, it is appropriate to have a look</w:t>
      </w:r>
      <w:r>
        <w:rPr>
          <w:lang w:val="en-US"/>
        </w:rPr>
        <w:t xml:space="preserve"> at</w:t>
      </w:r>
      <w:r w:rsidR="005140D7" w:rsidRPr="00725664">
        <w:rPr>
          <w:lang w:val="en-US"/>
        </w:rPr>
        <w:t xml:space="preserve"> the </w:t>
      </w:r>
      <w:r w:rsidR="004F4202" w:rsidRPr="00725664">
        <w:rPr>
          <w:lang w:val="en-US"/>
        </w:rPr>
        <w:t xml:space="preserve">magnitude of bias between the expected and measured values of the </w:t>
      </w:r>
      <w:proofErr w:type="spellStart"/>
      <w:r w:rsidR="004F4202" w:rsidRPr="00725664">
        <w:rPr>
          <w:lang w:val="en-US"/>
        </w:rPr>
        <w:t>Niton</w:t>
      </w:r>
      <w:proofErr w:type="spellEnd"/>
      <w:r w:rsidR="004F4202" w:rsidRPr="00725664">
        <w:rPr>
          <w:lang w:val="en-US"/>
        </w:rPr>
        <w:t xml:space="preserve"> XL3t</w:t>
      </w:r>
      <w:r w:rsidR="007B64A6" w:rsidRPr="00725664">
        <w:rPr>
          <w:lang w:val="en-US"/>
        </w:rPr>
        <w:t xml:space="preserve"> (</w:t>
      </w:r>
      <w:r w:rsidR="002D4F3A">
        <w:rPr>
          <w:lang w:val="en-US"/>
        </w:rPr>
        <w:t>S2 Table</w:t>
      </w:r>
      <w:r w:rsidR="007B64A6" w:rsidRPr="00725664">
        <w:rPr>
          <w:lang w:val="en-US"/>
        </w:rPr>
        <w:t>)</w:t>
      </w:r>
      <w:r w:rsidR="004F4202" w:rsidRPr="00725664">
        <w:rPr>
          <w:lang w:val="en-US"/>
        </w:rPr>
        <w:t xml:space="preserve">. </w:t>
      </w:r>
    </w:p>
    <w:p w:rsidR="00D7433C" w:rsidRPr="00725664" w:rsidRDefault="00AB3472" w:rsidP="00B87FA0">
      <w:pPr>
        <w:spacing w:line="360" w:lineRule="auto"/>
        <w:rPr>
          <w:lang w:val="en-US"/>
        </w:rPr>
      </w:pPr>
      <w:r w:rsidRPr="00725664">
        <w:rPr>
          <w:lang w:val="en-US"/>
        </w:rPr>
        <w:t>In sum</w:t>
      </w:r>
      <w:r w:rsidR="002B2B01">
        <w:rPr>
          <w:lang w:val="en-US"/>
        </w:rPr>
        <w:t>,</w:t>
      </w:r>
      <w:r w:rsidRPr="00725664">
        <w:rPr>
          <w:lang w:val="en-US"/>
        </w:rPr>
        <w:t xml:space="preserve"> the</w:t>
      </w:r>
      <w:r w:rsidR="0053016F" w:rsidRPr="00725664">
        <w:rPr>
          <w:lang w:val="en-US"/>
        </w:rPr>
        <w:t xml:space="preserve"> elements </w:t>
      </w:r>
      <w:proofErr w:type="spellStart"/>
      <w:r w:rsidRPr="00725664">
        <w:rPr>
          <w:lang w:val="en-US"/>
        </w:rPr>
        <w:t>Pb</w:t>
      </w:r>
      <w:proofErr w:type="spellEnd"/>
      <w:r w:rsidRPr="00725664">
        <w:rPr>
          <w:lang w:val="en-US"/>
        </w:rPr>
        <w:t xml:space="preserve">, Cu, Zn and S </w:t>
      </w:r>
      <w:r w:rsidR="0053016F" w:rsidRPr="00725664">
        <w:rPr>
          <w:lang w:val="en-US"/>
        </w:rPr>
        <w:t xml:space="preserve">and most </w:t>
      </w:r>
      <w:r w:rsidR="002B2B01" w:rsidRPr="00725664">
        <w:rPr>
          <w:lang w:val="en-US"/>
        </w:rPr>
        <w:t>oxides</w:t>
      </w:r>
      <w:r w:rsidR="0053016F" w:rsidRPr="00725664">
        <w:rPr>
          <w:lang w:val="en-US"/>
        </w:rPr>
        <w:t xml:space="preserve"> (with the exception of </w:t>
      </w:r>
      <w:proofErr w:type="spellStart"/>
      <w:r w:rsidR="0053016F" w:rsidRPr="00725664">
        <w:rPr>
          <w:lang w:val="en-US"/>
        </w:rPr>
        <w:t>MgO</w:t>
      </w:r>
      <w:proofErr w:type="spellEnd"/>
      <w:r w:rsidR="0053016F" w:rsidRPr="00725664">
        <w:rPr>
          <w:lang w:val="en-US"/>
        </w:rPr>
        <w:t xml:space="preserve"> and P</w:t>
      </w:r>
      <w:r w:rsidR="0053016F" w:rsidRPr="00725664">
        <w:rPr>
          <w:vertAlign w:val="subscript"/>
          <w:lang w:val="en-US"/>
        </w:rPr>
        <w:t>2</w:t>
      </w:r>
      <w:r w:rsidR="0053016F" w:rsidRPr="00725664">
        <w:rPr>
          <w:lang w:val="en-US"/>
        </w:rPr>
        <w:t>O</w:t>
      </w:r>
      <w:r w:rsidR="0053016F" w:rsidRPr="00725664">
        <w:rPr>
          <w:vertAlign w:val="subscript"/>
          <w:lang w:val="en-US"/>
        </w:rPr>
        <w:t>5</w:t>
      </w:r>
      <w:r w:rsidR="0053016F" w:rsidRPr="00725664">
        <w:rPr>
          <w:lang w:val="en-US"/>
        </w:rPr>
        <w:t>)</w:t>
      </w:r>
      <w:r w:rsidR="005607A6" w:rsidRPr="00725664">
        <w:rPr>
          <w:lang w:val="en-US"/>
        </w:rPr>
        <w:t xml:space="preserve"> give datasets </w:t>
      </w:r>
      <w:r w:rsidR="0053016F" w:rsidRPr="00725664">
        <w:rPr>
          <w:lang w:val="en-US"/>
        </w:rPr>
        <w:t xml:space="preserve">that are in linear </w:t>
      </w:r>
      <w:r w:rsidR="005607A6" w:rsidRPr="00725664">
        <w:rPr>
          <w:lang w:val="en-US"/>
        </w:rPr>
        <w:t>cor</w:t>
      </w:r>
      <w:r w:rsidR="0053016F" w:rsidRPr="00725664">
        <w:rPr>
          <w:lang w:val="en-US"/>
        </w:rPr>
        <w:t xml:space="preserve">relation to the standards </w:t>
      </w:r>
      <w:r w:rsidR="005607A6" w:rsidRPr="00725664">
        <w:rPr>
          <w:lang w:val="en-US"/>
        </w:rPr>
        <w:t>while having</w:t>
      </w:r>
      <w:r w:rsidR="0053016F" w:rsidRPr="00725664">
        <w:rPr>
          <w:lang w:val="en-US"/>
        </w:rPr>
        <w:t xml:space="preserve"> little variation </w:t>
      </w:r>
      <w:r w:rsidR="005607A6" w:rsidRPr="00725664">
        <w:rPr>
          <w:lang w:val="en-US"/>
        </w:rPr>
        <w:t>and</w:t>
      </w:r>
      <w:r w:rsidR="0053016F" w:rsidRPr="00725664">
        <w:rPr>
          <w:lang w:val="en-US"/>
        </w:rPr>
        <w:t xml:space="preserve"> low noise. Stronger discrepancy is noticeable when </w:t>
      </w:r>
      <w:r w:rsidR="005A6789" w:rsidRPr="00725664">
        <w:rPr>
          <w:lang w:val="en-US"/>
        </w:rPr>
        <w:t>monitoring</w:t>
      </w:r>
      <w:r w:rsidR="0053016F" w:rsidRPr="00725664">
        <w:rPr>
          <w:lang w:val="en-US"/>
        </w:rPr>
        <w:t xml:space="preserve"> bias and relative bias</w:t>
      </w:r>
      <w:r w:rsidR="005A6789" w:rsidRPr="00725664">
        <w:rPr>
          <w:lang w:val="en-US"/>
        </w:rPr>
        <w:t xml:space="preserve">, the latter should </w:t>
      </w:r>
      <w:r w:rsidR="002B2B01">
        <w:rPr>
          <w:lang w:val="en-US"/>
        </w:rPr>
        <w:t xml:space="preserve">ideally </w:t>
      </w:r>
      <w:r w:rsidR="005A6789" w:rsidRPr="00725664">
        <w:rPr>
          <w:lang w:val="en-US"/>
        </w:rPr>
        <w:t>be less than 10% (</w:t>
      </w:r>
      <w:proofErr w:type="spellStart"/>
      <w:r w:rsidR="005A6789" w:rsidRPr="00725664">
        <w:rPr>
          <w:lang w:val="en-US"/>
        </w:rPr>
        <w:t>Rostron</w:t>
      </w:r>
      <w:proofErr w:type="spellEnd"/>
      <w:r w:rsidR="005A6789" w:rsidRPr="00725664">
        <w:rPr>
          <w:lang w:val="en-US"/>
        </w:rPr>
        <w:t xml:space="preserve"> &amp; Ramsay 2017)</w:t>
      </w:r>
      <w:r w:rsidR="0053016F" w:rsidRPr="00725664">
        <w:rPr>
          <w:lang w:val="en-US"/>
        </w:rPr>
        <w:t xml:space="preserve">. </w:t>
      </w:r>
      <w:r w:rsidR="0048663F" w:rsidRPr="00725664">
        <w:rPr>
          <w:lang w:val="en-US"/>
        </w:rPr>
        <w:t xml:space="preserve">None </w:t>
      </w:r>
      <w:r w:rsidR="000A63B7" w:rsidRPr="00725664">
        <w:rPr>
          <w:lang w:val="en-US"/>
        </w:rPr>
        <w:t xml:space="preserve">of the oxides </w:t>
      </w:r>
      <w:r w:rsidR="0048663F" w:rsidRPr="00725664">
        <w:rPr>
          <w:lang w:val="en-US"/>
        </w:rPr>
        <w:t xml:space="preserve">can catch up completely with this requirement because </w:t>
      </w:r>
      <w:r w:rsidR="009C19D4" w:rsidRPr="00725664">
        <w:rPr>
          <w:lang w:val="en-US"/>
        </w:rPr>
        <w:t xml:space="preserve">for </w:t>
      </w:r>
      <w:r w:rsidR="005974CE" w:rsidRPr="00725664">
        <w:rPr>
          <w:lang w:val="en-US"/>
        </w:rPr>
        <w:t>several CRM</w:t>
      </w:r>
      <w:r w:rsidR="009C19D4" w:rsidRPr="00725664">
        <w:rPr>
          <w:lang w:val="en-US"/>
        </w:rPr>
        <w:t xml:space="preserve"> the relative bias exceeds 10% considerably while the value is satisfying for other standards.</w:t>
      </w:r>
      <w:r w:rsidR="005974CE" w:rsidRPr="00725664">
        <w:rPr>
          <w:lang w:val="en-US"/>
        </w:rPr>
        <w:t xml:space="preserve"> For SiO</w:t>
      </w:r>
      <w:r w:rsidR="005974CE" w:rsidRPr="00725664">
        <w:rPr>
          <w:vertAlign w:val="subscript"/>
          <w:lang w:val="en-US"/>
        </w:rPr>
        <w:t>2</w:t>
      </w:r>
      <w:r w:rsidR="004E5E50">
        <w:rPr>
          <w:lang w:val="en-US"/>
        </w:rPr>
        <w:t>,</w:t>
      </w:r>
      <w:r w:rsidR="005974CE" w:rsidRPr="00725664">
        <w:rPr>
          <w:lang w:val="en-US"/>
        </w:rPr>
        <w:t xml:space="preserve"> relative bias between c</w:t>
      </w:r>
      <w:r w:rsidR="004E5E50">
        <w:rPr>
          <w:lang w:val="en-US"/>
        </w:rPr>
        <w:t>a</w:t>
      </w:r>
      <w:r w:rsidR="005974CE" w:rsidRPr="00725664">
        <w:rPr>
          <w:lang w:val="en-US"/>
        </w:rPr>
        <w:t>. 1 and 16% is reported (0% for the blank check sample of pure SiO</w:t>
      </w:r>
      <w:r w:rsidR="005974CE" w:rsidRPr="00725664">
        <w:rPr>
          <w:vertAlign w:val="subscript"/>
          <w:lang w:val="en-US"/>
        </w:rPr>
        <w:t>2</w:t>
      </w:r>
      <w:r w:rsidR="005974CE" w:rsidRPr="00725664">
        <w:rPr>
          <w:lang w:val="en-US"/>
        </w:rPr>
        <w:t>). Between c</w:t>
      </w:r>
      <w:r w:rsidR="004E5E50">
        <w:rPr>
          <w:lang w:val="en-US"/>
        </w:rPr>
        <w:t>a</w:t>
      </w:r>
      <w:r w:rsidR="005974CE" w:rsidRPr="00725664">
        <w:rPr>
          <w:lang w:val="en-US"/>
        </w:rPr>
        <w:t>. 6 and 15% for TiO</w:t>
      </w:r>
      <w:r w:rsidR="005974CE" w:rsidRPr="00725664">
        <w:rPr>
          <w:vertAlign w:val="subscript"/>
          <w:lang w:val="en-US"/>
        </w:rPr>
        <w:t>2</w:t>
      </w:r>
      <w:r w:rsidR="005974CE" w:rsidRPr="00725664">
        <w:rPr>
          <w:lang w:val="en-US"/>
        </w:rPr>
        <w:t>, c</w:t>
      </w:r>
      <w:r w:rsidR="004E5E50">
        <w:rPr>
          <w:lang w:val="en-US"/>
        </w:rPr>
        <w:t>a</w:t>
      </w:r>
      <w:r w:rsidR="005974CE" w:rsidRPr="00725664">
        <w:rPr>
          <w:lang w:val="en-US"/>
        </w:rPr>
        <w:t>. 2 – 23% for Al</w:t>
      </w:r>
      <w:r w:rsidR="005974CE" w:rsidRPr="00725664">
        <w:rPr>
          <w:vertAlign w:val="subscript"/>
          <w:lang w:val="en-US"/>
        </w:rPr>
        <w:t>2</w:t>
      </w:r>
      <w:r w:rsidR="005974CE" w:rsidRPr="00725664">
        <w:rPr>
          <w:lang w:val="en-US"/>
        </w:rPr>
        <w:t>O</w:t>
      </w:r>
      <w:r w:rsidR="005974CE" w:rsidRPr="00725664">
        <w:rPr>
          <w:vertAlign w:val="subscript"/>
          <w:lang w:val="en-US"/>
        </w:rPr>
        <w:t>3</w:t>
      </w:r>
      <w:r w:rsidR="005974CE" w:rsidRPr="00725664">
        <w:rPr>
          <w:lang w:val="en-US"/>
        </w:rPr>
        <w:t>, between c</w:t>
      </w:r>
      <w:r w:rsidR="004E5E50">
        <w:rPr>
          <w:lang w:val="en-US"/>
        </w:rPr>
        <w:t>a</w:t>
      </w:r>
      <w:r w:rsidR="005974CE" w:rsidRPr="00725664">
        <w:rPr>
          <w:lang w:val="en-US"/>
        </w:rPr>
        <w:t>. 5 and 32% for Fe</w:t>
      </w:r>
      <w:r w:rsidR="005974CE" w:rsidRPr="00725664">
        <w:rPr>
          <w:vertAlign w:val="subscript"/>
          <w:lang w:val="en-US"/>
        </w:rPr>
        <w:t>2</w:t>
      </w:r>
      <w:r w:rsidR="005974CE" w:rsidRPr="00725664">
        <w:rPr>
          <w:lang w:val="en-US"/>
        </w:rPr>
        <w:t>O</w:t>
      </w:r>
      <w:r w:rsidR="005974CE" w:rsidRPr="00725664">
        <w:rPr>
          <w:vertAlign w:val="subscript"/>
          <w:lang w:val="en-US"/>
        </w:rPr>
        <w:t>3(T)</w:t>
      </w:r>
      <w:r w:rsidR="005974CE" w:rsidRPr="00725664">
        <w:rPr>
          <w:lang w:val="en-US"/>
        </w:rPr>
        <w:t>, c</w:t>
      </w:r>
      <w:r w:rsidR="004E5E50">
        <w:rPr>
          <w:lang w:val="en-US"/>
        </w:rPr>
        <w:t>a.</w:t>
      </w:r>
      <w:r w:rsidR="005974CE" w:rsidRPr="00725664">
        <w:rPr>
          <w:lang w:val="en-US"/>
        </w:rPr>
        <w:t xml:space="preserve"> 8 – 25% for </w:t>
      </w:r>
      <w:proofErr w:type="spellStart"/>
      <w:r w:rsidR="005974CE" w:rsidRPr="00725664">
        <w:rPr>
          <w:lang w:val="en-US"/>
        </w:rPr>
        <w:t>MnO</w:t>
      </w:r>
      <w:proofErr w:type="spellEnd"/>
      <w:r w:rsidR="005974CE" w:rsidRPr="00725664">
        <w:rPr>
          <w:lang w:val="en-US"/>
        </w:rPr>
        <w:t>, c</w:t>
      </w:r>
      <w:r w:rsidR="004E5E50">
        <w:rPr>
          <w:lang w:val="en-US"/>
        </w:rPr>
        <w:t>a</w:t>
      </w:r>
      <w:r w:rsidR="005974CE" w:rsidRPr="00725664">
        <w:rPr>
          <w:lang w:val="en-US"/>
        </w:rPr>
        <w:t xml:space="preserve">. 4 to up to 54% for </w:t>
      </w:r>
      <w:proofErr w:type="spellStart"/>
      <w:r w:rsidR="005974CE" w:rsidRPr="00725664">
        <w:rPr>
          <w:lang w:val="en-US"/>
        </w:rPr>
        <w:t>CaO</w:t>
      </w:r>
      <w:proofErr w:type="spellEnd"/>
      <w:r w:rsidR="005974CE" w:rsidRPr="00725664">
        <w:rPr>
          <w:lang w:val="en-US"/>
        </w:rPr>
        <w:t xml:space="preserve"> and c</w:t>
      </w:r>
      <w:r w:rsidR="004E5E50">
        <w:rPr>
          <w:lang w:val="en-US"/>
        </w:rPr>
        <w:t>a</w:t>
      </w:r>
      <w:r w:rsidR="005974CE" w:rsidRPr="00725664">
        <w:rPr>
          <w:lang w:val="en-US"/>
        </w:rPr>
        <w:t>. 6 – 44% for K</w:t>
      </w:r>
      <w:r w:rsidR="005974CE" w:rsidRPr="00725664">
        <w:rPr>
          <w:vertAlign w:val="subscript"/>
          <w:lang w:val="en-US"/>
        </w:rPr>
        <w:t>2</w:t>
      </w:r>
      <w:r w:rsidR="005974CE" w:rsidRPr="00725664">
        <w:rPr>
          <w:lang w:val="en-US"/>
        </w:rPr>
        <w:t>O.</w:t>
      </w:r>
      <w:r w:rsidRPr="00725664">
        <w:rPr>
          <w:lang w:val="en-US"/>
        </w:rPr>
        <w:t xml:space="preserve"> For Cu, Zn and S also high relative bias is attested while only </w:t>
      </w:r>
      <w:proofErr w:type="spellStart"/>
      <w:r w:rsidRPr="00725664">
        <w:rPr>
          <w:lang w:val="en-US"/>
        </w:rPr>
        <w:t>Pb</w:t>
      </w:r>
      <w:proofErr w:type="spellEnd"/>
      <w:r w:rsidRPr="00725664">
        <w:rPr>
          <w:lang w:val="en-US"/>
        </w:rPr>
        <w:t xml:space="preserve"> remains below c</w:t>
      </w:r>
      <w:r w:rsidR="004E5E50">
        <w:rPr>
          <w:lang w:val="en-US"/>
        </w:rPr>
        <w:t>a</w:t>
      </w:r>
      <w:r w:rsidRPr="00725664">
        <w:rPr>
          <w:lang w:val="en-US"/>
        </w:rPr>
        <w:t>.10% for all except one CRM (NIST 2780</w:t>
      </w:r>
      <w:r w:rsidR="0075602A" w:rsidRPr="00725664">
        <w:rPr>
          <w:lang w:val="en-US"/>
        </w:rPr>
        <w:t>, which has also</w:t>
      </w:r>
      <w:r w:rsidRPr="00725664">
        <w:rPr>
          <w:lang w:val="en-US"/>
        </w:rPr>
        <w:t xml:space="preserve"> the highest rel. bias</w:t>
      </w:r>
      <w:r w:rsidR="0075602A" w:rsidRPr="00725664">
        <w:rPr>
          <w:lang w:val="en-US"/>
        </w:rPr>
        <w:t xml:space="preserve"> for Cu, Zn and S</w:t>
      </w:r>
      <w:r w:rsidRPr="00725664">
        <w:rPr>
          <w:lang w:val="en-US"/>
        </w:rPr>
        <w:t>).</w:t>
      </w:r>
    </w:p>
    <w:p w:rsidR="005028D0" w:rsidRPr="00725664" w:rsidRDefault="005974CE" w:rsidP="00B87FA0">
      <w:pPr>
        <w:spacing w:line="360" w:lineRule="auto"/>
        <w:rPr>
          <w:lang w:val="en-US"/>
        </w:rPr>
      </w:pPr>
      <w:r w:rsidRPr="00725664">
        <w:rPr>
          <w:lang w:val="en-US"/>
        </w:rPr>
        <w:t>These are high</w:t>
      </w:r>
      <w:r w:rsidR="006D68E3" w:rsidRPr="00725664">
        <w:rPr>
          <w:lang w:val="en-US"/>
        </w:rPr>
        <w:t xml:space="preserve"> bias</w:t>
      </w:r>
      <w:r w:rsidRPr="00725664">
        <w:rPr>
          <w:lang w:val="en-US"/>
        </w:rPr>
        <w:t xml:space="preserve"> values</w:t>
      </w:r>
      <w:r w:rsidR="004E5E50">
        <w:rPr>
          <w:lang w:val="en-US"/>
        </w:rPr>
        <w:t>,</w:t>
      </w:r>
      <w:r w:rsidRPr="00725664">
        <w:rPr>
          <w:lang w:val="en-US"/>
        </w:rPr>
        <w:t xml:space="preserve"> but</w:t>
      </w:r>
      <w:r w:rsidR="005028D0" w:rsidRPr="00725664">
        <w:rPr>
          <w:lang w:val="en-US"/>
        </w:rPr>
        <w:t xml:space="preserve"> the bias is </w:t>
      </w:r>
      <w:r w:rsidR="004E5E50">
        <w:rPr>
          <w:lang w:val="en-US"/>
        </w:rPr>
        <w:t xml:space="preserve">precisely </w:t>
      </w:r>
      <w:r w:rsidR="005028D0" w:rsidRPr="00725664">
        <w:rPr>
          <w:lang w:val="en-US"/>
        </w:rPr>
        <w:t xml:space="preserve">what will be adjusted </w:t>
      </w:r>
      <w:r w:rsidRPr="00725664">
        <w:rPr>
          <w:lang w:val="en-US"/>
        </w:rPr>
        <w:t xml:space="preserve">much </w:t>
      </w:r>
      <w:r w:rsidR="005028D0" w:rsidRPr="00725664">
        <w:rPr>
          <w:lang w:val="en-US"/>
        </w:rPr>
        <w:t>more towards the correct value by calibration</w:t>
      </w:r>
      <w:r w:rsidR="004E5E50">
        <w:rPr>
          <w:lang w:val="en-US"/>
        </w:rPr>
        <w:t>. A</w:t>
      </w:r>
      <w:r w:rsidR="005028D0" w:rsidRPr="00725664">
        <w:rPr>
          <w:lang w:val="en-US"/>
        </w:rPr>
        <w:t>t the moment</w:t>
      </w:r>
      <w:r w:rsidR="004E5E50">
        <w:rPr>
          <w:lang w:val="en-US"/>
        </w:rPr>
        <w:t xml:space="preserve"> </w:t>
      </w:r>
      <w:r w:rsidR="005028D0" w:rsidRPr="00725664">
        <w:rPr>
          <w:lang w:val="en-US"/>
        </w:rPr>
        <w:t xml:space="preserve">we </w:t>
      </w:r>
      <w:r w:rsidR="004E5E50">
        <w:rPr>
          <w:lang w:val="en-US"/>
        </w:rPr>
        <w:t xml:space="preserve">will </w:t>
      </w:r>
      <w:r w:rsidR="005028D0" w:rsidRPr="00725664">
        <w:rPr>
          <w:lang w:val="en-US"/>
        </w:rPr>
        <w:t>keep the data as they are to discuss several other issues not often referred to in literature.</w:t>
      </w:r>
    </w:p>
    <w:p w:rsidR="006E5D59" w:rsidRPr="00725664" w:rsidRDefault="009C19D4" w:rsidP="00B87FA0">
      <w:pPr>
        <w:spacing w:line="360" w:lineRule="auto"/>
        <w:rPr>
          <w:lang w:val="en-US"/>
        </w:rPr>
      </w:pPr>
      <w:r w:rsidRPr="00725664">
        <w:rPr>
          <w:lang w:val="en-US"/>
        </w:rPr>
        <w:t>Especially the</w:t>
      </w:r>
      <w:r w:rsidR="005028D0" w:rsidRPr="00725664">
        <w:rPr>
          <w:lang w:val="en-US"/>
        </w:rPr>
        <w:t xml:space="preserve"> CRM</w:t>
      </w:r>
      <w:r w:rsidRPr="00725664">
        <w:rPr>
          <w:lang w:val="en-US"/>
        </w:rPr>
        <w:t xml:space="preserve"> Loess-1</w:t>
      </w:r>
      <w:r w:rsidR="004E5E50">
        <w:rPr>
          <w:lang w:val="en-US"/>
        </w:rPr>
        <w:t>,</w:t>
      </w:r>
      <w:r w:rsidRPr="00725664">
        <w:rPr>
          <w:lang w:val="en-US"/>
        </w:rPr>
        <w:t xml:space="preserve"> but also </w:t>
      </w:r>
      <w:r w:rsidR="00B3584E" w:rsidRPr="00725664">
        <w:rPr>
          <w:lang w:val="en-US"/>
        </w:rPr>
        <w:t>Till-4 and others to some extent</w:t>
      </w:r>
      <w:r w:rsidR="009909B7" w:rsidRPr="00725664">
        <w:rPr>
          <w:lang w:val="en-US"/>
        </w:rPr>
        <w:t>, show high rela</w:t>
      </w:r>
      <w:r w:rsidR="00B3584E" w:rsidRPr="00725664">
        <w:rPr>
          <w:lang w:val="en-US"/>
        </w:rPr>
        <w:t>tive bias which can relate</w:t>
      </w:r>
      <w:r w:rsidR="004E5E50">
        <w:rPr>
          <w:lang w:val="en-US"/>
        </w:rPr>
        <w:t xml:space="preserve"> partially</w:t>
      </w:r>
      <w:r w:rsidR="00B3584E" w:rsidRPr="00725664">
        <w:rPr>
          <w:lang w:val="en-US"/>
        </w:rPr>
        <w:t xml:space="preserve"> to a high content </w:t>
      </w:r>
      <w:r w:rsidR="00F20212" w:rsidRPr="00725664">
        <w:rPr>
          <w:lang w:val="en-US"/>
        </w:rPr>
        <w:t xml:space="preserve">of elements </w:t>
      </w:r>
      <w:r w:rsidR="00B3584E" w:rsidRPr="00725664">
        <w:rPr>
          <w:lang w:val="en-US"/>
        </w:rPr>
        <w:t xml:space="preserve">not measurable </w:t>
      </w:r>
      <w:r w:rsidR="004E5E50">
        <w:rPr>
          <w:lang w:val="en-US"/>
        </w:rPr>
        <w:t xml:space="preserve">with the </w:t>
      </w:r>
      <w:r w:rsidR="00B3584E" w:rsidRPr="00725664">
        <w:rPr>
          <w:lang w:val="en-US"/>
        </w:rPr>
        <w:t>p</w:t>
      </w:r>
      <w:r w:rsidR="004E5E50">
        <w:rPr>
          <w:lang w:val="en-US"/>
        </w:rPr>
        <w:t>-</w:t>
      </w:r>
      <w:r w:rsidR="00B3584E" w:rsidRPr="00725664">
        <w:rPr>
          <w:lang w:val="en-US"/>
        </w:rPr>
        <w:t xml:space="preserve">XRF, </w:t>
      </w:r>
      <w:r w:rsidR="00F20212" w:rsidRPr="00725664">
        <w:rPr>
          <w:lang w:val="en-US"/>
        </w:rPr>
        <w:t>i.e. Na</w:t>
      </w:r>
      <w:r w:rsidR="00F20212" w:rsidRPr="00725664">
        <w:rPr>
          <w:vertAlign w:val="subscript"/>
          <w:lang w:val="en-US"/>
        </w:rPr>
        <w:t>2</w:t>
      </w:r>
      <w:r w:rsidR="00F20212" w:rsidRPr="00725664">
        <w:rPr>
          <w:lang w:val="en-US"/>
        </w:rPr>
        <w:t xml:space="preserve">O and </w:t>
      </w:r>
      <w:r w:rsidR="00DD5DB8" w:rsidRPr="00725664">
        <w:rPr>
          <w:lang w:val="en-US"/>
        </w:rPr>
        <w:t xml:space="preserve">a sum of </w:t>
      </w:r>
      <w:r w:rsidR="00F20212" w:rsidRPr="00725664">
        <w:rPr>
          <w:lang w:val="en-US"/>
        </w:rPr>
        <w:t>light volatile components</w:t>
      </w:r>
      <w:r w:rsidR="005634B9" w:rsidRPr="00725664">
        <w:rPr>
          <w:lang w:val="en-US"/>
        </w:rPr>
        <w:t xml:space="preserve"> combined under the term </w:t>
      </w:r>
      <w:r w:rsidR="00B3584E" w:rsidRPr="00725664">
        <w:rPr>
          <w:lang w:val="en-US"/>
        </w:rPr>
        <w:t>loss on ignition (LOI</w:t>
      </w:r>
      <w:r w:rsidR="002B6164" w:rsidRPr="00725664">
        <w:rPr>
          <w:lang w:val="en-US"/>
        </w:rPr>
        <w:t xml:space="preserve">, </w:t>
      </w:r>
      <w:r w:rsidR="002D4F3A">
        <w:rPr>
          <w:lang w:val="en-US"/>
        </w:rPr>
        <w:t>cf. S1 Table</w:t>
      </w:r>
      <w:r w:rsidR="00B3584E" w:rsidRPr="00725664">
        <w:rPr>
          <w:lang w:val="en-US"/>
        </w:rPr>
        <w:t>)</w:t>
      </w:r>
      <w:r w:rsidR="00F20212" w:rsidRPr="00725664">
        <w:rPr>
          <w:lang w:val="en-US"/>
        </w:rPr>
        <w:t>.</w:t>
      </w:r>
      <w:r w:rsidR="004E5E50">
        <w:rPr>
          <w:lang w:val="en-US"/>
        </w:rPr>
        <w:t xml:space="preserve"> Alongside</w:t>
      </w:r>
      <w:r w:rsidR="00F20212" w:rsidRPr="00725664">
        <w:rPr>
          <w:lang w:val="en-US"/>
        </w:rPr>
        <w:t xml:space="preserve"> H</w:t>
      </w:r>
      <w:r w:rsidR="00F20212" w:rsidRPr="00725664">
        <w:rPr>
          <w:vertAlign w:val="subscript"/>
          <w:lang w:val="en-US"/>
        </w:rPr>
        <w:t>2</w:t>
      </w:r>
      <w:r w:rsidR="00F20212" w:rsidRPr="00725664">
        <w:rPr>
          <w:lang w:val="en-US"/>
        </w:rPr>
        <w:t>O and OH</w:t>
      </w:r>
      <w:r w:rsidR="004E5E50">
        <w:rPr>
          <w:lang w:val="en-US"/>
        </w:rPr>
        <w:t>,</w:t>
      </w:r>
      <w:r w:rsidRPr="00725664">
        <w:rPr>
          <w:lang w:val="en-US"/>
        </w:rPr>
        <w:t xml:space="preserve"> </w:t>
      </w:r>
      <w:r w:rsidR="00F20212" w:rsidRPr="00725664">
        <w:rPr>
          <w:lang w:val="en-US"/>
        </w:rPr>
        <w:t>larger amounts of CO</w:t>
      </w:r>
      <w:r w:rsidR="00F20212" w:rsidRPr="00725664">
        <w:rPr>
          <w:vertAlign w:val="subscript"/>
          <w:lang w:val="en-US"/>
        </w:rPr>
        <w:t>2</w:t>
      </w:r>
      <w:r w:rsidR="00F20212" w:rsidRPr="00725664">
        <w:rPr>
          <w:lang w:val="en-US"/>
        </w:rPr>
        <w:t xml:space="preserve"> bound in calcium</w:t>
      </w:r>
      <w:r w:rsidR="00DD5DB8" w:rsidRPr="00725664">
        <w:rPr>
          <w:lang w:val="en-US"/>
        </w:rPr>
        <w:t xml:space="preserve"> </w:t>
      </w:r>
      <w:r w:rsidR="00F20212" w:rsidRPr="00725664">
        <w:rPr>
          <w:lang w:val="en-US"/>
        </w:rPr>
        <w:t xml:space="preserve">carbonate (calcite, a main component in </w:t>
      </w:r>
      <w:r w:rsidR="005634B9" w:rsidRPr="00725664">
        <w:rPr>
          <w:lang w:val="en-US"/>
        </w:rPr>
        <w:t xml:space="preserve">marls and </w:t>
      </w:r>
      <w:r w:rsidR="00F20212" w:rsidRPr="00725664">
        <w:rPr>
          <w:lang w:val="en-US"/>
        </w:rPr>
        <w:t>limestones)</w:t>
      </w:r>
      <w:r w:rsidR="00DD5DB8" w:rsidRPr="00725664">
        <w:rPr>
          <w:lang w:val="en-US"/>
        </w:rPr>
        <w:t xml:space="preserve"> ha</w:t>
      </w:r>
      <w:r w:rsidR="004E5E50">
        <w:rPr>
          <w:lang w:val="en-US"/>
        </w:rPr>
        <w:t>ve</w:t>
      </w:r>
      <w:r w:rsidR="00F20212" w:rsidRPr="00725664">
        <w:rPr>
          <w:lang w:val="en-US"/>
        </w:rPr>
        <w:t xml:space="preserve"> strong effects</w:t>
      </w:r>
      <w:r w:rsidR="005634B9" w:rsidRPr="00725664">
        <w:rPr>
          <w:lang w:val="en-US"/>
        </w:rPr>
        <w:t xml:space="preserve"> on the final result of</w:t>
      </w:r>
      <w:r w:rsidR="00F20212" w:rsidRPr="00725664">
        <w:rPr>
          <w:lang w:val="en-US"/>
        </w:rPr>
        <w:t xml:space="preserve"> the calculation and </w:t>
      </w:r>
      <w:proofErr w:type="spellStart"/>
      <w:r w:rsidR="00F20212" w:rsidRPr="00725664">
        <w:rPr>
          <w:lang w:val="en-US"/>
        </w:rPr>
        <w:t>normali</w:t>
      </w:r>
      <w:r w:rsidR="004E5E50">
        <w:rPr>
          <w:lang w:val="en-US"/>
        </w:rPr>
        <w:t>s</w:t>
      </w:r>
      <w:r w:rsidR="00F20212" w:rsidRPr="00725664">
        <w:rPr>
          <w:lang w:val="en-US"/>
        </w:rPr>
        <w:t>ation</w:t>
      </w:r>
      <w:proofErr w:type="spellEnd"/>
      <w:r w:rsidR="00F20212" w:rsidRPr="00725664">
        <w:rPr>
          <w:lang w:val="en-US"/>
        </w:rPr>
        <w:t xml:space="preserve"> of the main </w:t>
      </w:r>
      <w:proofErr w:type="spellStart"/>
      <w:r w:rsidR="00F20212" w:rsidRPr="00725664">
        <w:rPr>
          <w:lang w:val="en-US"/>
        </w:rPr>
        <w:t>oxidic</w:t>
      </w:r>
      <w:proofErr w:type="spellEnd"/>
      <w:r w:rsidR="00F20212" w:rsidRPr="00725664">
        <w:rPr>
          <w:lang w:val="en-US"/>
        </w:rPr>
        <w:t xml:space="preserve"> component</w:t>
      </w:r>
      <w:r w:rsidR="005634B9" w:rsidRPr="00725664">
        <w:rPr>
          <w:lang w:val="en-US"/>
        </w:rPr>
        <w:t>s</w:t>
      </w:r>
      <w:r w:rsidR="00F20212" w:rsidRPr="00725664">
        <w:rPr>
          <w:lang w:val="en-US"/>
        </w:rPr>
        <w:t xml:space="preserve"> to a sum of 100 </w:t>
      </w:r>
      <w:proofErr w:type="spellStart"/>
      <w:r w:rsidR="00F20212" w:rsidRPr="00725664">
        <w:rPr>
          <w:lang w:val="en-US"/>
        </w:rPr>
        <w:t>wt</w:t>
      </w:r>
      <w:proofErr w:type="spellEnd"/>
      <w:r w:rsidR="00F20212" w:rsidRPr="00725664">
        <w:rPr>
          <w:lang w:val="en-US"/>
        </w:rPr>
        <w:t>%</w:t>
      </w:r>
      <w:r w:rsidR="004E5E50">
        <w:rPr>
          <w:lang w:val="en-US"/>
        </w:rPr>
        <w:t>; in</w:t>
      </w:r>
      <w:r w:rsidR="00F20212" w:rsidRPr="00725664">
        <w:rPr>
          <w:lang w:val="en-US"/>
        </w:rPr>
        <w:t xml:space="preserve"> CaCO</w:t>
      </w:r>
      <w:r w:rsidR="00F20212" w:rsidRPr="00725664">
        <w:rPr>
          <w:vertAlign w:val="subscript"/>
          <w:lang w:val="en-US"/>
        </w:rPr>
        <w:t>3</w:t>
      </w:r>
      <w:r w:rsidR="004E5E50">
        <w:rPr>
          <w:lang w:val="en-US"/>
        </w:rPr>
        <w:t>,</w:t>
      </w:r>
      <w:r w:rsidR="00F20212" w:rsidRPr="00725664">
        <w:rPr>
          <w:lang w:val="en-US"/>
        </w:rPr>
        <w:t xml:space="preserve"> considerably less Ca is bound than in </w:t>
      </w:r>
      <w:proofErr w:type="spellStart"/>
      <w:r w:rsidR="00F20212" w:rsidRPr="00725664">
        <w:rPr>
          <w:lang w:val="en-US"/>
        </w:rPr>
        <w:t>CaO</w:t>
      </w:r>
      <w:proofErr w:type="spellEnd"/>
      <w:r w:rsidR="009F70C9" w:rsidRPr="00725664">
        <w:rPr>
          <w:lang w:val="en-US"/>
        </w:rPr>
        <w:t xml:space="preserve"> (factor c. 0.56)</w:t>
      </w:r>
      <w:r w:rsidR="00F20212" w:rsidRPr="00725664">
        <w:rPr>
          <w:lang w:val="en-US"/>
        </w:rPr>
        <w:t>. By calculating the complete Ca of the Loess-1 measurements as carbonate (by relying also on the so</w:t>
      </w:r>
      <w:r w:rsidR="004E5E50">
        <w:rPr>
          <w:lang w:val="en-US"/>
        </w:rPr>
        <w:t>-</w:t>
      </w:r>
      <w:r w:rsidR="00F20212" w:rsidRPr="00725664">
        <w:rPr>
          <w:lang w:val="en-US"/>
        </w:rPr>
        <w:t xml:space="preserve">called ‘balance’, a value that is calculated by the devices’ software that </w:t>
      </w:r>
      <w:r w:rsidR="00732405" w:rsidRPr="00725664">
        <w:rPr>
          <w:lang w:val="en-US"/>
        </w:rPr>
        <w:t>should express the amount of non</w:t>
      </w:r>
      <w:r w:rsidR="006E5D59" w:rsidRPr="00725664">
        <w:rPr>
          <w:lang w:val="en-US"/>
        </w:rPr>
        <w:t>-</w:t>
      </w:r>
      <w:r w:rsidR="00F20212" w:rsidRPr="00725664">
        <w:rPr>
          <w:lang w:val="en-US"/>
        </w:rPr>
        <w:t>measurable components)</w:t>
      </w:r>
      <w:r w:rsidR="00A05CDA" w:rsidRPr="00725664">
        <w:rPr>
          <w:lang w:val="en-US"/>
        </w:rPr>
        <w:t>, one can come up with an amount of CO</w:t>
      </w:r>
      <w:r w:rsidR="00A05CDA" w:rsidRPr="00725664">
        <w:rPr>
          <w:vertAlign w:val="subscript"/>
          <w:lang w:val="en-US"/>
        </w:rPr>
        <w:t>2</w:t>
      </w:r>
      <w:r w:rsidR="009F70C9" w:rsidRPr="00725664">
        <w:rPr>
          <w:lang w:val="en-US"/>
        </w:rPr>
        <w:t xml:space="preserve"> around 14.</w:t>
      </w:r>
      <w:r w:rsidR="00A05CDA" w:rsidRPr="00725664">
        <w:rPr>
          <w:lang w:val="en-US"/>
        </w:rPr>
        <w:t xml:space="preserve">4 </w:t>
      </w:r>
      <w:proofErr w:type="spellStart"/>
      <w:r w:rsidR="00A05CDA" w:rsidRPr="00725664">
        <w:rPr>
          <w:lang w:val="en-US"/>
        </w:rPr>
        <w:t>wt</w:t>
      </w:r>
      <w:proofErr w:type="spellEnd"/>
      <w:r w:rsidR="00A05CDA" w:rsidRPr="00725664">
        <w:rPr>
          <w:lang w:val="en-US"/>
        </w:rPr>
        <w:t xml:space="preserve">%, given </w:t>
      </w:r>
      <w:r w:rsidR="005634B9" w:rsidRPr="00725664">
        <w:rPr>
          <w:lang w:val="en-US"/>
        </w:rPr>
        <w:t xml:space="preserve">by </w:t>
      </w:r>
      <w:r w:rsidR="004E5E50">
        <w:rPr>
          <w:lang w:val="en-US"/>
        </w:rPr>
        <w:t xml:space="preserve">the </w:t>
      </w:r>
      <w:r w:rsidR="005634B9" w:rsidRPr="00725664">
        <w:rPr>
          <w:lang w:val="en-US"/>
        </w:rPr>
        <w:t xml:space="preserve">standard </w:t>
      </w:r>
      <w:r w:rsidR="009F70C9" w:rsidRPr="00725664">
        <w:rPr>
          <w:lang w:val="en-US"/>
        </w:rPr>
        <w:t>14.</w:t>
      </w:r>
      <w:r w:rsidR="00A05CDA" w:rsidRPr="00725664">
        <w:rPr>
          <w:lang w:val="en-US"/>
        </w:rPr>
        <w:t xml:space="preserve">9 </w:t>
      </w:r>
      <w:proofErr w:type="spellStart"/>
      <w:r w:rsidR="00A05CDA" w:rsidRPr="00725664">
        <w:rPr>
          <w:lang w:val="en-US"/>
        </w:rPr>
        <w:t>wt</w:t>
      </w:r>
      <w:proofErr w:type="spellEnd"/>
      <w:r w:rsidR="00A05CDA" w:rsidRPr="00725664">
        <w:rPr>
          <w:lang w:val="en-US"/>
        </w:rPr>
        <w:t xml:space="preserve">%. </w:t>
      </w:r>
      <w:r w:rsidR="00132453" w:rsidRPr="00725664">
        <w:rPr>
          <w:lang w:val="en-US"/>
        </w:rPr>
        <w:t xml:space="preserve">Recalculating </w:t>
      </w:r>
      <w:proofErr w:type="spellStart"/>
      <w:r w:rsidR="00132453" w:rsidRPr="00725664">
        <w:rPr>
          <w:lang w:val="en-US"/>
        </w:rPr>
        <w:t>CaO</w:t>
      </w:r>
      <w:proofErr w:type="spellEnd"/>
      <w:r w:rsidR="00132453" w:rsidRPr="00725664">
        <w:rPr>
          <w:lang w:val="en-US"/>
        </w:rPr>
        <w:t xml:space="preserve"> then leads to 18.3 </w:t>
      </w:r>
      <w:proofErr w:type="spellStart"/>
      <w:r w:rsidR="00132453" w:rsidRPr="00725664">
        <w:rPr>
          <w:lang w:val="en-US"/>
        </w:rPr>
        <w:t>wt</w:t>
      </w:r>
      <w:proofErr w:type="spellEnd"/>
      <w:r w:rsidR="00132453" w:rsidRPr="00725664">
        <w:rPr>
          <w:lang w:val="en-US"/>
        </w:rPr>
        <w:t xml:space="preserve">%, which is not ideal but quite </w:t>
      </w:r>
      <w:r w:rsidR="004E5E50">
        <w:rPr>
          <w:lang w:val="en-US"/>
        </w:rPr>
        <w:t>a bit c</w:t>
      </w:r>
      <w:r w:rsidR="00132453" w:rsidRPr="00725664">
        <w:rPr>
          <w:lang w:val="en-US"/>
        </w:rPr>
        <w:t>loser to the expected 16</w:t>
      </w:r>
      <w:r w:rsidR="004E5E50">
        <w:rPr>
          <w:lang w:val="en-US"/>
        </w:rPr>
        <w:t>.</w:t>
      </w:r>
      <w:r w:rsidR="00132453" w:rsidRPr="00725664">
        <w:rPr>
          <w:lang w:val="en-US"/>
        </w:rPr>
        <w:t xml:space="preserve">3 </w:t>
      </w:r>
      <w:proofErr w:type="spellStart"/>
      <w:r w:rsidR="00132453" w:rsidRPr="00725664">
        <w:rPr>
          <w:lang w:val="en-US"/>
        </w:rPr>
        <w:t>wt</w:t>
      </w:r>
      <w:proofErr w:type="spellEnd"/>
      <w:r w:rsidR="00132453" w:rsidRPr="00725664">
        <w:rPr>
          <w:lang w:val="en-US"/>
        </w:rPr>
        <w:t>% and considerably better than the former 25</w:t>
      </w:r>
      <w:r w:rsidR="004E5E50">
        <w:rPr>
          <w:lang w:val="en-US"/>
        </w:rPr>
        <w:t>.</w:t>
      </w:r>
      <w:r w:rsidR="00132453" w:rsidRPr="00725664">
        <w:rPr>
          <w:lang w:val="en-US"/>
        </w:rPr>
        <w:t xml:space="preserve">2 </w:t>
      </w:r>
      <w:proofErr w:type="spellStart"/>
      <w:r w:rsidR="00132453" w:rsidRPr="00725664">
        <w:rPr>
          <w:lang w:val="en-US"/>
        </w:rPr>
        <w:t>wt</w:t>
      </w:r>
      <w:proofErr w:type="spellEnd"/>
      <w:r w:rsidR="00132453" w:rsidRPr="00725664">
        <w:rPr>
          <w:lang w:val="en-US"/>
        </w:rPr>
        <w:t xml:space="preserve">% obtained by previous </w:t>
      </w:r>
      <w:proofErr w:type="spellStart"/>
      <w:r w:rsidR="00132453" w:rsidRPr="00725664">
        <w:rPr>
          <w:lang w:val="en-US"/>
        </w:rPr>
        <w:t>normali</w:t>
      </w:r>
      <w:r w:rsidR="004E5E50">
        <w:rPr>
          <w:lang w:val="en-US"/>
        </w:rPr>
        <w:t>s</w:t>
      </w:r>
      <w:r w:rsidR="00132453" w:rsidRPr="00725664">
        <w:rPr>
          <w:lang w:val="en-US"/>
        </w:rPr>
        <w:t>ation</w:t>
      </w:r>
      <w:proofErr w:type="spellEnd"/>
      <w:r w:rsidR="00132453" w:rsidRPr="00725664">
        <w:rPr>
          <w:lang w:val="en-US"/>
        </w:rPr>
        <w:t xml:space="preserve">. </w:t>
      </w:r>
      <w:r w:rsidR="004E5E50">
        <w:rPr>
          <w:lang w:val="en-US"/>
        </w:rPr>
        <w:t xml:space="preserve">If </w:t>
      </w:r>
      <w:r w:rsidR="00132453" w:rsidRPr="00725664">
        <w:rPr>
          <w:lang w:val="en-US"/>
        </w:rPr>
        <w:t>this procedure</w:t>
      </w:r>
      <w:r w:rsidR="004E5E50">
        <w:rPr>
          <w:lang w:val="en-US"/>
        </w:rPr>
        <w:t xml:space="preserve"> is accepted</w:t>
      </w:r>
      <w:r w:rsidR="00132453" w:rsidRPr="00725664">
        <w:rPr>
          <w:lang w:val="en-US"/>
        </w:rPr>
        <w:t>, t</w:t>
      </w:r>
      <w:r w:rsidR="00732405" w:rsidRPr="00725664">
        <w:rPr>
          <w:lang w:val="en-US"/>
        </w:rPr>
        <w:t>hen the recalculation of the remaining oxides results in a better fit to the</w:t>
      </w:r>
      <w:r w:rsidR="00DD5DB8" w:rsidRPr="00725664">
        <w:rPr>
          <w:lang w:val="en-US"/>
        </w:rPr>
        <w:t>ir</w:t>
      </w:r>
      <w:r w:rsidR="00732405" w:rsidRPr="00725664">
        <w:rPr>
          <w:lang w:val="en-US"/>
        </w:rPr>
        <w:t xml:space="preserve"> specified </w:t>
      </w:r>
      <w:r w:rsidR="00DD5DB8" w:rsidRPr="00725664">
        <w:rPr>
          <w:lang w:val="en-US"/>
        </w:rPr>
        <w:t>values</w:t>
      </w:r>
      <w:r w:rsidR="005634B9" w:rsidRPr="00725664">
        <w:rPr>
          <w:lang w:val="en-US"/>
        </w:rPr>
        <w:t xml:space="preserve"> also</w:t>
      </w:r>
      <w:r w:rsidR="00732405" w:rsidRPr="00725664">
        <w:rPr>
          <w:lang w:val="en-US"/>
        </w:rPr>
        <w:t xml:space="preserve">. </w:t>
      </w:r>
      <w:r w:rsidR="004E5E50">
        <w:rPr>
          <w:lang w:val="en-US"/>
        </w:rPr>
        <w:t xml:space="preserve">The limitations of this paper prevent us from </w:t>
      </w:r>
      <w:r w:rsidR="00732405" w:rsidRPr="00725664">
        <w:rPr>
          <w:lang w:val="en-US"/>
        </w:rPr>
        <w:t>follow</w:t>
      </w:r>
      <w:r w:rsidR="004E5E50">
        <w:rPr>
          <w:lang w:val="en-US"/>
        </w:rPr>
        <w:t xml:space="preserve">ing </w:t>
      </w:r>
      <w:r w:rsidR="00732405" w:rsidRPr="00725664">
        <w:rPr>
          <w:lang w:val="en-US"/>
        </w:rPr>
        <w:t xml:space="preserve">that </w:t>
      </w:r>
      <w:r w:rsidR="00A24CAC" w:rsidRPr="00725664">
        <w:rPr>
          <w:lang w:val="en-US"/>
        </w:rPr>
        <w:t>hypothesis</w:t>
      </w:r>
      <w:r w:rsidR="00732405" w:rsidRPr="00725664">
        <w:rPr>
          <w:lang w:val="en-US"/>
        </w:rPr>
        <w:t xml:space="preserve"> thoroughly and this procedure does</w:t>
      </w:r>
      <w:r w:rsidR="004E5E50">
        <w:rPr>
          <w:lang w:val="en-US"/>
        </w:rPr>
        <w:t xml:space="preserve"> not </w:t>
      </w:r>
      <w:r w:rsidR="005634B9" w:rsidRPr="00725664">
        <w:rPr>
          <w:lang w:val="en-US"/>
        </w:rPr>
        <w:lastRenderedPageBreak/>
        <w:t xml:space="preserve">work as </w:t>
      </w:r>
      <w:r w:rsidR="004E5E50">
        <w:rPr>
          <w:lang w:val="en-US"/>
        </w:rPr>
        <w:t xml:space="preserve">effectively </w:t>
      </w:r>
      <w:r w:rsidR="005634B9" w:rsidRPr="00725664">
        <w:rPr>
          <w:lang w:val="en-US"/>
        </w:rPr>
        <w:t>as in this</w:t>
      </w:r>
      <w:r w:rsidR="001C6942" w:rsidRPr="00725664">
        <w:rPr>
          <w:lang w:val="en-US"/>
        </w:rPr>
        <w:t xml:space="preserve"> example for all CRM</w:t>
      </w:r>
      <w:r w:rsidR="00732405" w:rsidRPr="00725664">
        <w:rPr>
          <w:lang w:val="en-US"/>
        </w:rPr>
        <w:t xml:space="preserve"> we investigated, </w:t>
      </w:r>
      <w:r w:rsidR="00A24CAC" w:rsidRPr="00725664">
        <w:rPr>
          <w:lang w:val="en-US"/>
        </w:rPr>
        <w:t xml:space="preserve">where surely also other components and effects complicate the matter. </w:t>
      </w:r>
      <w:r w:rsidR="004E5E50">
        <w:rPr>
          <w:lang w:val="en-US"/>
        </w:rPr>
        <w:t>I</w:t>
      </w:r>
      <w:r w:rsidR="00732405" w:rsidRPr="00725664">
        <w:rPr>
          <w:lang w:val="en-US"/>
        </w:rPr>
        <w:t xml:space="preserve">t </w:t>
      </w:r>
      <w:r w:rsidR="004E5E50">
        <w:rPr>
          <w:lang w:val="en-US"/>
        </w:rPr>
        <w:t xml:space="preserve">nevertheless </w:t>
      </w:r>
      <w:r w:rsidR="00732405" w:rsidRPr="00725664">
        <w:rPr>
          <w:lang w:val="en-US"/>
        </w:rPr>
        <w:t xml:space="preserve">highlights an important topic </w:t>
      </w:r>
      <w:r w:rsidR="006E5D59" w:rsidRPr="00725664">
        <w:rPr>
          <w:lang w:val="en-US"/>
        </w:rPr>
        <w:t xml:space="preserve">for </w:t>
      </w:r>
      <w:r w:rsidR="00A24CAC" w:rsidRPr="00725664">
        <w:rPr>
          <w:lang w:val="en-US"/>
        </w:rPr>
        <w:t xml:space="preserve">both </w:t>
      </w:r>
      <w:r w:rsidR="006E5D59" w:rsidRPr="00725664">
        <w:rPr>
          <w:lang w:val="en-US"/>
        </w:rPr>
        <w:t>the analysis of</w:t>
      </w:r>
      <w:r w:rsidR="00732405" w:rsidRPr="00725664">
        <w:rPr>
          <w:lang w:val="en-US"/>
        </w:rPr>
        <w:t xml:space="preserve"> ceramic</w:t>
      </w:r>
      <w:r w:rsidR="001C6942" w:rsidRPr="00725664">
        <w:rPr>
          <w:lang w:val="en-US"/>
        </w:rPr>
        <w:t xml:space="preserve"> and</w:t>
      </w:r>
      <w:r w:rsidR="005119E5" w:rsidRPr="00725664">
        <w:rPr>
          <w:lang w:val="en-US"/>
        </w:rPr>
        <w:t xml:space="preserve"> clay</w:t>
      </w:r>
      <w:r w:rsidR="00732405" w:rsidRPr="00725664">
        <w:rPr>
          <w:lang w:val="en-US"/>
        </w:rPr>
        <w:t xml:space="preserve">. As soon as </w:t>
      </w:r>
      <w:r w:rsidR="00A24CAC" w:rsidRPr="00725664">
        <w:rPr>
          <w:lang w:val="en-US"/>
        </w:rPr>
        <w:t>samples</w:t>
      </w:r>
      <w:r w:rsidR="00732405" w:rsidRPr="00725664">
        <w:rPr>
          <w:lang w:val="en-US"/>
        </w:rPr>
        <w:t xml:space="preserve"> contain higher amounts of </w:t>
      </w:r>
      <w:r w:rsidR="005634B9" w:rsidRPr="00725664">
        <w:rPr>
          <w:lang w:val="en-US"/>
        </w:rPr>
        <w:t>carbonates</w:t>
      </w:r>
      <w:r w:rsidR="00732405" w:rsidRPr="00725664">
        <w:rPr>
          <w:lang w:val="en-US"/>
        </w:rPr>
        <w:t xml:space="preserve">, resulting from </w:t>
      </w:r>
      <w:r w:rsidR="005634B9" w:rsidRPr="00725664">
        <w:rPr>
          <w:lang w:val="en-US"/>
        </w:rPr>
        <w:t xml:space="preserve">e.g. </w:t>
      </w:r>
      <w:r w:rsidR="00732405" w:rsidRPr="00725664">
        <w:rPr>
          <w:lang w:val="en-US"/>
        </w:rPr>
        <w:t xml:space="preserve">a lime </w:t>
      </w:r>
      <w:r w:rsidR="005634B9" w:rsidRPr="00725664">
        <w:rPr>
          <w:lang w:val="en-US"/>
        </w:rPr>
        <w:t xml:space="preserve">or marl </w:t>
      </w:r>
      <w:r w:rsidR="00732405" w:rsidRPr="00725664">
        <w:rPr>
          <w:lang w:val="en-US"/>
        </w:rPr>
        <w:t xml:space="preserve">rich clay or </w:t>
      </w:r>
      <w:r w:rsidR="005119E5" w:rsidRPr="00725664">
        <w:rPr>
          <w:lang w:val="en-US"/>
        </w:rPr>
        <w:t>from adding</w:t>
      </w:r>
      <w:r w:rsidR="00732405" w:rsidRPr="00725664">
        <w:rPr>
          <w:lang w:val="en-US"/>
        </w:rPr>
        <w:t xml:space="preserve"> temper, </w:t>
      </w:r>
      <w:r w:rsidR="006E5D59" w:rsidRPr="00725664">
        <w:rPr>
          <w:lang w:val="en-US"/>
        </w:rPr>
        <w:t xml:space="preserve">the </w:t>
      </w:r>
      <w:r w:rsidR="004E5E50">
        <w:rPr>
          <w:lang w:val="en-US"/>
        </w:rPr>
        <w:t xml:space="preserve">increased </w:t>
      </w:r>
      <w:r w:rsidR="006E5D59" w:rsidRPr="00725664">
        <w:rPr>
          <w:lang w:val="en-US"/>
        </w:rPr>
        <w:t xml:space="preserve">amount of carbonate </w:t>
      </w:r>
      <w:r w:rsidR="004E5E50">
        <w:rPr>
          <w:lang w:val="en-US"/>
        </w:rPr>
        <w:t xml:space="preserve">not </w:t>
      </w:r>
      <w:r w:rsidR="006E5D59" w:rsidRPr="00725664">
        <w:rPr>
          <w:lang w:val="en-US"/>
        </w:rPr>
        <w:t xml:space="preserve">detectable for any non-invasive surface method will create considerable problems </w:t>
      </w:r>
      <w:r w:rsidR="00DD5DB8" w:rsidRPr="00725664">
        <w:rPr>
          <w:lang w:val="en-US"/>
        </w:rPr>
        <w:t xml:space="preserve">because it is </w:t>
      </w:r>
      <w:r w:rsidR="004E5E50">
        <w:rPr>
          <w:lang w:val="en-US"/>
        </w:rPr>
        <w:t xml:space="preserve">overlooked </w:t>
      </w:r>
      <w:r w:rsidR="00DD5DB8" w:rsidRPr="00725664">
        <w:rPr>
          <w:lang w:val="en-US"/>
        </w:rPr>
        <w:t xml:space="preserve">in the </w:t>
      </w:r>
      <w:proofErr w:type="spellStart"/>
      <w:r w:rsidR="00DD5DB8" w:rsidRPr="00725664">
        <w:rPr>
          <w:lang w:val="en-US"/>
        </w:rPr>
        <w:t>normali</w:t>
      </w:r>
      <w:r w:rsidR="004E5E50">
        <w:rPr>
          <w:lang w:val="en-US"/>
        </w:rPr>
        <w:t>s</w:t>
      </w:r>
      <w:r w:rsidR="00DD5DB8" w:rsidRPr="00725664">
        <w:rPr>
          <w:lang w:val="en-US"/>
        </w:rPr>
        <w:t>ation</w:t>
      </w:r>
      <w:proofErr w:type="spellEnd"/>
      <w:r w:rsidR="00262EE7" w:rsidRPr="00725664">
        <w:rPr>
          <w:lang w:val="en-US"/>
        </w:rPr>
        <w:t xml:space="preserve"> (Hunt – </w:t>
      </w:r>
      <w:proofErr w:type="spellStart"/>
      <w:r w:rsidR="00262EE7" w:rsidRPr="00725664">
        <w:rPr>
          <w:lang w:val="en-US"/>
        </w:rPr>
        <w:t>Speckman</w:t>
      </w:r>
      <w:proofErr w:type="spellEnd"/>
      <w:r w:rsidR="00262EE7" w:rsidRPr="00725664">
        <w:rPr>
          <w:lang w:val="en-US"/>
        </w:rPr>
        <w:t xml:space="preserve"> 2015; Hall et al. 2012, 2014; </w:t>
      </w:r>
      <w:proofErr w:type="spellStart"/>
      <w:r w:rsidR="00262EE7" w:rsidRPr="00725664">
        <w:rPr>
          <w:lang w:val="en-US"/>
        </w:rPr>
        <w:t>Conrey</w:t>
      </w:r>
      <w:proofErr w:type="spellEnd"/>
      <w:r w:rsidR="00262EE7" w:rsidRPr="00725664">
        <w:rPr>
          <w:lang w:val="en-US"/>
        </w:rPr>
        <w:t xml:space="preserve"> et al. 2013). </w:t>
      </w:r>
      <w:r w:rsidR="00DD5DB8" w:rsidRPr="00725664">
        <w:rPr>
          <w:lang w:val="en-US"/>
        </w:rPr>
        <w:t xml:space="preserve">Only invasive analytical methods can give proper estimations for the amount of LOI </w:t>
      </w:r>
      <w:r w:rsidR="00A24CAC" w:rsidRPr="00725664">
        <w:rPr>
          <w:lang w:val="en-US"/>
        </w:rPr>
        <w:t xml:space="preserve">(e.g. by heating powdered samples in an oven and monitoring its weight loss), </w:t>
      </w:r>
      <w:r w:rsidR="00DD5DB8" w:rsidRPr="00725664">
        <w:rPr>
          <w:lang w:val="en-US"/>
        </w:rPr>
        <w:t xml:space="preserve">but </w:t>
      </w:r>
      <w:r w:rsidR="001C6942" w:rsidRPr="00725664">
        <w:rPr>
          <w:lang w:val="en-US"/>
        </w:rPr>
        <w:t xml:space="preserve">also </w:t>
      </w:r>
      <w:r w:rsidR="00DD5DB8" w:rsidRPr="00725664">
        <w:rPr>
          <w:lang w:val="en-US"/>
        </w:rPr>
        <w:t xml:space="preserve">the detection of calcite </w:t>
      </w:r>
      <w:r w:rsidR="00E52E48" w:rsidRPr="00725664">
        <w:rPr>
          <w:lang w:val="en-US"/>
        </w:rPr>
        <w:t>or marl in thin section microscopy can</w:t>
      </w:r>
      <w:r w:rsidR="00DD5DB8" w:rsidRPr="00725664">
        <w:rPr>
          <w:lang w:val="en-US"/>
        </w:rPr>
        <w:t xml:space="preserve"> help </w:t>
      </w:r>
      <w:r w:rsidR="004E5E50">
        <w:rPr>
          <w:lang w:val="en-US"/>
        </w:rPr>
        <w:t xml:space="preserve">with </w:t>
      </w:r>
      <w:r w:rsidR="00E52E48" w:rsidRPr="00725664">
        <w:rPr>
          <w:lang w:val="en-US"/>
        </w:rPr>
        <w:t>estimat</w:t>
      </w:r>
      <w:r w:rsidR="004E5E50">
        <w:rPr>
          <w:lang w:val="en-US"/>
        </w:rPr>
        <w:t xml:space="preserve">ing </w:t>
      </w:r>
      <w:r w:rsidR="00DD5DB8" w:rsidRPr="00725664">
        <w:rPr>
          <w:lang w:val="en-US"/>
        </w:rPr>
        <w:t>the presence of carbonates in the samples and</w:t>
      </w:r>
      <w:r w:rsidR="004E5E50">
        <w:rPr>
          <w:lang w:val="en-US"/>
        </w:rPr>
        <w:t xml:space="preserve"> give indications</w:t>
      </w:r>
      <w:r w:rsidR="00DD5DB8" w:rsidRPr="00725664">
        <w:rPr>
          <w:lang w:val="en-US"/>
        </w:rPr>
        <w:t xml:space="preserve"> to </w:t>
      </w:r>
      <w:r w:rsidR="004E5E50">
        <w:rPr>
          <w:lang w:val="en-US"/>
        </w:rPr>
        <w:t xml:space="preserve">help </w:t>
      </w:r>
      <w:r w:rsidR="00DD5DB8" w:rsidRPr="00725664">
        <w:rPr>
          <w:lang w:val="en-US"/>
        </w:rPr>
        <w:t xml:space="preserve">fit the </w:t>
      </w:r>
      <w:proofErr w:type="spellStart"/>
      <w:r w:rsidR="00DD5DB8" w:rsidRPr="00725664">
        <w:rPr>
          <w:lang w:val="en-US"/>
        </w:rPr>
        <w:t>normali</w:t>
      </w:r>
      <w:r w:rsidR="004E5E50">
        <w:rPr>
          <w:lang w:val="en-US"/>
        </w:rPr>
        <w:t>s</w:t>
      </w:r>
      <w:r w:rsidR="00DD5DB8" w:rsidRPr="00725664">
        <w:rPr>
          <w:lang w:val="en-US"/>
        </w:rPr>
        <w:t>ation</w:t>
      </w:r>
      <w:proofErr w:type="spellEnd"/>
      <w:r w:rsidR="00DD5DB8" w:rsidRPr="00725664">
        <w:rPr>
          <w:lang w:val="en-US"/>
        </w:rPr>
        <w:t xml:space="preserve"> on calcium carbonate instead of calcium oxide. </w:t>
      </w:r>
    </w:p>
    <w:p w:rsidR="00AE58C6" w:rsidRPr="00725664" w:rsidRDefault="004E5E50" w:rsidP="00B87FA0">
      <w:pPr>
        <w:spacing w:line="360" w:lineRule="auto"/>
        <w:rPr>
          <w:lang w:val="en-US"/>
        </w:rPr>
      </w:pPr>
      <w:r>
        <w:rPr>
          <w:lang w:val="en-US"/>
        </w:rPr>
        <w:t>To conclude,</w:t>
      </w:r>
      <w:r w:rsidR="00466859" w:rsidRPr="00725664">
        <w:rPr>
          <w:lang w:val="en-US"/>
        </w:rPr>
        <w:t xml:space="preserve"> it </w:t>
      </w:r>
      <w:r w:rsidR="0076477D" w:rsidRPr="00725664">
        <w:rPr>
          <w:lang w:val="en-US"/>
        </w:rPr>
        <w:t>is</w:t>
      </w:r>
      <w:r w:rsidR="00466859" w:rsidRPr="00725664">
        <w:rPr>
          <w:lang w:val="en-US"/>
        </w:rPr>
        <w:t xml:space="preserve"> clear</w:t>
      </w:r>
      <w:r w:rsidR="0076477D" w:rsidRPr="00725664">
        <w:rPr>
          <w:lang w:val="en-US"/>
        </w:rPr>
        <w:t xml:space="preserve"> that</w:t>
      </w:r>
      <w:r w:rsidR="00466859" w:rsidRPr="00725664">
        <w:rPr>
          <w:lang w:val="en-US"/>
        </w:rPr>
        <w:t xml:space="preserve"> the </w:t>
      </w:r>
      <w:proofErr w:type="spellStart"/>
      <w:r w:rsidR="00466859" w:rsidRPr="00725664">
        <w:rPr>
          <w:lang w:val="en-US"/>
        </w:rPr>
        <w:t>Niton</w:t>
      </w:r>
      <w:proofErr w:type="spellEnd"/>
      <w:r w:rsidR="00466859" w:rsidRPr="00725664">
        <w:rPr>
          <w:lang w:val="en-US"/>
        </w:rPr>
        <w:t xml:space="preserve"> XL3t can provide precise and comparable data </w:t>
      </w:r>
      <w:r w:rsidR="00E62810" w:rsidRPr="00725664">
        <w:rPr>
          <w:lang w:val="en-US"/>
        </w:rPr>
        <w:t xml:space="preserve">– to some extent – </w:t>
      </w:r>
      <w:r w:rsidR="00466859" w:rsidRPr="00725664">
        <w:rPr>
          <w:lang w:val="en-US"/>
        </w:rPr>
        <w:t xml:space="preserve">for most main and selected trace elements with the exception of Mg and P. As the difficulties related to these two components are well known and widespread, at least for samples with low content and without adjusted calibration, </w:t>
      </w:r>
      <w:r w:rsidR="006D68E3" w:rsidRPr="00725664">
        <w:rPr>
          <w:lang w:val="en-US"/>
        </w:rPr>
        <w:t xml:space="preserve">Mg and P </w:t>
      </w:r>
      <w:r w:rsidR="00466859" w:rsidRPr="00725664">
        <w:rPr>
          <w:lang w:val="en-US"/>
        </w:rPr>
        <w:t xml:space="preserve">have to be omitted </w:t>
      </w:r>
      <w:r w:rsidR="0076477D" w:rsidRPr="00725664">
        <w:rPr>
          <w:lang w:val="en-US"/>
        </w:rPr>
        <w:t>in studies of element</w:t>
      </w:r>
      <w:r w:rsidR="006233A0" w:rsidRPr="00725664">
        <w:rPr>
          <w:lang w:val="en-US"/>
        </w:rPr>
        <w:t>al composition</w:t>
      </w:r>
      <w:r w:rsidR="007B2317" w:rsidRPr="00725664">
        <w:rPr>
          <w:lang w:val="en-US"/>
        </w:rPr>
        <w:t xml:space="preserve"> or they have to be compared to results from other analytical methods.</w:t>
      </w:r>
      <w:r w:rsidR="006233A0" w:rsidRPr="00725664">
        <w:rPr>
          <w:lang w:val="en-US"/>
        </w:rPr>
        <w:t xml:space="preserve"> The remaining elements have a high</w:t>
      </w:r>
      <w:r w:rsidR="00466859" w:rsidRPr="00725664">
        <w:rPr>
          <w:lang w:val="en-US"/>
        </w:rPr>
        <w:t xml:space="preserve"> potential for</w:t>
      </w:r>
      <w:r w:rsidR="006233A0" w:rsidRPr="00725664">
        <w:rPr>
          <w:lang w:val="en-US"/>
        </w:rPr>
        <w:t xml:space="preserve"> archaeological and geochemical interpretation</w:t>
      </w:r>
      <w:r>
        <w:rPr>
          <w:lang w:val="en-US"/>
        </w:rPr>
        <w:t xml:space="preserve">, but </w:t>
      </w:r>
      <w:r w:rsidR="006233A0" w:rsidRPr="00725664">
        <w:rPr>
          <w:lang w:val="en-US"/>
        </w:rPr>
        <w:t>as</w:t>
      </w:r>
      <w:r w:rsidR="00466859" w:rsidRPr="00725664">
        <w:rPr>
          <w:lang w:val="en-US"/>
        </w:rPr>
        <w:t xml:space="preserve"> long as no matrix matched calibration is performed, the relative bias described above </w:t>
      </w:r>
      <w:r w:rsidR="00AE58C6" w:rsidRPr="00725664">
        <w:rPr>
          <w:lang w:val="en-US"/>
        </w:rPr>
        <w:t xml:space="preserve">remains operative </w:t>
      </w:r>
      <w:r w:rsidR="00A269D3" w:rsidRPr="00725664">
        <w:rPr>
          <w:lang w:val="en-US"/>
        </w:rPr>
        <w:t xml:space="preserve">for all components </w:t>
      </w:r>
      <w:r w:rsidR="00AE58C6" w:rsidRPr="00725664">
        <w:rPr>
          <w:lang w:val="en-US"/>
        </w:rPr>
        <w:t xml:space="preserve">and has to be taken into account when talking about </w:t>
      </w:r>
      <w:r>
        <w:rPr>
          <w:lang w:val="en-US"/>
        </w:rPr>
        <w:t xml:space="preserve">the </w:t>
      </w:r>
      <w:r w:rsidR="00AE58C6" w:rsidRPr="00725664">
        <w:rPr>
          <w:lang w:val="en-US"/>
        </w:rPr>
        <w:t>concentration</w:t>
      </w:r>
      <w:r>
        <w:rPr>
          <w:lang w:val="en-US"/>
        </w:rPr>
        <w:t xml:space="preserve"> of an element or an oxide</w:t>
      </w:r>
      <w:r w:rsidR="00AE58C6" w:rsidRPr="00725664">
        <w:rPr>
          <w:lang w:val="en-US"/>
        </w:rPr>
        <w:t>. The strong influence of LOI and carbonates</w:t>
      </w:r>
      <w:r w:rsidR="00466859" w:rsidRPr="00725664">
        <w:rPr>
          <w:lang w:val="en-US"/>
        </w:rPr>
        <w:t xml:space="preserve"> </w:t>
      </w:r>
      <w:r w:rsidR="00AE58C6" w:rsidRPr="00725664">
        <w:rPr>
          <w:lang w:val="en-US"/>
        </w:rPr>
        <w:t>remains a serious factor.</w:t>
      </w:r>
      <w:r w:rsidR="00466859" w:rsidRPr="00725664">
        <w:rPr>
          <w:lang w:val="en-US"/>
        </w:rPr>
        <w:t xml:space="preserve"> </w:t>
      </w:r>
      <w:r w:rsidR="00AE58C6" w:rsidRPr="00725664">
        <w:rPr>
          <w:lang w:val="en-US"/>
        </w:rPr>
        <w:t>As described above, we reje</w:t>
      </w:r>
      <w:r w:rsidR="00E54E20" w:rsidRPr="00725664">
        <w:rPr>
          <w:lang w:val="en-US"/>
        </w:rPr>
        <w:t>ct the calibration with the set of CRM</w:t>
      </w:r>
      <w:r w:rsidR="00AE58C6" w:rsidRPr="00725664">
        <w:rPr>
          <w:lang w:val="en-US"/>
        </w:rPr>
        <w:t xml:space="preserve"> used at the present stage of research since we prefer to </w:t>
      </w:r>
      <w:r w:rsidR="007B2317" w:rsidRPr="00725664">
        <w:rPr>
          <w:lang w:val="en-US"/>
        </w:rPr>
        <w:t>discuss the p</w:t>
      </w:r>
      <w:r>
        <w:rPr>
          <w:lang w:val="en-US"/>
        </w:rPr>
        <w:t>-</w:t>
      </w:r>
      <w:r w:rsidR="007B2317" w:rsidRPr="00725664">
        <w:rPr>
          <w:lang w:val="en-US"/>
        </w:rPr>
        <w:t>XRF results in contrast to analysis with other methods (SEM, XRD and optical microscopy) on original</w:t>
      </w:r>
      <w:r w:rsidR="00E54E20" w:rsidRPr="00725664">
        <w:rPr>
          <w:lang w:val="en-US"/>
        </w:rPr>
        <w:t xml:space="preserve"> material of the</w:t>
      </w:r>
      <w:r w:rsidR="00AE58C6" w:rsidRPr="00725664">
        <w:rPr>
          <w:lang w:val="en-US"/>
        </w:rPr>
        <w:t xml:space="preserve"> study</w:t>
      </w:r>
      <w:r w:rsidR="007B2317" w:rsidRPr="00725664">
        <w:rPr>
          <w:lang w:val="en-US"/>
        </w:rPr>
        <w:t>.</w:t>
      </w:r>
    </w:p>
    <w:p w:rsidR="000B1474" w:rsidRPr="00725664" w:rsidRDefault="000B1474" w:rsidP="00B87FA0">
      <w:pPr>
        <w:spacing w:line="360" w:lineRule="auto"/>
        <w:rPr>
          <w:lang w:val="en-US"/>
        </w:rPr>
      </w:pPr>
    </w:p>
    <w:p w:rsidR="000B1474" w:rsidRPr="00725664" w:rsidRDefault="000B1474" w:rsidP="00B87FA0">
      <w:pPr>
        <w:spacing w:line="360" w:lineRule="auto"/>
        <w:rPr>
          <w:lang w:val="en-US"/>
        </w:rPr>
      </w:pPr>
    </w:p>
    <w:p w:rsidR="00094980" w:rsidRPr="00D93B12" w:rsidRDefault="009F1074" w:rsidP="00B87FA0">
      <w:pPr>
        <w:spacing w:line="360" w:lineRule="auto"/>
        <w:rPr>
          <w:sz w:val="28"/>
          <w:lang w:val="en-US"/>
        </w:rPr>
      </w:pPr>
      <w:r w:rsidRPr="00D93B12">
        <w:rPr>
          <w:sz w:val="28"/>
          <w:lang w:val="en-US"/>
        </w:rPr>
        <w:t>References</w:t>
      </w:r>
    </w:p>
    <w:p w:rsidR="008F437F" w:rsidRPr="00B87FA0" w:rsidRDefault="008F437F" w:rsidP="00B87FA0">
      <w:pPr>
        <w:spacing w:line="360" w:lineRule="auto"/>
        <w:rPr>
          <w:b/>
          <w:lang w:val="en-US"/>
        </w:rPr>
      </w:pPr>
    </w:p>
    <w:p w:rsidR="000B1474" w:rsidRPr="00B87FA0" w:rsidRDefault="000B1474" w:rsidP="00B87FA0">
      <w:pPr>
        <w:spacing w:line="360" w:lineRule="auto"/>
        <w:rPr>
          <w:rFonts w:ascii="TimesNewRomanPSMT" w:hAnsi="TimesNewRomanPSMT" w:cs="TimesNewRomanPSMT"/>
        </w:rPr>
      </w:pPr>
      <w:proofErr w:type="spellStart"/>
      <w:r w:rsidRPr="00725664">
        <w:rPr>
          <w:rFonts w:ascii="TimesNewRomanPSMT" w:hAnsi="TimesNewRomanPSMT" w:cs="TimesNewRomanPSMT"/>
          <w:lang w:val="en-US"/>
        </w:rPr>
        <w:t>Bandama</w:t>
      </w:r>
      <w:proofErr w:type="spellEnd"/>
      <w:r w:rsidRPr="00725664">
        <w:rPr>
          <w:rFonts w:ascii="TimesNewRomanPSMT" w:hAnsi="TimesNewRomanPSMT" w:cs="TimesNewRomanPSMT"/>
          <w:lang w:val="en-US"/>
        </w:rPr>
        <w:t xml:space="preserve"> F, Moffett AJ, </w:t>
      </w:r>
      <w:proofErr w:type="spellStart"/>
      <w:r w:rsidRPr="00725664">
        <w:rPr>
          <w:rFonts w:ascii="TimesNewRomanPSMT" w:hAnsi="TimesNewRomanPSMT" w:cs="TimesNewRomanPSMT"/>
          <w:lang w:val="en-US"/>
        </w:rPr>
        <w:t>Thondhlana</w:t>
      </w:r>
      <w:proofErr w:type="spellEnd"/>
      <w:r w:rsidRPr="00725664">
        <w:rPr>
          <w:rFonts w:ascii="TimesNewRomanPSMT" w:hAnsi="TimesNewRomanPSMT" w:cs="TimesNewRomanPSMT"/>
          <w:lang w:val="en-US"/>
        </w:rPr>
        <w:t xml:space="preserve"> TP, </w:t>
      </w:r>
      <w:proofErr w:type="spellStart"/>
      <w:r w:rsidRPr="00725664">
        <w:rPr>
          <w:rFonts w:ascii="TimesNewRomanPSMT" w:hAnsi="TimesNewRomanPSMT" w:cs="TimesNewRomanPSMT"/>
          <w:lang w:val="en-US"/>
        </w:rPr>
        <w:t>Chirikure</w:t>
      </w:r>
      <w:proofErr w:type="spellEnd"/>
      <w:r w:rsidRPr="00725664">
        <w:rPr>
          <w:rFonts w:ascii="TimesNewRomanPSMT" w:hAnsi="TimesNewRomanPSMT" w:cs="TimesNewRomanPSMT"/>
          <w:lang w:val="en-US"/>
        </w:rPr>
        <w:t xml:space="preserve"> S. </w:t>
      </w:r>
      <w:proofErr w:type="gramStart"/>
      <w:r w:rsidRPr="00725664">
        <w:rPr>
          <w:rFonts w:ascii="TimesNewRomanPSMT" w:hAnsi="TimesNewRomanPSMT" w:cs="TimesNewRomanPSMT"/>
          <w:lang w:val="en-US"/>
        </w:rPr>
        <w:t>The Production, Distribution and Consumption of Metals and Alloys at Great Zimbabwe.</w:t>
      </w:r>
      <w:proofErr w:type="gramEnd"/>
      <w:r w:rsidRPr="00725664">
        <w:rPr>
          <w:rFonts w:ascii="TimesNewRomanPSMT" w:hAnsi="TimesNewRomanPSMT" w:cs="TimesNewRomanPSMT"/>
          <w:lang w:val="en-US"/>
        </w:rPr>
        <w:t xml:space="preserve"> </w:t>
      </w:r>
      <w:proofErr w:type="spellStart"/>
      <w:r w:rsidRPr="00B87FA0">
        <w:rPr>
          <w:rFonts w:ascii="TimesNewRomanPSMT" w:hAnsi="TimesNewRomanPSMT" w:cs="TimesNewRomanPSMT"/>
        </w:rPr>
        <w:t>Archaeometry</w:t>
      </w:r>
      <w:proofErr w:type="spellEnd"/>
      <w:r w:rsidRPr="00B87FA0">
        <w:rPr>
          <w:rFonts w:ascii="TimesNewRomanPSMT" w:hAnsi="TimesNewRomanPSMT" w:cs="TimesNewRomanPSMT"/>
        </w:rPr>
        <w:t xml:space="preserve"> 58, 2016, </w:t>
      </w:r>
      <w:proofErr w:type="spellStart"/>
      <w:r w:rsidRPr="00B87FA0">
        <w:rPr>
          <w:rFonts w:ascii="TimesNewRomanPSMT" w:hAnsi="TimesNewRomanPSMT" w:cs="TimesNewRomanPSMT"/>
        </w:rPr>
        <w:t>Issue</w:t>
      </w:r>
      <w:proofErr w:type="spellEnd"/>
      <w:r w:rsidRPr="00B87FA0">
        <w:rPr>
          <w:rFonts w:ascii="TimesNewRomanPSMT" w:hAnsi="TimesNewRomanPSMT" w:cs="TimesNewRomanPSMT"/>
        </w:rPr>
        <w:t xml:space="preserve"> S1, 164-181.</w:t>
      </w:r>
    </w:p>
    <w:p w:rsidR="000B1474" w:rsidRPr="00725664" w:rsidRDefault="000B1474" w:rsidP="00B87FA0">
      <w:pPr>
        <w:spacing w:line="360" w:lineRule="auto"/>
        <w:rPr>
          <w:b/>
        </w:rPr>
      </w:pPr>
    </w:p>
    <w:p w:rsidR="008F437F" w:rsidRPr="00725664" w:rsidRDefault="008F437F" w:rsidP="00B87FA0">
      <w:pPr>
        <w:spacing w:line="360" w:lineRule="auto"/>
      </w:pPr>
      <w:r w:rsidRPr="00725664">
        <w:t xml:space="preserve">Behrendt </w:t>
      </w:r>
      <w:r w:rsidR="00F61A49" w:rsidRPr="00725664">
        <w:t>S,</w:t>
      </w:r>
      <w:r w:rsidRPr="00725664">
        <w:t xml:space="preserve"> Mielke </w:t>
      </w:r>
      <w:r w:rsidR="00F61A49" w:rsidRPr="00725664">
        <w:t>DP,</w:t>
      </w:r>
      <w:r w:rsidRPr="00725664">
        <w:t xml:space="preserve"> </w:t>
      </w:r>
      <w:proofErr w:type="spellStart"/>
      <w:r w:rsidRPr="00725664">
        <w:t>Mecking</w:t>
      </w:r>
      <w:proofErr w:type="spellEnd"/>
      <w:r w:rsidR="00F61A49" w:rsidRPr="00725664">
        <w:t xml:space="preserve"> O</w:t>
      </w:r>
      <w:r w:rsidR="004E457D" w:rsidRPr="00725664">
        <w:t xml:space="preserve">. </w:t>
      </w:r>
      <w:r w:rsidRPr="00725664">
        <w:t>Die portable Röntgenfluoreszenzanalyse (p-RFA) in der Keramikforschung: Grundlagen und Potenzial, Restaurierung und Archäologie 5, 2012, 93</w:t>
      </w:r>
      <w:r w:rsidR="00F61A49" w:rsidRPr="00725664">
        <w:t xml:space="preserve"> </w:t>
      </w:r>
      <w:r w:rsidRPr="00725664">
        <w:t>–110.</w:t>
      </w:r>
    </w:p>
    <w:p w:rsidR="00F61A49" w:rsidRPr="00725664" w:rsidRDefault="00F61A49" w:rsidP="00B87FA0">
      <w:pPr>
        <w:spacing w:line="360" w:lineRule="auto"/>
      </w:pPr>
    </w:p>
    <w:p w:rsidR="006F35FC" w:rsidRPr="00B87FA0" w:rsidRDefault="006F35FC" w:rsidP="00B87FA0">
      <w:pPr>
        <w:spacing w:line="360" w:lineRule="auto"/>
        <w:rPr>
          <w:lang w:val="en-US"/>
        </w:rPr>
      </w:pPr>
      <w:r w:rsidRPr="00725664">
        <w:t xml:space="preserve">Böhme </w:t>
      </w:r>
      <w:r w:rsidR="00F61A49" w:rsidRPr="00725664">
        <w:t xml:space="preserve">D, </w:t>
      </w:r>
      <w:r w:rsidRPr="00725664">
        <w:t>Helfert</w:t>
      </w:r>
      <w:r w:rsidR="00F61A49" w:rsidRPr="00725664">
        <w:t xml:space="preserve"> M.</w:t>
      </w:r>
      <w:r w:rsidRPr="00725664">
        <w:t xml:space="preserve"> He</w:t>
      </w:r>
      <w:r w:rsidR="00AD068A" w:rsidRPr="00725664">
        <w:t xml:space="preserve">rkunftsbestimmung von römischer </w:t>
      </w:r>
      <w:r w:rsidRPr="00725664">
        <w:t xml:space="preserve">Keramik mittels portabler </w:t>
      </w:r>
      <w:proofErr w:type="spellStart"/>
      <w:r w:rsidRPr="00725664">
        <w:t>energiedisper</w:t>
      </w:r>
      <w:r w:rsidR="00AD068A" w:rsidRPr="00725664">
        <w:t>siver</w:t>
      </w:r>
      <w:proofErr w:type="spellEnd"/>
      <w:r w:rsidR="00AD068A" w:rsidRPr="00725664">
        <w:t xml:space="preserve"> Röntgenfluoreszenzanalyse (P-ED-RFA) – Erste Ergebnisse </w:t>
      </w:r>
      <w:r w:rsidRPr="00725664">
        <w:t xml:space="preserve">einer anwendungsbezogenen Teststudie, in: B. </w:t>
      </w:r>
      <w:proofErr w:type="spellStart"/>
      <w:r w:rsidRPr="00725664">
        <w:t>Ramm</w:t>
      </w:r>
      <w:r w:rsidR="00AD068A" w:rsidRPr="00725664">
        <w:t>inger</w:t>
      </w:r>
      <w:proofErr w:type="spellEnd"/>
      <w:r w:rsidR="00AD068A" w:rsidRPr="00725664">
        <w:t xml:space="preserve"> </w:t>
      </w:r>
      <w:r w:rsidRPr="00725664">
        <w:t xml:space="preserve">– O. </w:t>
      </w:r>
      <w:proofErr w:type="spellStart"/>
      <w:r w:rsidRPr="00725664">
        <w:t>Stilborg</w:t>
      </w:r>
      <w:proofErr w:type="spellEnd"/>
      <w:r w:rsidRPr="00725664">
        <w:t xml:space="preserve"> (Hrsg.), </w:t>
      </w:r>
      <w:r w:rsidR="00AD068A" w:rsidRPr="00725664">
        <w:t xml:space="preserve">Naturwissenschaftliche Analysen </w:t>
      </w:r>
      <w:r w:rsidRPr="00725664">
        <w:t>vor- und frühgesch</w:t>
      </w:r>
      <w:r w:rsidR="00AD068A" w:rsidRPr="00725664">
        <w:t xml:space="preserve">ichtlicher Keramik I. Methoden, </w:t>
      </w:r>
      <w:r w:rsidRPr="00725664">
        <w:t>Anwendungsbereiche, A</w:t>
      </w:r>
      <w:r w:rsidR="00AD068A" w:rsidRPr="00725664">
        <w:t xml:space="preserve">uswertungsmöglichkeiten. Erster </w:t>
      </w:r>
      <w:r w:rsidRPr="00725664">
        <w:t>u. zweiter internationaler Workshop</w:t>
      </w:r>
      <w:r w:rsidR="00AD068A" w:rsidRPr="00725664">
        <w:t xml:space="preserve"> für junge Wissenschaftlerinnen </w:t>
      </w:r>
      <w:r w:rsidRPr="00725664">
        <w:t>u. Wissensch</w:t>
      </w:r>
      <w:r w:rsidR="00AD068A" w:rsidRPr="00725664">
        <w:t xml:space="preserve">aftler in Hamburg am 9. </w:t>
      </w:r>
      <w:proofErr w:type="spellStart"/>
      <w:r w:rsidR="00AD068A" w:rsidRPr="00B87FA0">
        <w:rPr>
          <w:lang w:val="en-US"/>
        </w:rPr>
        <w:t>Februar</w:t>
      </w:r>
      <w:proofErr w:type="spellEnd"/>
      <w:r w:rsidR="00AD068A" w:rsidRPr="00B87FA0">
        <w:rPr>
          <w:lang w:val="en-US"/>
        </w:rPr>
        <w:t xml:space="preserve"> </w:t>
      </w:r>
      <w:r w:rsidRPr="00B87FA0">
        <w:rPr>
          <w:lang w:val="en-US"/>
        </w:rPr>
        <w:t xml:space="preserve">2008 u. 7. </w:t>
      </w:r>
      <w:proofErr w:type="spellStart"/>
      <w:r w:rsidRPr="00B87FA0">
        <w:rPr>
          <w:lang w:val="en-US"/>
        </w:rPr>
        <w:t>Februar</w:t>
      </w:r>
      <w:proofErr w:type="spellEnd"/>
      <w:r w:rsidRPr="00B87FA0">
        <w:rPr>
          <w:lang w:val="en-US"/>
        </w:rPr>
        <w:t xml:space="preserve"> 2009, UPA 176 (Bonn 2010) 11–30.</w:t>
      </w:r>
    </w:p>
    <w:p w:rsidR="008F437F" w:rsidRPr="00B87FA0" w:rsidRDefault="008F437F" w:rsidP="00B87FA0">
      <w:pPr>
        <w:spacing w:line="360" w:lineRule="auto"/>
        <w:rPr>
          <w:lang w:val="en-US"/>
        </w:rPr>
      </w:pPr>
    </w:p>
    <w:p w:rsidR="008F437F" w:rsidRPr="00725664" w:rsidRDefault="008F437F" w:rsidP="00B87FA0">
      <w:pPr>
        <w:spacing w:line="360" w:lineRule="auto"/>
        <w:rPr>
          <w:lang w:val="en-US"/>
        </w:rPr>
      </w:pPr>
      <w:r w:rsidRPr="00725664">
        <w:rPr>
          <w:lang w:val="en-US"/>
        </w:rPr>
        <w:t>Brand</w:t>
      </w:r>
      <w:r w:rsidR="004E457D" w:rsidRPr="00725664">
        <w:rPr>
          <w:lang w:val="en-US"/>
        </w:rPr>
        <w:t xml:space="preserve"> NW, </w:t>
      </w:r>
      <w:r w:rsidRPr="00725664">
        <w:rPr>
          <w:lang w:val="en-US"/>
        </w:rPr>
        <w:t xml:space="preserve">Brand </w:t>
      </w:r>
      <w:r w:rsidR="004E457D" w:rsidRPr="00725664">
        <w:rPr>
          <w:lang w:val="en-US"/>
        </w:rPr>
        <w:t xml:space="preserve">CJ. Performance comparison of portable XRF instruments: a mineral exploration industry prospective. </w:t>
      </w:r>
      <w:r w:rsidRPr="00725664">
        <w:rPr>
          <w:lang w:val="en-US"/>
        </w:rPr>
        <w:t xml:space="preserve">Advances in X-ray Analysis, </w:t>
      </w:r>
      <w:r w:rsidR="004E457D" w:rsidRPr="00725664">
        <w:rPr>
          <w:lang w:val="en-US"/>
        </w:rPr>
        <w:t xml:space="preserve">2014 </w:t>
      </w:r>
      <w:r w:rsidRPr="00725664">
        <w:rPr>
          <w:lang w:val="en-US"/>
        </w:rPr>
        <w:t>Volume 57, 236-262.</w:t>
      </w:r>
    </w:p>
    <w:p w:rsidR="00D675F2" w:rsidRPr="00B87FA0" w:rsidRDefault="00D675F2" w:rsidP="00B87FA0">
      <w:pPr>
        <w:spacing w:line="360" w:lineRule="auto"/>
        <w:rPr>
          <w:lang w:val="en-US"/>
        </w:rPr>
      </w:pPr>
    </w:p>
    <w:p w:rsidR="000B1474" w:rsidRPr="00725664" w:rsidRDefault="008F437F" w:rsidP="00B87FA0">
      <w:pPr>
        <w:spacing w:line="360" w:lineRule="auto"/>
        <w:rPr>
          <w:rFonts w:ascii="TimesNewRomanPSMT" w:hAnsi="TimesNewRomanPSMT" w:cs="TimesNewRomanPSMT"/>
          <w:lang w:val="en-US"/>
        </w:rPr>
      </w:pPr>
      <w:proofErr w:type="spellStart"/>
      <w:proofErr w:type="gramStart"/>
      <w:r w:rsidRPr="00725664">
        <w:rPr>
          <w:rFonts w:ascii="TimesNewRomanPSMT" w:hAnsi="TimesNewRomanPSMT" w:cs="TimesNewRomanPSMT"/>
          <w:lang w:val="en-US"/>
        </w:rPr>
        <w:t>CanmetMINING</w:t>
      </w:r>
      <w:proofErr w:type="spellEnd"/>
      <w:r w:rsidR="00A633BD" w:rsidRPr="00725664">
        <w:rPr>
          <w:rFonts w:ascii="TimesNewRomanPSMT" w:hAnsi="TimesNewRomanPSMT" w:cs="TimesNewRomanPSMT"/>
          <w:lang w:val="en-US"/>
        </w:rPr>
        <w:t>.</w:t>
      </w:r>
      <w:proofErr w:type="gramEnd"/>
      <w:r w:rsidR="00A633BD" w:rsidRPr="00725664">
        <w:rPr>
          <w:rFonts w:ascii="TimesNewRomanPSMT" w:hAnsi="TimesNewRomanPSMT" w:cs="TimesNewRomanPSMT"/>
          <w:lang w:val="en-US"/>
        </w:rPr>
        <w:t xml:space="preserve"> </w:t>
      </w:r>
      <w:r w:rsidRPr="00725664">
        <w:rPr>
          <w:rFonts w:ascii="TimesNewRomanPSMT" w:hAnsi="TimesNewRomanPSMT" w:cs="TimesNewRomanPSMT"/>
          <w:lang w:val="en-US"/>
        </w:rPr>
        <w:t>Certified Reference Material: Geochemical Soil and Till Reference Materials. Version: November 1995, Ottawa.</w:t>
      </w:r>
    </w:p>
    <w:p w:rsidR="000B1474" w:rsidRPr="00725664" w:rsidRDefault="000B1474" w:rsidP="00B87FA0">
      <w:pPr>
        <w:spacing w:line="360" w:lineRule="auto"/>
        <w:rPr>
          <w:rFonts w:ascii="TimesNewRomanPSMT" w:hAnsi="TimesNewRomanPSMT" w:cs="TimesNewRomanPSMT"/>
          <w:lang w:val="en-US"/>
        </w:rPr>
      </w:pPr>
    </w:p>
    <w:p w:rsidR="000B1474" w:rsidRPr="00725664" w:rsidRDefault="000B1474" w:rsidP="00B87FA0">
      <w:pPr>
        <w:spacing w:line="360" w:lineRule="auto"/>
        <w:rPr>
          <w:rFonts w:ascii="TimesNewRomanPSMT" w:hAnsi="TimesNewRomanPSMT" w:cs="TimesNewRomanPSMT"/>
          <w:lang w:val="en-US"/>
        </w:rPr>
      </w:pPr>
      <w:proofErr w:type="spellStart"/>
      <w:r w:rsidRPr="00725664">
        <w:rPr>
          <w:rFonts w:ascii="TimesNewRomanPSMT" w:hAnsi="TimesNewRomanPSMT" w:cs="TimesNewRomanPSMT"/>
          <w:lang w:val="en-US"/>
        </w:rPr>
        <w:t>Cesareo</w:t>
      </w:r>
      <w:proofErr w:type="spellEnd"/>
      <w:r w:rsidRPr="00725664">
        <w:rPr>
          <w:rFonts w:ascii="TimesNewRomanPSMT" w:hAnsi="TimesNewRomanPSMT" w:cs="TimesNewRomanPSMT"/>
          <w:lang w:val="en-US"/>
        </w:rPr>
        <w:t xml:space="preserve"> R, </w:t>
      </w:r>
      <w:proofErr w:type="spellStart"/>
      <w:r w:rsidRPr="00725664">
        <w:rPr>
          <w:rFonts w:ascii="TimesNewRomanPSMT" w:hAnsi="TimesNewRomanPSMT" w:cs="TimesNewRomanPSMT"/>
          <w:lang w:val="en-US"/>
        </w:rPr>
        <w:t>Ridolfi</w:t>
      </w:r>
      <w:proofErr w:type="spellEnd"/>
      <w:r w:rsidRPr="00725664">
        <w:rPr>
          <w:rFonts w:ascii="TimesNewRomanPSMT" w:hAnsi="TimesNewRomanPSMT" w:cs="TimesNewRomanPSMT"/>
          <w:lang w:val="en-US"/>
        </w:rPr>
        <w:t xml:space="preserve"> S, </w:t>
      </w:r>
      <w:proofErr w:type="spellStart"/>
      <w:r w:rsidRPr="00725664">
        <w:rPr>
          <w:rFonts w:ascii="TimesNewRomanPSMT" w:hAnsi="TimesNewRomanPSMT" w:cs="TimesNewRomanPSMT"/>
          <w:lang w:val="en-US"/>
        </w:rPr>
        <w:t>Marabelli</w:t>
      </w:r>
      <w:proofErr w:type="spellEnd"/>
      <w:r w:rsidRPr="00725664">
        <w:rPr>
          <w:rFonts w:ascii="TimesNewRomanPSMT" w:hAnsi="TimesNewRomanPSMT" w:cs="TimesNewRomanPSMT"/>
          <w:lang w:val="en-US"/>
        </w:rPr>
        <w:t xml:space="preserve"> M, Castellano A, </w:t>
      </w:r>
      <w:proofErr w:type="spellStart"/>
      <w:r w:rsidRPr="00725664">
        <w:rPr>
          <w:rFonts w:ascii="TimesNewRomanPSMT" w:hAnsi="TimesNewRomanPSMT" w:cs="TimesNewRomanPSMT"/>
          <w:lang w:val="en-US"/>
        </w:rPr>
        <w:t>Buccolieri</w:t>
      </w:r>
      <w:proofErr w:type="spellEnd"/>
      <w:r w:rsidRPr="00725664">
        <w:rPr>
          <w:rFonts w:ascii="TimesNewRomanPSMT" w:hAnsi="TimesNewRomanPSMT" w:cs="TimesNewRomanPSMT"/>
          <w:lang w:val="en-US"/>
        </w:rPr>
        <w:t xml:space="preserve"> G, </w:t>
      </w:r>
      <w:proofErr w:type="spellStart"/>
      <w:r w:rsidRPr="00725664">
        <w:rPr>
          <w:rFonts w:ascii="TimesNewRomanPSMT" w:hAnsi="TimesNewRomanPSMT" w:cs="TimesNewRomanPSMT"/>
          <w:lang w:val="en-US"/>
        </w:rPr>
        <w:t>Donativi</w:t>
      </w:r>
      <w:proofErr w:type="spellEnd"/>
      <w:r w:rsidRPr="00725664">
        <w:rPr>
          <w:rFonts w:ascii="TimesNewRomanPSMT" w:hAnsi="TimesNewRomanPSMT" w:cs="TimesNewRomanPSMT"/>
          <w:lang w:val="en-US"/>
        </w:rPr>
        <w:t xml:space="preserve"> M, et al. Portable systems for energy-dispersive X-ray fluorescence analysis of works of art. In: Potts PJ, West M, editors. </w:t>
      </w:r>
      <w:proofErr w:type="gramStart"/>
      <w:r w:rsidRPr="00725664">
        <w:rPr>
          <w:rFonts w:ascii="TimesNewRomanPSMT" w:hAnsi="TimesNewRomanPSMT" w:cs="TimesNewRomanPSMT"/>
          <w:lang w:val="en-US"/>
        </w:rPr>
        <w:t>Portable X-ray Fluorescence Spectrometry - Capabilities for In Situ Analysis.</w:t>
      </w:r>
      <w:proofErr w:type="gramEnd"/>
      <w:r w:rsidRPr="00725664">
        <w:rPr>
          <w:rFonts w:ascii="TimesNewRomanPSMT" w:hAnsi="TimesNewRomanPSMT" w:cs="TimesNewRomanPSMT"/>
          <w:lang w:val="en-US"/>
        </w:rPr>
        <w:t xml:space="preserve"> Cambridge: Royal Society of Chemistry; 2008; pp. 206-246.</w:t>
      </w:r>
    </w:p>
    <w:p w:rsidR="008F437F" w:rsidRPr="00B87FA0" w:rsidRDefault="008F437F" w:rsidP="00B87FA0">
      <w:pPr>
        <w:spacing w:line="360" w:lineRule="auto"/>
        <w:rPr>
          <w:lang w:val="en-US"/>
        </w:rPr>
      </w:pPr>
    </w:p>
    <w:p w:rsidR="008F437F" w:rsidRPr="00725664" w:rsidRDefault="008F437F" w:rsidP="00B87FA0">
      <w:pPr>
        <w:spacing w:line="360" w:lineRule="auto"/>
        <w:rPr>
          <w:lang w:val="en-US"/>
        </w:rPr>
      </w:pPr>
      <w:proofErr w:type="spellStart"/>
      <w:r w:rsidRPr="00725664">
        <w:rPr>
          <w:lang w:val="en-US"/>
        </w:rPr>
        <w:t>Conrey</w:t>
      </w:r>
      <w:proofErr w:type="spellEnd"/>
      <w:r w:rsidR="006455FC" w:rsidRPr="00725664">
        <w:rPr>
          <w:lang w:val="en-US"/>
        </w:rPr>
        <w:t xml:space="preserve"> RM</w:t>
      </w:r>
      <w:r w:rsidRPr="00725664">
        <w:rPr>
          <w:lang w:val="en-US"/>
        </w:rPr>
        <w:t>, Goodman-Elgar</w:t>
      </w:r>
      <w:r w:rsidR="006455FC" w:rsidRPr="00725664">
        <w:rPr>
          <w:lang w:val="en-US"/>
        </w:rPr>
        <w:t xml:space="preserve"> M</w:t>
      </w:r>
      <w:r w:rsidRPr="00725664">
        <w:rPr>
          <w:lang w:val="en-US"/>
        </w:rPr>
        <w:t>, Bettencourt</w:t>
      </w:r>
      <w:r w:rsidR="006455FC" w:rsidRPr="00725664">
        <w:rPr>
          <w:lang w:val="en-US"/>
        </w:rPr>
        <w:t xml:space="preserve"> N</w:t>
      </w:r>
      <w:r w:rsidRPr="00725664">
        <w:rPr>
          <w:lang w:val="en-US"/>
        </w:rPr>
        <w:t xml:space="preserve">, </w:t>
      </w:r>
      <w:proofErr w:type="spellStart"/>
      <w:r w:rsidRPr="00725664">
        <w:rPr>
          <w:lang w:val="en-US"/>
        </w:rPr>
        <w:t>Seyfarth</w:t>
      </w:r>
      <w:proofErr w:type="spellEnd"/>
      <w:r w:rsidR="006455FC" w:rsidRPr="00725664">
        <w:rPr>
          <w:lang w:val="en-US"/>
        </w:rPr>
        <w:t xml:space="preserve"> A,</w:t>
      </w:r>
      <w:r w:rsidRPr="00725664">
        <w:rPr>
          <w:lang w:val="en-US"/>
        </w:rPr>
        <w:t xml:space="preserve"> Van </w:t>
      </w:r>
      <w:proofErr w:type="spellStart"/>
      <w:r w:rsidRPr="00725664">
        <w:rPr>
          <w:lang w:val="en-US"/>
        </w:rPr>
        <w:t>Hoose</w:t>
      </w:r>
      <w:proofErr w:type="spellEnd"/>
      <w:r w:rsidR="006455FC" w:rsidRPr="00725664">
        <w:rPr>
          <w:lang w:val="en-US"/>
        </w:rPr>
        <w:t xml:space="preserve"> A, </w:t>
      </w:r>
      <w:r w:rsidRPr="00725664">
        <w:rPr>
          <w:lang w:val="en-US"/>
        </w:rPr>
        <w:t>Wolff</w:t>
      </w:r>
      <w:r w:rsidR="006455FC" w:rsidRPr="00725664">
        <w:rPr>
          <w:lang w:val="en-US"/>
        </w:rPr>
        <w:t xml:space="preserve"> JA.</w:t>
      </w:r>
      <w:r w:rsidRPr="00725664">
        <w:rPr>
          <w:lang w:val="en-US"/>
        </w:rPr>
        <w:t xml:space="preserve"> </w:t>
      </w:r>
      <w:proofErr w:type="gramStart"/>
      <w:r w:rsidRPr="00725664">
        <w:rPr>
          <w:lang w:val="en-US"/>
        </w:rPr>
        <w:t>Portable X-ray fluorescence spectrometer calibration for archaeological.</w:t>
      </w:r>
      <w:proofErr w:type="gramEnd"/>
      <w:r w:rsidRPr="00725664">
        <w:rPr>
          <w:lang w:val="en-US"/>
        </w:rPr>
        <w:t xml:space="preserve"> Geochemistry: Exploration, Environment, Analysis. </w:t>
      </w:r>
      <w:hyperlink r:id="rId9" w:history="1">
        <w:r w:rsidRPr="00725664">
          <w:rPr>
            <w:rStyle w:val="Hyperlink"/>
            <w:lang w:val="en-US"/>
          </w:rPr>
          <w:t>http://dx.doi.org/10.1144/geochem2013-198</w:t>
        </w:r>
      </w:hyperlink>
      <w:r w:rsidRPr="00725664">
        <w:rPr>
          <w:lang w:val="en-US"/>
        </w:rPr>
        <w:t xml:space="preserve"> Published Online First.</w:t>
      </w:r>
    </w:p>
    <w:p w:rsidR="00D665EB" w:rsidRPr="00725664" w:rsidRDefault="00D665EB"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proofErr w:type="spellStart"/>
      <w:proofErr w:type="gramStart"/>
      <w:r w:rsidRPr="00725664">
        <w:rPr>
          <w:rFonts w:ascii="TimesNewRomanPSMT" w:hAnsi="TimesNewRomanPSMT" w:cs="TimesNewRomanPSMT"/>
          <w:lang w:val="en-US"/>
        </w:rPr>
        <w:lastRenderedPageBreak/>
        <w:t>Dungworth</w:t>
      </w:r>
      <w:proofErr w:type="spellEnd"/>
      <w:r w:rsidRPr="00725664">
        <w:rPr>
          <w:rFonts w:ascii="TimesNewRomanPSMT" w:hAnsi="TimesNewRomanPSMT" w:cs="TimesNewRomanPSMT"/>
          <w:lang w:val="en-US"/>
        </w:rPr>
        <w:t xml:space="preserve">  D</w:t>
      </w:r>
      <w:proofErr w:type="gramEnd"/>
      <w:r w:rsidRPr="00725664">
        <w:rPr>
          <w:rFonts w:ascii="TimesNewRomanPSMT" w:hAnsi="TimesNewRomanPSMT" w:cs="TimesNewRomanPSMT"/>
          <w:lang w:val="en-US"/>
        </w:rPr>
        <w:t xml:space="preserve">. </w:t>
      </w:r>
      <w:proofErr w:type="spellStart"/>
      <w:r w:rsidRPr="00725664">
        <w:rPr>
          <w:rFonts w:ascii="TimesNewRomanPSMT" w:hAnsi="TimesNewRomanPSMT" w:cs="TimesNewRomanPSMT"/>
          <w:lang w:val="en-US"/>
        </w:rPr>
        <w:t>Archaeometallurgy</w:t>
      </w:r>
      <w:proofErr w:type="spellEnd"/>
      <w:r w:rsidRPr="00725664">
        <w:rPr>
          <w:rFonts w:ascii="TimesNewRomanPSMT" w:hAnsi="TimesNewRomanPSMT" w:cs="TimesNewRomanPSMT"/>
          <w:lang w:val="en-US"/>
        </w:rPr>
        <w:t xml:space="preserve">: Guidelines for Best Practice. </w:t>
      </w:r>
      <w:proofErr w:type="gramStart"/>
      <w:r w:rsidRPr="00725664">
        <w:rPr>
          <w:rFonts w:ascii="TimesNewRomanPSMT" w:hAnsi="TimesNewRomanPSMT" w:cs="TimesNewRomanPSMT"/>
          <w:lang w:val="en-US"/>
        </w:rPr>
        <w:t>Historic England, 2015.</w:t>
      </w:r>
      <w:proofErr w:type="gramEnd"/>
    </w:p>
    <w:p w:rsidR="008F437F" w:rsidRPr="00725664" w:rsidRDefault="008F437F" w:rsidP="00B87FA0">
      <w:pPr>
        <w:spacing w:line="360" w:lineRule="auto"/>
        <w:rPr>
          <w:lang w:val="en-US"/>
        </w:rPr>
      </w:pPr>
    </w:p>
    <w:p w:rsidR="008F437F" w:rsidRPr="00725664" w:rsidRDefault="00386A7A" w:rsidP="00B87FA0">
      <w:pPr>
        <w:spacing w:line="360" w:lineRule="auto"/>
        <w:rPr>
          <w:lang w:val="en-US"/>
        </w:rPr>
      </w:pPr>
      <w:proofErr w:type="spellStart"/>
      <w:proofErr w:type="gramStart"/>
      <w:r w:rsidRPr="00725664">
        <w:rPr>
          <w:lang w:val="en-US"/>
        </w:rPr>
        <w:t>Frahm</w:t>
      </w:r>
      <w:proofErr w:type="spellEnd"/>
      <w:r w:rsidR="008F437F" w:rsidRPr="00725664">
        <w:rPr>
          <w:lang w:val="en-US"/>
        </w:rPr>
        <w:t xml:space="preserve"> E. Validity of “Off-the-Shelf” Handheld Portable XRF for Sourcing Near Eastern Obsidian Chip Debris.</w:t>
      </w:r>
      <w:proofErr w:type="gramEnd"/>
      <w:r w:rsidR="008F437F" w:rsidRPr="00725664">
        <w:rPr>
          <w:lang w:val="en-US"/>
        </w:rPr>
        <w:t xml:space="preserve"> </w:t>
      </w:r>
      <w:proofErr w:type="gramStart"/>
      <w:r w:rsidR="008F437F" w:rsidRPr="00725664">
        <w:rPr>
          <w:lang w:val="en-US"/>
        </w:rPr>
        <w:t>Journal of Archaeological Science 40(2)</w:t>
      </w:r>
      <w:r w:rsidRPr="00725664">
        <w:rPr>
          <w:lang w:val="en-US"/>
        </w:rPr>
        <w:t xml:space="preserve"> 2013</w:t>
      </w:r>
      <w:r w:rsidR="008F437F" w:rsidRPr="00725664">
        <w:rPr>
          <w:lang w:val="en-US"/>
        </w:rPr>
        <w:t>:1080-1092.</w:t>
      </w:r>
      <w:proofErr w:type="gramEnd"/>
    </w:p>
    <w:p w:rsidR="008F437F" w:rsidRPr="00B87FA0" w:rsidRDefault="008F437F" w:rsidP="00B87FA0">
      <w:pPr>
        <w:spacing w:line="360" w:lineRule="auto"/>
        <w:rPr>
          <w:lang w:val="en-US"/>
        </w:rPr>
      </w:pPr>
    </w:p>
    <w:p w:rsidR="008F437F" w:rsidRPr="00725664" w:rsidRDefault="008F437F" w:rsidP="00B87FA0">
      <w:pPr>
        <w:spacing w:line="360" w:lineRule="auto"/>
        <w:rPr>
          <w:lang w:val="en-US"/>
        </w:rPr>
      </w:pPr>
      <w:proofErr w:type="spellStart"/>
      <w:r w:rsidRPr="00725664">
        <w:rPr>
          <w:lang w:val="en-US"/>
        </w:rPr>
        <w:t>Gallhofer</w:t>
      </w:r>
      <w:proofErr w:type="spellEnd"/>
      <w:r w:rsidR="00386A7A" w:rsidRPr="00725664">
        <w:rPr>
          <w:lang w:val="en-US"/>
        </w:rPr>
        <w:t xml:space="preserve"> D</w:t>
      </w:r>
      <w:r w:rsidRPr="00725664">
        <w:rPr>
          <w:lang w:val="en-US"/>
        </w:rPr>
        <w:t xml:space="preserve">, </w:t>
      </w:r>
      <w:proofErr w:type="spellStart"/>
      <w:r w:rsidRPr="00725664">
        <w:rPr>
          <w:lang w:val="en-US"/>
        </w:rPr>
        <w:t>Lottermoser</w:t>
      </w:r>
      <w:proofErr w:type="spellEnd"/>
      <w:r w:rsidR="00386A7A" w:rsidRPr="00725664">
        <w:rPr>
          <w:lang w:val="en-US"/>
        </w:rPr>
        <w:t xml:space="preserve"> BG.</w:t>
      </w:r>
      <w:r w:rsidRPr="00725664">
        <w:rPr>
          <w:lang w:val="en-US"/>
        </w:rPr>
        <w:t xml:space="preserve"> The Influence of Spectral Interferences on Critical Element Determination with Portable X-Ray Fluorescence (</w:t>
      </w:r>
      <w:proofErr w:type="spellStart"/>
      <w:r w:rsidRPr="00725664">
        <w:rPr>
          <w:lang w:val="en-US"/>
        </w:rPr>
        <w:t>pXRF</w:t>
      </w:r>
      <w:proofErr w:type="spellEnd"/>
      <w:r w:rsidRPr="00725664">
        <w:rPr>
          <w:lang w:val="en-US"/>
        </w:rPr>
        <w:t xml:space="preserve">). </w:t>
      </w:r>
      <w:r w:rsidRPr="00B87FA0">
        <w:rPr>
          <w:lang w:val="en-US"/>
        </w:rPr>
        <w:t>Minerals 2018, 8, 320; doi</w:t>
      </w:r>
      <w:proofErr w:type="gramStart"/>
      <w:r w:rsidRPr="00B87FA0">
        <w:rPr>
          <w:lang w:val="en-US"/>
        </w:rPr>
        <w:t>:10.3390</w:t>
      </w:r>
      <w:proofErr w:type="gramEnd"/>
      <w:r w:rsidRPr="00B87FA0">
        <w:rPr>
          <w:lang w:val="en-US"/>
        </w:rPr>
        <w:t xml:space="preserve">/min8080320 </w:t>
      </w:r>
      <w:hyperlink r:id="rId10" w:history="1">
        <w:r w:rsidRPr="00B87FA0">
          <w:rPr>
            <w:rStyle w:val="Hyperlink"/>
            <w:lang w:val="en-US"/>
          </w:rPr>
          <w:t>www.mdpi.com/journal/minerals</w:t>
        </w:r>
      </w:hyperlink>
      <w:r w:rsidRPr="00B87FA0">
        <w:rPr>
          <w:lang w:val="en-US"/>
        </w:rPr>
        <w:t>.</w:t>
      </w:r>
    </w:p>
    <w:p w:rsidR="000A4EFA" w:rsidRPr="00B87FA0" w:rsidRDefault="000A4EFA" w:rsidP="00B87FA0">
      <w:pPr>
        <w:spacing w:line="360" w:lineRule="auto"/>
        <w:rPr>
          <w:lang w:val="en-US"/>
        </w:rPr>
      </w:pPr>
    </w:p>
    <w:p w:rsidR="008F437F" w:rsidRPr="00725664" w:rsidRDefault="00386A7A" w:rsidP="00B87FA0">
      <w:pPr>
        <w:spacing w:line="360" w:lineRule="auto"/>
        <w:rPr>
          <w:lang w:val="en-US"/>
        </w:rPr>
      </w:pPr>
      <w:r w:rsidRPr="00725664">
        <w:rPr>
          <w:lang w:val="en-US"/>
        </w:rPr>
        <w:t>Hall G</w:t>
      </w:r>
      <w:r w:rsidR="008F437F" w:rsidRPr="00725664">
        <w:rPr>
          <w:lang w:val="en-US"/>
        </w:rPr>
        <w:t xml:space="preserve">, </w:t>
      </w:r>
      <w:proofErr w:type="spellStart"/>
      <w:r w:rsidR="008F437F" w:rsidRPr="00725664">
        <w:rPr>
          <w:lang w:val="en-US"/>
        </w:rPr>
        <w:t>Buchar</w:t>
      </w:r>
      <w:proofErr w:type="spellEnd"/>
      <w:r w:rsidR="008F437F" w:rsidRPr="00725664">
        <w:rPr>
          <w:lang w:val="en-US"/>
        </w:rPr>
        <w:t xml:space="preserve"> A, Bonham-Carter</w:t>
      </w:r>
      <w:r w:rsidRPr="00725664">
        <w:rPr>
          <w:lang w:val="en-US"/>
        </w:rPr>
        <w:t xml:space="preserve"> G</w:t>
      </w:r>
      <w:r w:rsidR="008F437F" w:rsidRPr="00725664">
        <w:rPr>
          <w:lang w:val="en-US"/>
        </w:rPr>
        <w:t xml:space="preserve">. Quality Control Assessment of Portable XRF </w:t>
      </w:r>
      <w:proofErr w:type="spellStart"/>
      <w:r w:rsidR="008F437F" w:rsidRPr="00725664">
        <w:rPr>
          <w:lang w:val="en-US"/>
        </w:rPr>
        <w:t>Analysers</w:t>
      </w:r>
      <w:proofErr w:type="spellEnd"/>
      <w:r w:rsidR="008F437F" w:rsidRPr="00725664">
        <w:rPr>
          <w:lang w:val="en-US"/>
        </w:rPr>
        <w:t xml:space="preserve">: Development of Standard Operating Procedures, Performance on Variable Media and Recommended Uses. </w:t>
      </w:r>
      <w:proofErr w:type="gramStart"/>
      <w:r w:rsidR="008F437F" w:rsidRPr="00725664">
        <w:rPr>
          <w:lang w:val="en-US"/>
        </w:rPr>
        <w:t xml:space="preserve">CAMIRO Project 10E01, Phase 1, </w:t>
      </w:r>
      <w:r w:rsidRPr="00725664">
        <w:rPr>
          <w:lang w:val="en-US"/>
        </w:rPr>
        <w:t xml:space="preserve">2012 </w:t>
      </w:r>
      <w:hyperlink r:id="rId11" w:history="1">
        <w:r w:rsidR="008F437F" w:rsidRPr="00725664">
          <w:rPr>
            <w:rStyle w:val="Hyperlink"/>
            <w:lang w:val="en-US"/>
          </w:rPr>
          <w:t>http://www.appliedgeochemists.org</w:t>
        </w:r>
      </w:hyperlink>
      <w:r w:rsidR="008F437F" w:rsidRPr="00725664">
        <w:rPr>
          <w:lang w:val="en-US"/>
        </w:rPr>
        <w:t>.</w:t>
      </w:r>
      <w:proofErr w:type="gramEnd"/>
    </w:p>
    <w:p w:rsidR="008F437F" w:rsidRPr="00B87FA0" w:rsidRDefault="008F437F" w:rsidP="00B87FA0">
      <w:pPr>
        <w:spacing w:line="360" w:lineRule="auto"/>
        <w:rPr>
          <w:lang w:val="en-US"/>
        </w:rPr>
      </w:pPr>
    </w:p>
    <w:p w:rsidR="008F437F" w:rsidRPr="00725664" w:rsidRDefault="00FD16EF" w:rsidP="00B87FA0">
      <w:pPr>
        <w:spacing w:line="360" w:lineRule="auto"/>
        <w:rPr>
          <w:lang w:val="en-US"/>
        </w:rPr>
      </w:pPr>
      <w:r w:rsidRPr="00725664">
        <w:rPr>
          <w:lang w:val="en-US"/>
        </w:rPr>
        <w:t>Hall</w:t>
      </w:r>
      <w:r w:rsidR="00386A7A" w:rsidRPr="00725664">
        <w:rPr>
          <w:lang w:val="en-US"/>
        </w:rPr>
        <w:t xml:space="preserve"> G</w:t>
      </w:r>
      <w:r w:rsidRPr="00725664">
        <w:rPr>
          <w:lang w:val="en-US"/>
        </w:rPr>
        <w:t>E</w:t>
      </w:r>
      <w:r w:rsidR="008F437F" w:rsidRPr="00725664">
        <w:rPr>
          <w:lang w:val="en-US"/>
        </w:rPr>
        <w:t>M</w:t>
      </w:r>
      <w:r w:rsidRPr="00725664">
        <w:rPr>
          <w:lang w:val="en-US"/>
        </w:rPr>
        <w:t>, Bonham-Carter GF</w:t>
      </w:r>
      <w:r w:rsidR="008F437F" w:rsidRPr="00725664">
        <w:rPr>
          <w:lang w:val="en-US"/>
        </w:rPr>
        <w:t xml:space="preserve">, </w:t>
      </w:r>
      <w:proofErr w:type="spellStart"/>
      <w:r w:rsidRPr="00725664">
        <w:rPr>
          <w:lang w:val="en-US"/>
        </w:rPr>
        <w:t>Buchar</w:t>
      </w:r>
      <w:proofErr w:type="spellEnd"/>
      <w:r w:rsidRPr="00725664">
        <w:rPr>
          <w:lang w:val="en-US"/>
        </w:rPr>
        <w:t xml:space="preserve"> A.</w:t>
      </w:r>
      <w:r w:rsidR="008F437F" w:rsidRPr="00725664">
        <w:rPr>
          <w:lang w:val="en-US"/>
        </w:rPr>
        <w:t xml:space="preserve"> Evaluation of portable X-ray fluorescence (</w:t>
      </w:r>
      <w:proofErr w:type="spellStart"/>
      <w:r w:rsidR="008F437F" w:rsidRPr="00725664">
        <w:rPr>
          <w:lang w:val="en-US"/>
        </w:rPr>
        <w:t>pXRF</w:t>
      </w:r>
      <w:proofErr w:type="spellEnd"/>
      <w:r w:rsidR="008F437F" w:rsidRPr="00725664">
        <w:rPr>
          <w:lang w:val="en-US"/>
        </w:rPr>
        <w:t>) in exploration and mining: Phase 1, control reference materials. Geochemistry: Exploration, Environment, Analysis, Vol. 14, 2014, pp. 99–123.</w:t>
      </w:r>
    </w:p>
    <w:p w:rsidR="00FD16EF" w:rsidRPr="00B87FA0" w:rsidRDefault="00FD16EF" w:rsidP="00B87FA0">
      <w:pPr>
        <w:spacing w:line="360" w:lineRule="auto"/>
        <w:rPr>
          <w:lang w:val="en-US"/>
        </w:rPr>
      </w:pPr>
    </w:p>
    <w:p w:rsidR="006F35FC" w:rsidRPr="00725664" w:rsidRDefault="006F35FC" w:rsidP="00B87FA0">
      <w:pPr>
        <w:spacing w:line="360" w:lineRule="auto"/>
      </w:pPr>
      <w:proofErr w:type="spellStart"/>
      <w:r w:rsidRPr="00B87FA0">
        <w:rPr>
          <w:lang w:val="en-US"/>
        </w:rPr>
        <w:t>Helfert</w:t>
      </w:r>
      <w:proofErr w:type="spellEnd"/>
      <w:r w:rsidR="00FD16EF" w:rsidRPr="00B87FA0">
        <w:rPr>
          <w:lang w:val="en-US"/>
        </w:rPr>
        <w:t xml:space="preserve"> M.</w:t>
      </w:r>
      <w:r w:rsidRPr="00B87FA0">
        <w:rPr>
          <w:lang w:val="en-US"/>
        </w:rPr>
        <w:t xml:space="preserve"> From a Pile of</w:t>
      </w:r>
      <w:r w:rsidR="00AD068A" w:rsidRPr="00B87FA0">
        <w:rPr>
          <w:lang w:val="en-US"/>
        </w:rPr>
        <w:t xml:space="preserve"> Potsherds to the Data Mountain </w:t>
      </w:r>
      <w:r w:rsidRPr="00B87FA0">
        <w:rPr>
          <w:lang w:val="en-US"/>
        </w:rPr>
        <w:t>– Archaeological and</w:t>
      </w:r>
      <w:r w:rsidR="00AD068A" w:rsidRPr="00B87FA0">
        <w:rPr>
          <w:lang w:val="en-US"/>
        </w:rPr>
        <w:t xml:space="preserve"> Geochemical Studies on Ceramic </w:t>
      </w:r>
      <w:r w:rsidRPr="00B87FA0">
        <w:rPr>
          <w:lang w:val="en-US"/>
        </w:rPr>
        <w:t>Production in the R</w:t>
      </w:r>
      <w:r w:rsidR="00AD068A" w:rsidRPr="00B87FA0">
        <w:rPr>
          <w:lang w:val="en-US"/>
        </w:rPr>
        <w:t xml:space="preserve">oman </w:t>
      </w:r>
      <w:proofErr w:type="spellStart"/>
      <w:r w:rsidR="00AD068A" w:rsidRPr="00B87FA0">
        <w:rPr>
          <w:lang w:val="en-US"/>
        </w:rPr>
        <w:t>Kastellvicus</w:t>
      </w:r>
      <w:proofErr w:type="spellEnd"/>
      <w:r w:rsidR="00AD068A" w:rsidRPr="00B87FA0">
        <w:rPr>
          <w:lang w:val="en-US"/>
        </w:rPr>
        <w:t xml:space="preserve"> of </w:t>
      </w:r>
      <w:proofErr w:type="spellStart"/>
      <w:r w:rsidR="00AD068A" w:rsidRPr="00B87FA0">
        <w:rPr>
          <w:lang w:val="en-US"/>
        </w:rPr>
        <w:t>Groß-Gerau</w:t>
      </w:r>
      <w:proofErr w:type="spellEnd"/>
      <w:r w:rsidR="00AD068A" w:rsidRPr="00B87FA0">
        <w:rPr>
          <w:lang w:val="en-US"/>
        </w:rPr>
        <w:t xml:space="preserve"> </w:t>
      </w:r>
      <w:r w:rsidRPr="00B87FA0">
        <w:rPr>
          <w:lang w:val="en-US"/>
        </w:rPr>
        <w:t xml:space="preserve">"Auf </w:t>
      </w:r>
      <w:proofErr w:type="spellStart"/>
      <w:r w:rsidRPr="00B87FA0">
        <w:rPr>
          <w:lang w:val="en-US"/>
        </w:rPr>
        <w:t>Esch</w:t>
      </w:r>
      <w:proofErr w:type="spellEnd"/>
      <w:r w:rsidRPr="00B87FA0">
        <w:rPr>
          <w:lang w:val="en-US"/>
        </w:rPr>
        <w:t xml:space="preserve">", in: B. Ramminger – O. </w:t>
      </w:r>
      <w:proofErr w:type="spellStart"/>
      <w:r w:rsidRPr="00B87FA0">
        <w:rPr>
          <w:lang w:val="en-US"/>
        </w:rPr>
        <w:t>Stilborg</w:t>
      </w:r>
      <w:proofErr w:type="spellEnd"/>
      <w:r w:rsidRPr="00B87FA0">
        <w:rPr>
          <w:lang w:val="en-US"/>
        </w:rPr>
        <w:t xml:space="preserve"> (</w:t>
      </w:r>
      <w:proofErr w:type="spellStart"/>
      <w:r w:rsidRPr="00B87FA0">
        <w:rPr>
          <w:lang w:val="en-US"/>
        </w:rPr>
        <w:t>Hrsg</w:t>
      </w:r>
      <w:proofErr w:type="spellEnd"/>
      <w:r w:rsidRPr="00B87FA0">
        <w:rPr>
          <w:lang w:val="en-US"/>
        </w:rPr>
        <w:t>.)</w:t>
      </w:r>
      <w:r w:rsidR="00AD068A" w:rsidRPr="00B87FA0">
        <w:rPr>
          <w:lang w:val="en-US"/>
        </w:rPr>
        <w:t xml:space="preserve">, </w:t>
      </w:r>
      <w:proofErr w:type="spellStart"/>
      <w:r w:rsidRPr="00B87FA0">
        <w:rPr>
          <w:lang w:val="en-US"/>
        </w:rPr>
        <w:t>Naturwissenschaftliche</w:t>
      </w:r>
      <w:proofErr w:type="spellEnd"/>
      <w:r w:rsidRPr="00B87FA0">
        <w:rPr>
          <w:lang w:val="en-US"/>
        </w:rPr>
        <w:t xml:space="preserve"> </w:t>
      </w:r>
      <w:proofErr w:type="spellStart"/>
      <w:r w:rsidRPr="00B87FA0">
        <w:rPr>
          <w:lang w:val="en-US"/>
        </w:rPr>
        <w:t>Analys</w:t>
      </w:r>
      <w:r w:rsidR="008F437F" w:rsidRPr="00B87FA0">
        <w:rPr>
          <w:lang w:val="en-US"/>
        </w:rPr>
        <w:t>en</w:t>
      </w:r>
      <w:proofErr w:type="spellEnd"/>
      <w:r w:rsidR="008F437F" w:rsidRPr="00B87FA0">
        <w:rPr>
          <w:lang w:val="en-US"/>
        </w:rPr>
        <w:t xml:space="preserve"> </w:t>
      </w:r>
      <w:proofErr w:type="spellStart"/>
      <w:r w:rsidR="008F437F" w:rsidRPr="00B87FA0">
        <w:rPr>
          <w:lang w:val="en-US"/>
        </w:rPr>
        <w:t>vor</w:t>
      </w:r>
      <w:proofErr w:type="spellEnd"/>
      <w:r w:rsidR="008F437F" w:rsidRPr="00B87FA0">
        <w:rPr>
          <w:lang w:val="en-US"/>
        </w:rPr>
        <w:t xml:space="preserve">- und </w:t>
      </w:r>
      <w:proofErr w:type="spellStart"/>
      <w:r w:rsidR="00AD068A" w:rsidRPr="00B87FA0">
        <w:rPr>
          <w:lang w:val="en-US"/>
        </w:rPr>
        <w:t>frühgeschichtlicher</w:t>
      </w:r>
      <w:proofErr w:type="spellEnd"/>
      <w:r w:rsidR="00AD068A" w:rsidRPr="00B87FA0">
        <w:rPr>
          <w:lang w:val="en-US"/>
        </w:rPr>
        <w:t xml:space="preserve"> </w:t>
      </w:r>
      <w:proofErr w:type="spellStart"/>
      <w:r w:rsidRPr="00B87FA0">
        <w:rPr>
          <w:lang w:val="en-US"/>
        </w:rPr>
        <w:t>Keramik</w:t>
      </w:r>
      <w:proofErr w:type="spellEnd"/>
      <w:r w:rsidRPr="00B87FA0">
        <w:rPr>
          <w:lang w:val="en-US"/>
        </w:rPr>
        <w:t xml:space="preserve"> I</w:t>
      </w:r>
      <w:r w:rsidR="00AD068A" w:rsidRPr="00B87FA0">
        <w:rPr>
          <w:lang w:val="en-US"/>
        </w:rPr>
        <w:t xml:space="preserve">. </w:t>
      </w:r>
      <w:proofErr w:type="spellStart"/>
      <w:r w:rsidR="00AD068A" w:rsidRPr="00B87FA0">
        <w:rPr>
          <w:lang w:val="en-US"/>
        </w:rPr>
        <w:t>Methoden</w:t>
      </w:r>
      <w:proofErr w:type="spellEnd"/>
      <w:r w:rsidR="00AD068A" w:rsidRPr="00B87FA0">
        <w:rPr>
          <w:lang w:val="en-US"/>
        </w:rPr>
        <w:t xml:space="preserve">, </w:t>
      </w:r>
      <w:proofErr w:type="spellStart"/>
      <w:r w:rsidR="00AD068A" w:rsidRPr="00B87FA0">
        <w:rPr>
          <w:lang w:val="en-US"/>
        </w:rPr>
        <w:t>Anwendungsbereiche</w:t>
      </w:r>
      <w:proofErr w:type="spellEnd"/>
      <w:r w:rsidR="00AD068A" w:rsidRPr="00B87FA0">
        <w:rPr>
          <w:lang w:val="en-US"/>
        </w:rPr>
        <w:t xml:space="preserve">, </w:t>
      </w:r>
      <w:proofErr w:type="spellStart"/>
      <w:r w:rsidRPr="00B87FA0">
        <w:rPr>
          <w:lang w:val="en-US"/>
        </w:rPr>
        <w:t>Auswertungsmöglichkeiten</w:t>
      </w:r>
      <w:proofErr w:type="spellEnd"/>
      <w:r w:rsidRPr="00B87FA0">
        <w:rPr>
          <w:lang w:val="en-US"/>
        </w:rPr>
        <w:t xml:space="preserve">. </w:t>
      </w:r>
      <w:r w:rsidRPr="00725664">
        <w:t>Er</w:t>
      </w:r>
      <w:r w:rsidR="00AD068A" w:rsidRPr="00725664">
        <w:t xml:space="preserve">ster u. zweiter internationaler </w:t>
      </w:r>
      <w:r w:rsidRPr="00725664">
        <w:t>Workshop für junge Wissensc</w:t>
      </w:r>
      <w:r w:rsidR="00AD068A" w:rsidRPr="00725664">
        <w:t xml:space="preserve">haftlerinnen u. Wissenschaftler </w:t>
      </w:r>
      <w:r w:rsidRPr="00725664">
        <w:t>in Hamburg a</w:t>
      </w:r>
      <w:r w:rsidR="00AD068A" w:rsidRPr="00725664">
        <w:t xml:space="preserve">m 9. Februar 2008 u. 7. Februar </w:t>
      </w:r>
      <w:r w:rsidRPr="00725664">
        <w:t>2009, UPA 176 (Bonn 2010) 123–135.</w:t>
      </w:r>
    </w:p>
    <w:p w:rsidR="006F35FC" w:rsidRPr="00725664" w:rsidRDefault="006F35FC" w:rsidP="00B87FA0">
      <w:pPr>
        <w:spacing w:line="360" w:lineRule="auto"/>
      </w:pPr>
    </w:p>
    <w:p w:rsidR="006F35FC" w:rsidRPr="00725664" w:rsidRDefault="00217645" w:rsidP="00B87FA0">
      <w:pPr>
        <w:spacing w:line="360" w:lineRule="auto"/>
      </w:pPr>
      <w:r w:rsidRPr="00725664">
        <w:t>Helfert</w:t>
      </w:r>
      <w:r w:rsidR="00FD16EF" w:rsidRPr="00725664">
        <w:t xml:space="preserve"> M.</w:t>
      </w:r>
      <w:r w:rsidRPr="00725664">
        <w:t xml:space="preserve"> Die portable </w:t>
      </w:r>
      <w:proofErr w:type="spellStart"/>
      <w:r w:rsidRPr="00725664">
        <w:t>energiedispe</w:t>
      </w:r>
      <w:r w:rsidR="00AD068A" w:rsidRPr="00725664">
        <w:t>rsive</w:t>
      </w:r>
      <w:proofErr w:type="spellEnd"/>
      <w:r w:rsidR="00AD068A" w:rsidRPr="00725664">
        <w:t xml:space="preserve"> Röntgenfluoreszenzanalyse </w:t>
      </w:r>
      <w:r w:rsidRPr="00725664">
        <w:t>(P-EDRF</w:t>
      </w:r>
      <w:r w:rsidR="00AD068A" w:rsidRPr="00725664">
        <w:t xml:space="preserve">A) – Studie zu methodischen und </w:t>
      </w:r>
      <w:r w:rsidRPr="00725664">
        <w:t>analytischen Grundlagen ihrer A</w:t>
      </w:r>
      <w:r w:rsidR="00AD068A" w:rsidRPr="00725664">
        <w:t xml:space="preserve">nwendung in der archäologischen </w:t>
      </w:r>
      <w:r w:rsidRPr="00725664">
        <w:t xml:space="preserve">Keramikforschung, </w:t>
      </w:r>
      <w:r w:rsidR="00AD068A" w:rsidRPr="00725664">
        <w:t xml:space="preserve">in: B. </w:t>
      </w:r>
      <w:proofErr w:type="spellStart"/>
      <w:r w:rsidR="00AD068A" w:rsidRPr="00725664">
        <w:t>Ramminger</w:t>
      </w:r>
      <w:proofErr w:type="spellEnd"/>
      <w:r w:rsidR="00AD068A" w:rsidRPr="00725664">
        <w:t xml:space="preserve"> – O. </w:t>
      </w:r>
      <w:proofErr w:type="spellStart"/>
      <w:r w:rsidR="00AD068A" w:rsidRPr="00725664">
        <w:t>Stilborg</w:t>
      </w:r>
      <w:proofErr w:type="spellEnd"/>
      <w:r w:rsidR="00AD068A" w:rsidRPr="00725664">
        <w:t xml:space="preserve">, </w:t>
      </w:r>
      <w:r w:rsidRPr="00725664">
        <w:t xml:space="preserve">M. Helfert (Hrsg.), </w:t>
      </w:r>
      <w:r w:rsidRPr="00725664">
        <w:lastRenderedPageBreak/>
        <w:t>Naturwissenschaftliche Ana</w:t>
      </w:r>
      <w:r w:rsidR="00AD068A" w:rsidRPr="00725664">
        <w:t xml:space="preserve">lysen </w:t>
      </w:r>
      <w:r w:rsidRPr="00725664">
        <w:t>vor- und frühgeschic</w:t>
      </w:r>
      <w:r w:rsidR="00AD068A" w:rsidRPr="00725664">
        <w:t xml:space="preserve">htlicher Keramik III. Methoden, </w:t>
      </w:r>
      <w:r w:rsidRPr="00725664">
        <w:t>Anwendungsbereiche</w:t>
      </w:r>
      <w:r w:rsidR="00AD068A" w:rsidRPr="00725664">
        <w:t xml:space="preserve">, Auswertungsmöglichkeiten, UPA </w:t>
      </w:r>
      <w:r w:rsidRPr="00725664">
        <w:t>238 (Bonn 2013) 15–47.</w:t>
      </w:r>
    </w:p>
    <w:p w:rsidR="006F35FC" w:rsidRPr="00725664" w:rsidRDefault="006F35FC" w:rsidP="00B87FA0">
      <w:pPr>
        <w:spacing w:line="360" w:lineRule="auto"/>
      </w:pPr>
    </w:p>
    <w:p w:rsidR="00CF3D42" w:rsidRPr="00725664" w:rsidRDefault="00CF3D42" w:rsidP="00B87FA0">
      <w:pPr>
        <w:spacing w:line="360" w:lineRule="auto"/>
        <w:rPr>
          <w:lang w:val="en-US"/>
        </w:rPr>
      </w:pPr>
      <w:proofErr w:type="spellStart"/>
      <w:r w:rsidRPr="00B87FA0">
        <w:t>Hunt</w:t>
      </w:r>
      <w:proofErr w:type="spellEnd"/>
      <w:r w:rsidR="00FD16EF" w:rsidRPr="00B87FA0">
        <w:t xml:space="preserve"> AMW</w:t>
      </w:r>
      <w:r w:rsidRPr="00B87FA0">
        <w:t xml:space="preserve">, </w:t>
      </w:r>
      <w:proofErr w:type="spellStart"/>
      <w:r w:rsidRPr="00B87FA0">
        <w:t>Speakman</w:t>
      </w:r>
      <w:proofErr w:type="spellEnd"/>
      <w:r w:rsidR="00FD16EF" w:rsidRPr="00B87FA0">
        <w:t xml:space="preserve"> RJ.</w:t>
      </w:r>
      <w:r w:rsidRPr="00B87FA0">
        <w:t xml:space="preserve"> Portable XRF </w:t>
      </w:r>
      <w:proofErr w:type="spellStart"/>
      <w:r w:rsidRPr="00B87FA0">
        <w:t>analysis</w:t>
      </w:r>
      <w:proofErr w:type="spellEnd"/>
      <w:r w:rsidRPr="00B87FA0">
        <w:t xml:space="preserve"> </w:t>
      </w:r>
      <w:proofErr w:type="spellStart"/>
      <w:r w:rsidRPr="00B87FA0">
        <w:t>of</w:t>
      </w:r>
      <w:proofErr w:type="spellEnd"/>
      <w:r w:rsidRPr="00B87FA0">
        <w:t xml:space="preserve"> </w:t>
      </w:r>
      <w:proofErr w:type="spellStart"/>
      <w:r w:rsidRPr="00B87FA0">
        <w:t>archaeological</w:t>
      </w:r>
      <w:proofErr w:type="spellEnd"/>
      <w:r w:rsidRPr="00B87FA0">
        <w:t xml:space="preserve"> </w:t>
      </w:r>
      <w:proofErr w:type="spellStart"/>
      <w:r w:rsidRPr="00B87FA0">
        <w:t>sediments</w:t>
      </w:r>
      <w:proofErr w:type="spellEnd"/>
      <w:r w:rsidRPr="00B87FA0">
        <w:t xml:space="preserve"> </w:t>
      </w:r>
      <w:proofErr w:type="spellStart"/>
      <w:r w:rsidRPr="00B87FA0">
        <w:t>and</w:t>
      </w:r>
      <w:proofErr w:type="spellEnd"/>
      <w:r w:rsidRPr="00B87FA0">
        <w:t xml:space="preserve"> </w:t>
      </w:r>
      <w:proofErr w:type="spellStart"/>
      <w:r w:rsidRPr="00B87FA0">
        <w:t>ceramics</w:t>
      </w:r>
      <w:proofErr w:type="spellEnd"/>
      <w:r w:rsidRPr="00B87FA0">
        <w:t xml:space="preserve">. </w:t>
      </w:r>
      <w:r w:rsidRPr="00725664">
        <w:rPr>
          <w:lang w:val="en-US"/>
        </w:rPr>
        <w:t>Journal of Archaeological Science 53 (2015) 1-13.</w:t>
      </w:r>
    </w:p>
    <w:p w:rsidR="003151C8" w:rsidRPr="00725664" w:rsidRDefault="003151C8" w:rsidP="00B87FA0">
      <w:pPr>
        <w:spacing w:line="360" w:lineRule="auto"/>
        <w:rPr>
          <w:lang w:val="en-US"/>
        </w:rPr>
      </w:pPr>
    </w:p>
    <w:p w:rsidR="008F437F" w:rsidRPr="00725664" w:rsidRDefault="008F437F" w:rsidP="00B87FA0">
      <w:pPr>
        <w:spacing w:line="360" w:lineRule="auto"/>
        <w:rPr>
          <w:lang w:val="en-US"/>
        </w:rPr>
      </w:pPr>
      <w:r w:rsidRPr="00725664">
        <w:rPr>
          <w:lang w:val="en-US"/>
        </w:rPr>
        <w:t>Kenna</w:t>
      </w:r>
      <w:r w:rsidR="003151C8" w:rsidRPr="00725664">
        <w:rPr>
          <w:lang w:val="en-US"/>
        </w:rPr>
        <w:t xml:space="preserve"> TC, </w:t>
      </w:r>
      <w:proofErr w:type="spellStart"/>
      <w:r w:rsidRPr="00725664">
        <w:rPr>
          <w:lang w:val="en-US"/>
        </w:rPr>
        <w:t>Nitsche</w:t>
      </w:r>
      <w:proofErr w:type="spellEnd"/>
      <w:r w:rsidR="003151C8" w:rsidRPr="00725664">
        <w:rPr>
          <w:lang w:val="en-US"/>
        </w:rPr>
        <w:t xml:space="preserve"> FO</w:t>
      </w:r>
      <w:r w:rsidRPr="00725664">
        <w:rPr>
          <w:lang w:val="en-US"/>
        </w:rPr>
        <w:t>, Herron</w:t>
      </w:r>
      <w:r w:rsidR="003151C8" w:rsidRPr="00725664">
        <w:rPr>
          <w:lang w:val="en-US"/>
        </w:rPr>
        <w:t xml:space="preserve"> </w:t>
      </w:r>
      <w:proofErr w:type="spellStart"/>
      <w:r w:rsidR="003151C8" w:rsidRPr="00725664">
        <w:rPr>
          <w:lang w:val="en-US"/>
        </w:rPr>
        <w:t>MM</w:t>
      </w:r>
      <w:r w:rsidRPr="00725664">
        <w:rPr>
          <w:lang w:val="en-US"/>
        </w:rPr>
        <w:t>,Mailloux</w:t>
      </w:r>
      <w:proofErr w:type="spellEnd"/>
      <w:r w:rsidR="003151C8" w:rsidRPr="00725664">
        <w:rPr>
          <w:lang w:val="en-US"/>
        </w:rPr>
        <w:t xml:space="preserve"> BJ,</w:t>
      </w:r>
      <w:r w:rsidRPr="00725664">
        <w:rPr>
          <w:lang w:val="en-US"/>
        </w:rPr>
        <w:t xml:space="preserve"> </w:t>
      </w:r>
      <w:proofErr w:type="spellStart"/>
      <w:r w:rsidRPr="00725664">
        <w:rPr>
          <w:lang w:val="en-US"/>
        </w:rPr>
        <w:t>Peteet</w:t>
      </w:r>
      <w:proofErr w:type="spellEnd"/>
      <w:r w:rsidR="003151C8" w:rsidRPr="00725664">
        <w:rPr>
          <w:lang w:val="en-US"/>
        </w:rPr>
        <w:t xml:space="preserve"> D</w:t>
      </w:r>
      <w:r w:rsidRPr="00725664">
        <w:rPr>
          <w:lang w:val="en-US"/>
        </w:rPr>
        <w:t xml:space="preserve">, </w:t>
      </w:r>
      <w:proofErr w:type="spellStart"/>
      <w:r w:rsidRPr="00725664">
        <w:rPr>
          <w:lang w:val="en-US"/>
        </w:rPr>
        <w:t>Sritrairat</w:t>
      </w:r>
      <w:proofErr w:type="spellEnd"/>
      <w:r w:rsidR="003151C8" w:rsidRPr="00725664">
        <w:rPr>
          <w:lang w:val="en-US"/>
        </w:rPr>
        <w:t xml:space="preserve"> S</w:t>
      </w:r>
      <w:r w:rsidRPr="00725664">
        <w:rPr>
          <w:lang w:val="en-US"/>
        </w:rPr>
        <w:t>, Sands</w:t>
      </w:r>
      <w:r w:rsidR="003151C8" w:rsidRPr="00725664">
        <w:rPr>
          <w:lang w:val="en-US"/>
        </w:rPr>
        <w:t xml:space="preserve"> E, </w:t>
      </w:r>
      <w:proofErr w:type="spellStart"/>
      <w:r w:rsidRPr="00725664">
        <w:rPr>
          <w:lang w:val="en-US"/>
        </w:rPr>
        <w:t>Baumgarten</w:t>
      </w:r>
      <w:proofErr w:type="spellEnd"/>
      <w:r w:rsidR="003151C8" w:rsidRPr="00725664">
        <w:rPr>
          <w:lang w:val="en-US"/>
        </w:rPr>
        <w:t xml:space="preserve"> J.</w:t>
      </w:r>
      <w:r w:rsidRPr="00725664">
        <w:rPr>
          <w:lang w:val="en-US"/>
        </w:rPr>
        <w:t xml:space="preserve"> Evaluation and calibration of a Field Portable X-Ray Fluorescence spectrometer for quantitative analysis of siliciclastic soils and sediments. J. Anal. </w:t>
      </w:r>
      <w:proofErr w:type="gramStart"/>
      <w:r w:rsidRPr="00725664">
        <w:rPr>
          <w:lang w:val="en-US"/>
        </w:rPr>
        <w:t>At.</w:t>
      </w:r>
      <w:proofErr w:type="gramEnd"/>
      <w:r w:rsidRPr="00725664">
        <w:rPr>
          <w:lang w:val="en-US"/>
        </w:rPr>
        <w:t xml:space="preserve"> </w:t>
      </w:r>
      <w:proofErr w:type="spellStart"/>
      <w:proofErr w:type="gramStart"/>
      <w:r w:rsidRPr="00725664">
        <w:rPr>
          <w:lang w:val="en-US"/>
        </w:rPr>
        <w:t>Spectrom</w:t>
      </w:r>
      <w:proofErr w:type="spellEnd"/>
      <w:r w:rsidRPr="00725664">
        <w:rPr>
          <w:lang w:val="en-US"/>
        </w:rPr>
        <w:t>.,</w:t>
      </w:r>
      <w:proofErr w:type="gramEnd"/>
      <w:r w:rsidRPr="00725664">
        <w:rPr>
          <w:lang w:val="en-US"/>
        </w:rPr>
        <w:t xml:space="preserve"> 2011, 26, 395–405.</w:t>
      </w:r>
    </w:p>
    <w:p w:rsidR="000B1474" w:rsidRPr="00725664" w:rsidRDefault="000B1474" w:rsidP="00B87FA0">
      <w:pPr>
        <w:spacing w:line="360" w:lineRule="auto"/>
        <w:rPr>
          <w:lang w:val="en-US"/>
        </w:rPr>
      </w:pPr>
    </w:p>
    <w:p w:rsidR="000B1474" w:rsidRPr="00725664" w:rsidRDefault="000B1474"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t xml:space="preserve">Lutz J, </w:t>
      </w:r>
      <w:proofErr w:type="spellStart"/>
      <w:r w:rsidRPr="00725664">
        <w:rPr>
          <w:rFonts w:ascii="TimesNewRomanPSMT" w:hAnsi="TimesNewRomanPSMT" w:cs="TimesNewRomanPSMT"/>
          <w:lang w:val="en-US"/>
        </w:rPr>
        <w:t>Pernicka</w:t>
      </w:r>
      <w:proofErr w:type="spellEnd"/>
      <w:r w:rsidRPr="00725664">
        <w:rPr>
          <w:rFonts w:ascii="TimesNewRomanPSMT" w:hAnsi="TimesNewRomanPSMT" w:cs="TimesNewRomanPSMT"/>
          <w:lang w:val="en-US"/>
        </w:rPr>
        <w:t xml:space="preserve"> E. Energy dispersive X-ray fluorescence analysis of ancient copper alloys: empirical values for precision and accuracy. </w:t>
      </w:r>
      <w:proofErr w:type="spellStart"/>
      <w:proofErr w:type="gramStart"/>
      <w:r w:rsidRPr="00725664">
        <w:rPr>
          <w:rFonts w:ascii="TimesNewRomanPSMT" w:hAnsi="TimesNewRomanPSMT" w:cs="TimesNewRomanPSMT"/>
          <w:lang w:val="en-US"/>
        </w:rPr>
        <w:t>Archaeometry</w:t>
      </w:r>
      <w:proofErr w:type="spellEnd"/>
      <w:r w:rsidRPr="00725664">
        <w:rPr>
          <w:rFonts w:ascii="TimesNewRomanPSMT" w:hAnsi="TimesNewRomanPSMT" w:cs="TimesNewRomanPSMT"/>
          <w:lang w:val="en-US"/>
        </w:rPr>
        <w:t>.</w:t>
      </w:r>
      <w:proofErr w:type="gramEnd"/>
      <w:r w:rsidRPr="00725664">
        <w:rPr>
          <w:rFonts w:ascii="TimesNewRomanPSMT" w:hAnsi="TimesNewRomanPSMT" w:cs="TimesNewRomanPSMT"/>
          <w:lang w:val="en-US"/>
        </w:rPr>
        <w:t xml:space="preserve"> 1996</w:t>
      </w:r>
      <w:proofErr w:type="gramStart"/>
      <w:r w:rsidRPr="00725664">
        <w:rPr>
          <w:rFonts w:ascii="TimesNewRomanPSMT" w:hAnsi="TimesNewRomanPSMT" w:cs="TimesNewRomanPSMT"/>
          <w:lang w:val="en-US"/>
        </w:rPr>
        <w:t>;38,2</w:t>
      </w:r>
      <w:proofErr w:type="gramEnd"/>
      <w:r w:rsidRPr="00725664">
        <w:rPr>
          <w:rFonts w:ascii="TimesNewRomanPSMT" w:hAnsi="TimesNewRomanPSMT" w:cs="TimesNewRomanPSMT"/>
          <w:lang w:val="en-US"/>
        </w:rPr>
        <w:t>: 313-323.</w:t>
      </w:r>
    </w:p>
    <w:p w:rsidR="00D665EB" w:rsidRPr="00725664" w:rsidRDefault="00D665EB"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proofErr w:type="spellStart"/>
      <w:r w:rsidRPr="00725664">
        <w:rPr>
          <w:rFonts w:ascii="TimesNewRomanPSMT" w:hAnsi="TimesNewRomanPSMT" w:cs="TimesNewRomanPSMT"/>
          <w:lang w:val="en-US"/>
        </w:rPr>
        <w:t>Orfanou</w:t>
      </w:r>
      <w:proofErr w:type="spellEnd"/>
      <w:r w:rsidRPr="00725664">
        <w:rPr>
          <w:rFonts w:ascii="TimesNewRomanPSMT" w:hAnsi="TimesNewRomanPSMT" w:cs="TimesNewRomanPSMT"/>
          <w:lang w:val="en-US"/>
        </w:rPr>
        <w:t xml:space="preserve"> V, </w:t>
      </w:r>
      <w:proofErr w:type="spellStart"/>
      <w:r w:rsidRPr="00725664">
        <w:rPr>
          <w:rFonts w:ascii="TimesNewRomanPSMT" w:hAnsi="TimesNewRomanPSMT" w:cs="TimesNewRomanPSMT"/>
          <w:lang w:val="en-US"/>
        </w:rPr>
        <w:t>Rehren</w:t>
      </w:r>
      <w:proofErr w:type="spellEnd"/>
      <w:r w:rsidRPr="00725664">
        <w:rPr>
          <w:rFonts w:ascii="TimesNewRomanPSMT" w:hAnsi="TimesNewRomanPSMT" w:cs="TimesNewRomanPSMT"/>
          <w:lang w:val="en-US"/>
        </w:rPr>
        <w:t xml:space="preserve"> T. A (not so) dangerous method: </w:t>
      </w:r>
      <w:proofErr w:type="spellStart"/>
      <w:r w:rsidRPr="00725664">
        <w:rPr>
          <w:rFonts w:ascii="TimesNewRomanPSMT" w:hAnsi="TimesNewRomanPSMT" w:cs="TimesNewRomanPSMT"/>
          <w:lang w:val="en-US"/>
        </w:rPr>
        <w:t>pXRF</w:t>
      </w:r>
      <w:proofErr w:type="spellEnd"/>
      <w:r w:rsidRPr="00725664">
        <w:rPr>
          <w:rFonts w:ascii="TimesNewRomanPSMT" w:hAnsi="TimesNewRomanPSMT" w:cs="TimesNewRomanPSMT"/>
          <w:lang w:val="en-US"/>
        </w:rPr>
        <w:t xml:space="preserve"> vs. EPMA-WDS analyses of copper-based artefacts. </w:t>
      </w:r>
      <w:proofErr w:type="spellStart"/>
      <w:proofErr w:type="gramStart"/>
      <w:r w:rsidRPr="00725664">
        <w:rPr>
          <w:rFonts w:ascii="TimesNewRomanPSMT" w:hAnsi="TimesNewRomanPSMT" w:cs="TimesNewRomanPSMT"/>
          <w:lang w:val="en-US"/>
        </w:rPr>
        <w:t>Archaeol</w:t>
      </w:r>
      <w:proofErr w:type="spellEnd"/>
      <w:r w:rsidRPr="00725664">
        <w:rPr>
          <w:rFonts w:ascii="TimesNewRomanPSMT" w:hAnsi="TimesNewRomanPSMT" w:cs="TimesNewRomanPSMT"/>
          <w:lang w:val="en-US"/>
        </w:rPr>
        <w:t>.</w:t>
      </w:r>
      <w:proofErr w:type="gramEnd"/>
      <w:r w:rsidRPr="00725664">
        <w:rPr>
          <w:rFonts w:ascii="TimesNewRomanPSMT" w:hAnsi="TimesNewRomanPSMT" w:cs="TimesNewRomanPSMT"/>
          <w:lang w:val="en-US"/>
        </w:rPr>
        <w:t xml:space="preserve"> </w:t>
      </w:r>
      <w:proofErr w:type="spellStart"/>
      <w:proofErr w:type="gramStart"/>
      <w:r w:rsidRPr="00725664">
        <w:rPr>
          <w:rFonts w:ascii="TimesNewRomanPSMT" w:hAnsi="TimesNewRomanPSMT" w:cs="TimesNewRomanPSMT"/>
          <w:lang w:val="en-US"/>
        </w:rPr>
        <w:t>Anthropol</w:t>
      </w:r>
      <w:proofErr w:type="spellEnd"/>
      <w:r w:rsidRPr="00725664">
        <w:rPr>
          <w:rFonts w:ascii="TimesNewRomanPSMT" w:hAnsi="TimesNewRomanPSMT" w:cs="TimesNewRomanPSMT"/>
          <w:lang w:val="en-US"/>
        </w:rPr>
        <w:t>.</w:t>
      </w:r>
      <w:proofErr w:type="gramEnd"/>
      <w:r w:rsidRPr="00725664">
        <w:rPr>
          <w:rFonts w:ascii="TimesNewRomanPSMT" w:hAnsi="TimesNewRomanPSMT" w:cs="TimesNewRomanPSMT"/>
          <w:lang w:val="en-US"/>
        </w:rPr>
        <w:t xml:space="preserve"> </w:t>
      </w:r>
      <w:proofErr w:type="gramStart"/>
      <w:r w:rsidRPr="00725664">
        <w:rPr>
          <w:rFonts w:ascii="TimesNewRomanPSMT" w:hAnsi="TimesNewRomanPSMT" w:cs="TimesNewRomanPSMT"/>
          <w:lang w:val="en-US"/>
        </w:rPr>
        <w:t>Sci. (2015) 7: 387–397.</w:t>
      </w:r>
      <w:proofErr w:type="gramEnd"/>
    </w:p>
    <w:p w:rsidR="00D665EB" w:rsidRPr="00725664" w:rsidRDefault="00D665EB"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proofErr w:type="spellStart"/>
      <w:proofErr w:type="gramStart"/>
      <w:r w:rsidRPr="00725664">
        <w:rPr>
          <w:rFonts w:ascii="TimesNewRomanPSMT" w:hAnsi="TimesNewRomanPSMT" w:cs="TimesNewRomanPSMT"/>
          <w:lang w:val="en-US"/>
        </w:rPr>
        <w:t>Pernicka</w:t>
      </w:r>
      <w:proofErr w:type="spellEnd"/>
      <w:r w:rsidRPr="00725664">
        <w:rPr>
          <w:rFonts w:ascii="TimesNewRomanPSMT" w:hAnsi="TimesNewRomanPSMT" w:cs="TimesNewRomanPSMT"/>
          <w:lang w:val="en-US"/>
        </w:rPr>
        <w:t xml:space="preserve"> E. Provenance Determination of Archaeological Metal Objects.</w:t>
      </w:r>
      <w:proofErr w:type="gramEnd"/>
      <w:r w:rsidRPr="00725664">
        <w:rPr>
          <w:rFonts w:ascii="TimesNewRomanPSMT" w:hAnsi="TimesNewRomanPSMT" w:cs="TimesNewRomanPSMT"/>
          <w:lang w:val="en-US"/>
        </w:rPr>
        <w:t xml:space="preserve"> In: Roberts BW, Thornton CP, editors. </w:t>
      </w:r>
      <w:proofErr w:type="spellStart"/>
      <w:proofErr w:type="gramStart"/>
      <w:r w:rsidRPr="00725664">
        <w:rPr>
          <w:rFonts w:ascii="TimesNewRomanPSMT" w:hAnsi="TimesNewRomanPSMT" w:cs="TimesNewRomanPSMT"/>
          <w:lang w:val="en-US"/>
        </w:rPr>
        <w:t>Archaeometallurgy</w:t>
      </w:r>
      <w:proofErr w:type="spellEnd"/>
      <w:r w:rsidRPr="00725664">
        <w:rPr>
          <w:rFonts w:ascii="TimesNewRomanPSMT" w:hAnsi="TimesNewRomanPSMT" w:cs="TimesNewRomanPSMT"/>
          <w:lang w:val="en-US"/>
        </w:rPr>
        <w:t xml:space="preserve"> in Global Perspective.</w:t>
      </w:r>
      <w:proofErr w:type="gramEnd"/>
      <w:r w:rsidRPr="00725664">
        <w:rPr>
          <w:rFonts w:ascii="TimesNewRomanPSMT" w:hAnsi="TimesNewRomanPSMT" w:cs="TimesNewRomanPSMT"/>
          <w:lang w:val="en-US"/>
        </w:rPr>
        <w:t xml:space="preserve"> New York: Springer; 2014: pp. 239-268.</w:t>
      </w:r>
    </w:p>
    <w:p w:rsidR="00D665EB" w:rsidRPr="00725664" w:rsidRDefault="00D665EB" w:rsidP="00B87FA0">
      <w:pPr>
        <w:spacing w:line="360" w:lineRule="auto"/>
        <w:rPr>
          <w:lang w:val="en-US"/>
        </w:rPr>
      </w:pPr>
    </w:p>
    <w:p w:rsidR="009C3D1D" w:rsidRPr="00725664" w:rsidRDefault="008F437F" w:rsidP="00B87FA0">
      <w:pPr>
        <w:spacing w:line="360" w:lineRule="auto"/>
        <w:rPr>
          <w:lang w:val="en-US"/>
        </w:rPr>
      </w:pPr>
      <w:proofErr w:type="spellStart"/>
      <w:r w:rsidRPr="00725664">
        <w:rPr>
          <w:lang w:val="en-US"/>
        </w:rPr>
        <w:t>Piercey</w:t>
      </w:r>
      <w:proofErr w:type="spellEnd"/>
      <w:r w:rsidR="009C3D1D" w:rsidRPr="00725664">
        <w:rPr>
          <w:lang w:val="en-US"/>
        </w:rPr>
        <w:t xml:space="preserve"> SJ, </w:t>
      </w:r>
      <w:r w:rsidRPr="00725664">
        <w:rPr>
          <w:lang w:val="en-US"/>
        </w:rPr>
        <w:t>Devine</w:t>
      </w:r>
      <w:r w:rsidR="009C3D1D" w:rsidRPr="00725664">
        <w:rPr>
          <w:lang w:val="en-US"/>
        </w:rPr>
        <w:t xml:space="preserve"> MC.</w:t>
      </w:r>
      <w:r w:rsidRPr="00725664">
        <w:rPr>
          <w:lang w:val="en-US"/>
        </w:rPr>
        <w:t xml:space="preserve"> Analysis of powdered reference materials and known samples with a benchtop, field portable x-ray fluorescence (</w:t>
      </w:r>
      <w:proofErr w:type="spellStart"/>
      <w:r w:rsidRPr="00725664">
        <w:rPr>
          <w:lang w:val="en-US"/>
        </w:rPr>
        <w:t>pXRF</w:t>
      </w:r>
      <w:proofErr w:type="spellEnd"/>
      <w:r w:rsidRPr="00725664">
        <w:rPr>
          <w:lang w:val="en-US"/>
        </w:rPr>
        <w:t xml:space="preserve">) spectrometer: evaluation of performance and potential applications for exploration </w:t>
      </w:r>
      <w:proofErr w:type="spellStart"/>
      <w:r w:rsidRPr="00725664">
        <w:rPr>
          <w:lang w:val="en-US"/>
        </w:rPr>
        <w:t>lithogeochemistry</w:t>
      </w:r>
      <w:proofErr w:type="spellEnd"/>
      <w:r w:rsidRPr="00725664">
        <w:rPr>
          <w:lang w:val="en-US"/>
        </w:rPr>
        <w:t xml:space="preserve">. Geochemistry: Exploration, Environment, Analysis </w:t>
      </w:r>
      <w:hyperlink r:id="rId12" w:history="1">
        <w:r w:rsidRPr="00725664">
          <w:rPr>
            <w:rStyle w:val="Hyperlink"/>
            <w:lang w:val="en-US"/>
          </w:rPr>
          <w:t>http://dx.doi.org/10.1144/geochem2013-199</w:t>
        </w:r>
      </w:hyperlink>
      <w:r w:rsidRPr="00725664">
        <w:rPr>
          <w:lang w:val="en-US"/>
        </w:rPr>
        <w:t xml:space="preserve"> Published Online First</w:t>
      </w:r>
      <w:r w:rsidR="009C3D1D" w:rsidRPr="00725664">
        <w:rPr>
          <w:lang w:val="en-US"/>
        </w:rPr>
        <w:t xml:space="preserve"> 2014</w:t>
      </w:r>
      <w:r w:rsidRPr="00725664">
        <w:rPr>
          <w:lang w:val="en-US"/>
        </w:rPr>
        <w:t>.</w:t>
      </w:r>
    </w:p>
    <w:p w:rsidR="009C3D1D" w:rsidRPr="00725664" w:rsidRDefault="009C3D1D" w:rsidP="00B87FA0">
      <w:pPr>
        <w:spacing w:line="360" w:lineRule="auto"/>
        <w:rPr>
          <w:lang w:val="en-US"/>
        </w:rPr>
      </w:pPr>
    </w:p>
    <w:p w:rsidR="008F437F" w:rsidRPr="00725664" w:rsidRDefault="008F437F" w:rsidP="00B87FA0">
      <w:pPr>
        <w:spacing w:line="360" w:lineRule="auto"/>
        <w:rPr>
          <w:lang w:val="en-US"/>
        </w:rPr>
      </w:pPr>
      <w:r w:rsidRPr="00725664">
        <w:rPr>
          <w:lang w:val="en-US"/>
        </w:rPr>
        <w:lastRenderedPageBreak/>
        <w:t>Potts</w:t>
      </w:r>
      <w:r w:rsidR="009C3D1D" w:rsidRPr="00725664">
        <w:rPr>
          <w:lang w:val="en-US"/>
        </w:rPr>
        <w:t xml:space="preserve"> P.</w:t>
      </w:r>
      <w:r w:rsidRPr="00725664">
        <w:rPr>
          <w:lang w:val="en-US"/>
        </w:rPr>
        <w:t xml:space="preserve"> Reference Material Data Sheet, SdAR-M2 Metal-rich sediment, International Association of </w:t>
      </w:r>
      <w:proofErr w:type="spellStart"/>
      <w:r w:rsidRPr="00725664">
        <w:rPr>
          <w:lang w:val="en-US"/>
        </w:rPr>
        <w:t>Geoanalysts</w:t>
      </w:r>
      <w:proofErr w:type="spellEnd"/>
      <w:r w:rsidRPr="00725664">
        <w:rPr>
          <w:lang w:val="en-US"/>
        </w:rPr>
        <w:t>.</w:t>
      </w:r>
      <w:r w:rsidR="009C3D1D" w:rsidRPr="00725664">
        <w:rPr>
          <w:lang w:val="en-US"/>
        </w:rPr>
        <w:t xml:space="preserve"> 2015.</w:t>
      </w:r>
      <w:r w:rsidRPr="00725664">
        <w:rPr>
          <w:lang w:val="en-US"/>
        </w:rPr>
        <w:t xml:space="preserve"> </w:t>
      </w:r>
    </w:p>
    <w:p w:rsidR="008F437F" w:rsidRPr="00725664" w:rsidRDefault="008F437F" w:rsidP="00B87FA0">
      <w:pPr>
        <w:spacing w:line="360" w:lineRule="auto"/>
        <w:rPr>
          <w:lang w:val="en-US"/>
        </w:rPr>
      </w:pPr>
    </w:p>
    <w:p w:rsidR="008F437F" w:rsidRPr="00725664" w:rsidRDefault="009C3D1D" w:rsidP="00B87FA0">
      <w:pPr>
        <w:spacing w:line="360" w:lineRule="auto"/>
        <w:rPr>
          <w:lang w:val="en-US"/>
        </w:rPr>
      </w:pPr>
      <w:r w:rsidRPr="00725664">
        <w:rPr>
          <w:lang w:val="en-US"/>
        </w:rPr>
        <w:t xml:space="preserve">Potts PJ, </w:t>
      </w:r>
      <w:r w:rsidR="008F437F" w:rsidRPr="00725664">
        <w:rPr>
          <w:lang w:val="en-US"/>
        </w:rPr>
        <w:t>Thompson</w:t>
      </w:r>
      <w:r w:rsidRPr="00725664">
        <w:rPr>
          <w:lang w:val="en-US"/>
        </w:rPr>
        <w:t xml:space="preserve"> M</w:t>
      </w:r>
      <w:r w:rsidR="008F437F" w:rsidRPr="00725664">
        <w:rPr>
          <w:lang w:val="en-US"/>
        </w:rPr>
        <w:t xml:space="preserve">, </w:t>
      </w:r>
      <w:proofErr w:type="spellStart"/>
      <w:r w:rsidRPr="00725664">
        <w:rPr>
          <w:lang w:val="en-US"/>
        </w:rPr>
        <w:t>Chenery</w:t>
      </w:r>
      <w:proofErr w:type="spellEnd"/>
      <w:r w:rsidRPr="00725664">
        <w:rPr>
          <w:lang w:val="en-US"/>
        </w:rPr>
        <w:t xml:space="preserve"> SRN,</w:t>
      </w:r>
      <w:r w:rsidR="008F437F" w:rsidRPr="00725664">
        <w:rPr>
          <w:lang w:val="en-US"/>
        </w:rPr>
        <w:t xml:space="preserve"> </w:t>
      </w:r>
      <w:r w:rsidRPr="00725664">
        <w:rPr>
          <w:lang w:val="en-US"/>
        </w:rPr>
        <w:t xml:space="preserve">Webb PC, Kasper HU. </w:t>
      </w:r>
      <w:proofErr w:type="gramStart"/>
      <w:r w:rsidR="008F437F" w:rsidRPr="00725664">
        <w:rPr>
          <w:lang w:val="en-US"/>
        </w:rPr>
        <w:t>GEOPT13 – an international proficiency test for analytical geochemistry laboratories – report round 13 / July 2003 (Köln Loess).</w:t>
      </w:r>
      <w:proofErr w:type="gramEnd"/>
    </w:p>
    <w:p w:rsidR="00D665EB" w:rsidRPr="00725664" w:rsidRDefault="00D665EB"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proofErr w:type="gramStart"/>
      <w:r w:rsidRPr="00725664">
        <w:rPr>
          <w:rFonts w:ascii="TimesNewRomanPSMT" w:hAnsi="TimesNewRomanPSMT" w:cs="TimesNewRomanPSMT"/>
          <w:lang w:val="en-US"/>
        </w:rPr>
        <w:t>Potts PJ, West M, editors.</w:t>
      </w:r>
      <w:proofErr w:type="gramEnd"/>
      <w:r w:rsidRPr="00725664">
        <w:rPr>
          <w:rFonts w:ascii="TimesNewRomanPSMT" w:hAnsi="TimesNewRomanPSMT" w:cs="TimesNewRomanPSMT"/>
          <w:lang w:val="en-US"/>
        </w:rPr>
        <w:t xml:space="preserve"> </w:t>
      </w:r>
      <w:proofErr w:type="gramStart"/>
      <w:r w:rsidRPr="00725664">
        <w:rPr>
          <w:rFonts w:ascii="TimesNewRomanPSMT" w:hAnsi="TimesNewRomanPSMT" w:cs="TimesNewRomanPSMT"/>
          <w:lang w:val="en-US"/>
        </w:rPr>
        <w:t>Portable X-ray Fluorescence Spectrometry - Capabilities for In Situ Analysis.</w:t>
      </w:r>
      <w:proofErr w:type="gramEnd"/>
      <w:r w:rsidRPr="00725664">
        <w:rPr>
          <w:rFonts w:ascii="TimesNewRomanPSMT" w:hAnsi="TimesNewRomanPSMT" w:cs="TimesNewRomanPSMT"/>
          <w:lang w:val="en-US"/>
        </w:rPr>
        <w:t xml:space="preserve"> Cambridge: Royal Society of Chemistry; 2008.</w:t>
      </w:r>
    </w:p>
    <w:p w:rsidR="00D665EB" w:rsidRPr="00725664" w:rsidRDefault="00D665EB" w:rsidP="00B87FA0">
      <w:pPr>
        <w:spacing w:line="360" w:lineRule="auto"/>
        <w:rPr>
          <w:lang w:val="en-US"/>
        </w:rPr>
      </w:pPr>
    </w:p>
    <w:p w:rsidR="00D665EB" w:rsidRPr="00725664" w:rsidRDefault="00D665EB"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proofErr w:type="spellStart"/>
      <w:proofErr w:type="gramStart"/>
      <w:r w:rsidRPr="00725664">
        <w:rPr>
          <w:rFonts w:ascii="TimesNewRomanPSMT" w:hAnsi="TimesNewRomanPSMT" w:cs="TimesNewRomanPSMT"/>
          <w:lang w:val="en-US"/>
        </w:rPr>
        <w:t>Prange</w:t>
      </w:r>
      <w:proofErr w:type="spellEnd"/>
      <w:r w:rsidRPr="00725664">
        <w:rPr>
          <w:rFonts w:ascii="TimesNewRomanPSMT" w:hAnsi="TimesNewRomanPSMT" w:cs="TimesNewRomanPSMT"/>
          <w:lang w:val="en-US"/>
        </w:rPr>
        <w:t xml:space="preserve"> M, </w:t>
      </w:r>
      <w:proofErr w:type="spellStart"/>
      <w:r w:rsidRPr="00725664">
        <w:rPr>
          <w:rFonts w:ascii="TimesNewRomanPSMT" w:hAnsi="TimesNewRomanPSMT" w:cs="TimesNewRomanPSMT"/>
          <w:lang w:val="en-US"/>
        </w:rPr>
        <w:t>Modarressi</w:t>
      </w:r>
      <w:proofErr w:type="spellEnd"/>
      <w:r w:rsidRPr="00725664">
        <w:rPr>
          <w:rFonts w:ascii="TimesNewRomanPSMT" w:hAnsi="TimesNewRomanPSMT" w:cs="TimesNewRomanPSMT"/>
          <w:lang w:val="en-US"/>
        </w:rPr>
        <w:t xml:space="preserve">-Tehrani D, </w:t>
      </w:r>
      <w:proofErr w:type="spellStart"/>
      <w:r w:rsidRPr="00725664">
        <w:rPr>
          <w:rFonts w:ascii="TimesNewRomanPSMT" w:hAnsi="TimesNewRomanPSMT" w:cs="TimesNewRomanPSMT"/>
          <w:lang w:val="en-US"/>
        </w:rPr>
        <w:t>Demant</w:t>
      </w:r>
      <w:proofErr w:type="spellEnd"/>
      <w:r w:rsidRPr="00725664">
        <w:rPr>
          <w:rFonts w:ascii="TimesNewRomanPSMT" w:hAnsi="TimesNewRomanPSMT" w:cs="TimesNewRomanPSMT"/>
          <w:lang w:val="en-US"/>
        </w:rPr>
        <w:t xml:space="preserve"> D.</w:t>
      </w:r>
      <w:proofErr w:type="gramEnd"/>
      <w:r w:rsidRPr="00725664">
        <w:rPr>
          <w:rFonts w:ascii="TimesNewRomanPSMT" w:hAnsi="TimesNewRomanPSMT" w:cs="TimesNewRomanPSMT"/>
          <w:lang w:val="en-US"/>
        </w:rPr>
        <w:t xml:space="preserve"> </w:t>
      </w:r>
      <w:proofErr w:type="gramStart"/>
      <w:r w:rsidRPr="00725664">
        <w:rPr>
          <w:rFonts w:ascii="TimesNewRomanPSMT" w:hAnsi="TimesNewRomanPSMT" w:cs="TimesNewRomanPSMT"/>
          <w:lang w:val="en-US"/>
        </w:rPr>
        <w:t xml:space="preserve">Some Thoughts on the Benefits and Challenges of Working with </w:t>
      </w:r>
      <w:proofErr w:type="spellStart"/>
      <w:r w:rsidRPr="00725664">
        <w:rPr>
          <w:rFonts w:ascii="TimesNewRomanPSMT" w:hAnsi="TimesNewRomanPSMT" w:cs="TimesNewRomanPSMT"/>
          <w:lang w:val="en-US"/>
        </w:rPr>
        <w:t>pXRF</w:t>
      </w:r>
      <w:proofErr w:type="spellEnd"/>
      <w:r w:rsidRPr="00725664">
        <w:rPr>
          <w:rFonts w:ascii="TimesNewRomanPSMT" w:hAnsi="TimesNewRomanPSMT" w:cs="TimesNewRomanPSMT"/>
          <w:lang w:val="en-US"/>
        </w:rPr>
        <w:t>.</w:t>
      </w:r>
      <w:proofErr w:type="gramEnd"/>
      <w:r w:rsidRPr="00725664">
        <w:rPr>
          <w:rFonts w:ascii="TimesNewRomanPSMT" w:hAnsi="TimesNewRomanPSMT" w:cs="TimesNewRomanPSMT"/>
          <w:lang w:val="en-US"/>
        </w:rPr>
        <w:t xml:space="preserve"> </w:t>
      </w:r>
      <w:r w:rsidRPr="00B87FA0">
        <w:rPr>
          <w:rFonts w:ascii="TimesNewRomanPSMT" w:hAnsi="TimesNewRomanPSMT" w:cs="TimesNewRomanPSMT"/>
        </w:rPr>
        <w:t xml:space="preserve">In: </w:t>
      </w:r>
      <w:proofErr w:type="spellStart"/>
      <w:r w:rsidRPr="00B87FA0">
        <w:rPr>
          <w:rFonts w:ascii="TimesNewRomanPSMT" w:hAnsi="TimesNewRomanPSMT" w:cs="TimesNewRomanPSMT"/>
        </w:rPr>
        <w:t>Körlin</w:t>
      </w:r>
      <w:proofErr w:type="spellEnd"/>
      <w:r w:rsidRPr="00B87FA0">
        <w:rPr>
          <w:rFonts w:ascii="TimesNewRomanPSMT" w:hAnsi="TimesNewRomanPSMT" w:cs="TimesNewRomanPSMT"/>
        </w:rPr>
        <w:t xml:space="preserve"> G, Prange M, </w:t>
      </w:r>
      <w:proofErr w:type="spellStart"/>
      <w:r w:rsidRPr="00B87FA0">
        <w:rPr>
          <w:rFonts w:ascii="TimesNewRomanPSMT" w:hAnsi="TimesNewRomanPSMT" w:cs="TimesNewRomanPSMT"/>
        </w:rPr>
        <w:t>Stöllner</w:t>
      </w:r>
      <w:proofErr w:type="spellEnd"/>
      <w:r w:rsidRPr="00B87FA0">
        <w:rPr>
          <w:rFonts w:ascii="TimesNewRomanPSMT" w:hAnsi="TimesNewRomanPSMT" w:cs="TimesNewRomanPSMT"/>
        </w:rPr>
        <w:t xml:space="preserve"> T, </w:t>
      </w:r>
      <w:proofErr w:type="spellStart"/>
      <w:r w:rsidRPr="00B87FA0">
        <w:rPr>
          <w:rFonts w:ascii="TimesNewRomanPSMT" w:hAnsi="TimesNewRomanPSMT" w:cs="TimesNewRomanPSMT"/>
        </w:rPr>
        <w:t>Yalçın</w:t>
      </w:r>
      <w:proofErr w:type="spellEnd"/>
      <w:r w:rsidRPr="00B87FA0">
        <w:rPr>
          <w:rFonts w:ascii="TimesNewRomanPSMT" w:hAnsi="TimesNewRomanPSMT" w:cs="TimesNewRomanPSMT"/>
        </w:rPr>
        <w:t xml:space="preserve"> Ü, </w:t>
      </w:r>
      <w:proofErr w:type="spellStart"/>
      <w:r w:rsidRPr="00B87FA0">
        <w:rPr>
          <w:rFonts w:ascii="TimesNewRomanPSMT" w:hAnsi="TimesNewRomanPSMT" w:cs="TimesNewRomanPSMT"/>
        </w:rPr>
        <w:t>editors</w:t>
      </w:r>
      <w:proofErr w:type="spellEnd"/>
      <w:r w:rsidRPr="00B87FA0">
        <w:rPr>
          <w:rFonts w:ascii="TimesNewRomanPSMT" w:hAnsi="TimesNewRomanPSMT" w:cs="TimesNewRomanPSMT"/>
        </w:rPr>
        <w:t xml:space="preserve">. </w:t>
      </w:r>
      <w:proofErr w:type="gramStart"/>
      <w:r w:rsidRPr="00725664">
        <w:rPr>
          <w:rFonts w:ascii="TimesNewRomanPSMT" w:hAnsi="TimesNewRomanPSMT" w:cs="TimesNewRomanPSMT"/>
          <w:lang w:val="en-US"/>
        </w:rPr>
        <w:t>From bright ores to shiny metals – Festschrift for Andreas Hauptmann.</w:t>
      </w:r>
      <w:proofErr w:type="gramEnd"/>
      <w:r w:rsidRPr="00725664">
        <w:rPr>
          <w:rFonts w:ascii="TimesNewRomanPSMT" w:hAnsi="TimesNewRomanPSMT" w:cs="TimesNewRomanPSMT"/>
          <w:lang w:val="en-US"/>
        </w:rPr>
        <w:t xml:space="preserve"> </w:t>
      </w:r>
      <w:proofErr w:type="spellStart"/>
      <w:r w:rsidRPr="00725664">
        <w:rPr>
          <w:rFonts w:ascii="TimesNewRomanPSMT" w:hAnsi="TimesNewRomanPSMT" w:cs="TimesNewRomanPSMT"/>
          <w:lang w:val="en-US"/>
        </w:rPr>
        <w:t>Rahden</w:t>
      </w:r>
      <w:proofErr w:type="spellEnd"/>
      <w:r w:rsidRPr="00725664">
        <w:rPr>
          <w:rFonts w:ascii="TimesNewRomanPSMT" w:hAnsi="TimesNewRomanPSMT" w:cs="TimesNewRomanPSMT"/>
          <w:lang w:val="en-US"/>
        </w:rPr>
        <w:t>/</w:t>
      </w:r>
      <w:proofErr w:type="spellStart"/>
      <w:r w:rsidRPr="00725664">
        <w:rPr>
          <w:rFonts w:ascii="TimesNewRomanPSMT" w:hAnsi="TimesNewRomanPSMT" w:cs="TimesNewRomanPSMT"/>
          <w:lang w:val="en-US"/>
        </w:rPr>
        <w:t>Westfahlen</w:t>
      </w:r>
      <w:proofErr w:type="spellEnd"/>
      <w:r w:rsidRPr="00725664">
        <w:rPr>
          <w:rFonts w:ascii="TimesNewRomanPSMT" w:hAnsi="TimesNewRomanPSMT" w:cs="TimesNewRomanPSMT"/>
          <w:lang w:val="en-US"/>
        </w:rPr>
        <w:t xml:space="preserve">: </w:t>
      </w:r>
      <w:proofErr w:type="spellStart"/>
      <w:r w:rsidRPr="00725664">
        <w:rPr>
          <w:rFonts w:ascii="TimesNewRomanPSMT" w:hAnsi="TimesNewRomanPSMT" w:cs="TimesNewRomanPSMT"/>
          <w:lang w:val="en-US"/>
        </w:rPr>
        <w:t>Leidorf</w:t>
      </w:r>
      <w:proofErr w:type="spellEnd"/>
      <w:r w:rsidRPr="00725664">
        <w:rPr>
          <w:rFonts w:ascii="TimesNewRomanPSMT" w:hAnsi="TimesNewRomanPSMT" w:cs="TimesNewRomanPSMT"/>
          <w:lang w:val="en-US"/>
        </w:rPr>
        <w:t>; 2016: pp. 247-256.</w:t>
      </w:r>
    </w:p>
    <w:p w:rsidR="008F437F" w:rsidRPr="00725664" w:rsidRDefault="008F437F" w:rsidP="00B87FA0">
      <w:pPr>
        <w:spacing w:line="360" w:lineRule="auto"/>
        <w:rPr>
          <w:lang w:val="en-US"/>
        </w:rPr>
      </w:pPr>
    </w:p>
    <w:p w:rsidR="000B1474" w:rsidRPr="00725664" w:rsidRDefault="000B1474" w:rsidP="00B87FA0">
      <w:pPr>
        <w:spacing w:line="360" w:lineRule="auto"/>
        <w:rPr>
          <w:rFonts w:ascii="TimesNewRomanPSMT" w:hAnsi="TimesNewRomanPSMT" w:cs="TimesNewRomanPSMT"/>
          <w:lang w:val="en-US"/>
        </w:rPr>
      </w:pPr>
      <w:proofErr w:type="spellStart"/>
      <w:r w:rsidRPr="00725664">
        <w:rPr>
          <w:rFonts w:ascii="TimesNewRomanPSMT" w:hAnsi="TimesNewRomanPSMT" w:cs="TimesNewRomanPSMT"/>
          <w:lang w:val="en-US"/>
        </w:rPr>
        <w:t>Rademakers</w:t>
      </w:r>
      <w:proofErr w:type="spellEnd"/>
      <w:r w:rsidRPr="00725664">
        <w:rPr>
          <w:rFonts w:ascii="TimesNewRomanPSMT" w:hAnsi="TimesNewRomanPSMT" w:cs="TimesNewRomanPSMT"/>
          <w:lang w:val="en-US"/>
        </w:rPr>
        <w:t xml:space="preserve"> FW, </w:t>
      </w:r>
      <w:proofErr w:type="spellStart"/>
      <w:r w:rsidRPr="00725664">
        <w:rPr>
          <w:rFonts w:ascii="TimesNewRomanPSMT" w:hAnsi="TimesNewRomanPSMT" w:cs="TimesNewRomanPSMT"/>
          <w:lang w:val="en-US"/>
        </w:rPr>
        <w:t>Rehren</w:t>
      </w:r>
      <w:proofErr w:type="spellEnd"/>
      <w:r w:rsidRPr="00725664">
        <w:rPr>
          <w:rFonts w:ascii="TimesNewRomanPSMT" w:hAnsi="TimesNewRomanPSMT" w:cs="TimesNewRomanPSMT"/>
          <w:lang w:val="en-US"/>
        </w:rPr>
        <w:t xml:space="preserve"> T. Seeing the forest for the trees: Assessing technological variability in ancient metallurgical crucible assemblages. Journal of Archaeological Science: Reports 7 (2016) 588–596.</w:t>
      </w:r>
    </w:p>
    <w:p w:rsidR="000B1474" w:rsidRPr="00725664" w:rsidRDefault="000B1474" w:rsidP="00B87FA0">
      <w:pPr>
        <w:spacing w:line="360" w:lineRule="auto"/>
        <w:rPr>
          <w:lang w:val="en-US"/>
        </w:rPr>
      </w:pPr>
    </w:p>
    <w:p w:rsidR="008F437F" w:rsidRPr="00725664" w:rsidRDefault="008F437F" w:rsidP="00B87FA0">
      <w:pPr>
        <w:spacing w:line="360" w:lineRule="auto"/>
        <w:rPr>
          <w:rFonts w:ascii="TimesNewRomanPSMT" w:hAnsi="TimesNewRomanPSMT" w:cs="TimesNewRomanPSMT"/>
          <w:lang w:val="en-US"/>
        </w:rPr>
      </w:pPr>
      <w:r w:rsidRPr="00725664">
        <w:rPr>
          <w:lang w:val="en-US"/>
        </w:rPr>
        <w:t xml:space="preserve">Ramsey </w:t>
      </w:r>
      <w:r w:rsidR="00861206" w:rsidRPr="00725664">
        <w:rPr>
          <w:lang w:val="en-US"/>
        </w:rPr>
        <w:t xml:space="preserve">MH, </w:t>
      </w:r>
      <w:r w:rsidRPr="00725664">
        <w:rPr>
          <w:lang w:val="en-US"/>
        </w:rPr>
        <w:t>Ellison</w:t>
      </w:r>
      <w:r w:rsidR="00861206" w:rsidRPr="00725664">
        <w:rPr>
          <w:lang w:val="en-US"/>
        </w:rPr>
        <w:t xml:space="preserve"> SLR.</w:t>
      </w:r>
      <w:r w:rsidRPr="00725664">
        <w:rPr>
          <w:lang w:val="en-US"/>
        </w:rPr>
        <w:t xml:space="preserve"> Measurement uncertainty arising from sampling:  A </w:t>
      </w:r>
      <w:r w:rsidR="002D68C8" w:rsidRPr="00725664">
        <w:rPr>
          <w:lang w:val="en-US"/>
        </w:rPr>
        <w:t>guide to methods and approaches</w:t>
      </w:r>
      <w:r w:rsidRPr="00725664">
        <w:rPr>
          <w:lang w:val="en-US"/>
        </w:rPr>
        <w:t xml:space="preserve">. </w:t>
      </w:r>
      <w:proofErr w:type="spellStart"/>
      <w:proofErr w:type="gramStart"/>
      <w:r w:rsidRPr="00725664">
        <w:rPr>
          <w:rFonts w:ascii="TimesNewRomanPSMT" w:hAnsi="TimesNewRomanPSMT" w:cs="TimesNewRomanPSMT"/>
          <w:lang w:val="en-US"/>
        </w:rPr>
        <w:t>Eurachem</w:t>
      </w:r>
      <w:proofErr w:type="spellEnd"/>
      <w:r w:rsidRPr="00725664">
        <w:rPr>
          <w:rFonts w:ascii="TimesNewRomanPSMT" w:hAnsi="TimesNewRomanPSMT" w:cs="TimesNewRomanPSMT"/>
          <w:lang w:val="en-US"/>
        </w:rPr>
        <w:t>.</w:t>
      </w:r>
      <w:proofErr w:type="gramEnd"/>
      <w:r w:rsidR="00861206" w:rsidRPr="00725664">
        <w:rPr>
          <w:lang w:val="en-US"/>
        </w:rPr>
        <w:t xml:space="preserve"> University of Sussex, UK, 2007.  </w:t>
      </w:r>
    </w:p>
    <w:p w:rsidR="00EB0ADB" w:rsidRPr="00725664" w:rsidRDefault="00EB0ADB" w:rsidP="00B87FA0">
      <w:pPr>
        <w:spacing w:line="360" w:lineRule="auto"/>
        <w:rPr>
          <w:lang w:val="en-US"/>
        </w:rPr>
      </w:pPr>
    </w:p>
    <w:p w:rsidR="008F437F" w:rsidRPr="00725664" w:rsidRDefault="008F437F" w:rsidP="00B87FA0">
      <w:pPr>
        <w:spacing w:line="360" w:lineRule="auto"/>
        <w:rPr>
          <w:lang w:val="en-US"/>
        </w:rPr>
      </w:pPr>
      <w:proofErr w:type="spellStart"/>
      <w:proofErr w:type="gramStart"/>
      <w:r w:rsidRPr="00725664">
        <w:rPr>
          <w:lang w:val="en-US"/>
        </w:rPr>
        <w:t>Rawski</w:t>
      </w:r>
      <w:proofErr w:type="spellEnd"/>
      <w:r w:rsidR="00AF7436" w:rsidRPr="00725664">
        <w:rPr>
          <w:lang w:val="en-US"/>
        </w:rPr>
        <w:t xml:space="preserve"> RI</w:t>
      </w:r>
      <w:r w:rsidRPr="00725664">
        <w:rPr>
          <w:lang w:val="en-US"/>
        </w:rPr>
        <w:t xml:space="preserve">, </w:t>
      </w:r>
      <w:proofErr w:type="spellStart"/>
      <w:r w:rsidR="00AF7436" w:rsidRPr="00725664">
        <w:rPr>
          <w:lang w:val="en-US"/>
        </w:rPr>
        <w:t>Sanecki</w:t>
      </w:r>
      <w:proofErr w:type="spellEnd"/>
      <w:r w:rsidR="00AF7436" w:rsidRPr="00725664">
        <w:rPr>
          <w:lang w:val="en-US"/>
        </w:rPr>
        <w:t xml:space="preserve"> PT, </w:t>
      </w:r>
      <w:proofErr w:type="spellStart"/>
      <w:r w:rsidRPr="00725664">
        <w:rPr>
          <w:lang w:val="en-US"/>
        </w:rPr>
        <w:t>Kijowska</w:t>
      </w:r>
      <w:proofErr w:type="spellEnd"/>
      <w:r w:rsidR="00AF7436" w:rsidRPr="00725664">
        <w:rPr>
          <w:lang w:val="en-US"/>
        </w:rPr>
        <w:t xml:space="preserve"> KM</w:t>
      </w:r>
      <w:r w:rsidRPr="00725664">
        <w:rPr>
          <w:lang w:val="en-US"/>
        </w:rPr>
        <w:t>,</w:t>
      </w:r>
      <w:r w:rsidR="00AF7436" w:rsidRPr="00725664">
        <w:rPr>
          <w:lang w:val="en-US"/>
        </w:rPr>
        <w:t xml:space="preserve"> </w:t>
      </w:r>
      <w:proofErr w:type="spellStart"/>
      <w:r w:rsidR="00AF7436" w:rsidRPr="00725664">
        <w:rPr>
          <w:lang w:val="en-US"/>
        </w:rPr>
        <w:t>Skital</w:t>
      </w:r>
      <w:proofErr w:type="spellEnd"/>
      <w:r w:rsidR="00AF7436" w:rsidRPr="00725664">
        <w:rPr>
          <w:lang w:val="en-US"/>
        </w:rPr>
        <w:t xml:space="preserve"> PM, </w:t>
      </w:r>
      <w:proofErr w:type="spellStart"/>
      <w:r w:rsidR="00AF7436" w:rsidRPr="00725664">
        <w:rPr>
          <w:lang w:val="en-US"/>
        </w:rPr>
        <w:t>Saletnik</w:t>
      </w:r>
      <w:proofErr w:type="spellEnd"/>
      <w:r w:rsidR="00AF7436" w:rsidRPr="00725664">
        <w:rPr>
          <w:lang w:val="en-US"/>
        </w:rPr>
        <w:t xml:space="preserve"> DE.</w:t>
      </w:r>
      <w:proofErr w:type="gramEnd"/>
      <w:r w:rsidR="00AF7436" w:rsidRPr="00725664">
        <w:rPr>
          <w:lang w:val="en-US"/>
        </w:rPr>
        <w:t xml:space="preserve"> </w:t>
      </w:r>
      <w:proofErr w:type="gramStart"/>
      <w:r w:rsidRPr="00725664">
        <w:rPr>
          <w:lang w:val="en-US"/>
        </w:rPr>
        <w:t>Regression Analysis in Analytical Chemistry.</w:t>
      </w:r>
      <w:proofErr w:type="gramEnd"/>
      <w:r w:rsidR="00AF7436" w:rsidRPr="00725664">
        <w:rPr>
          <w:lang w:val="en-US"/>
        </w:rPr>
        <w:t xml:space="preserve"> </w:t>
      </w:r>
      <w:proofErr w:type="gramStart"/>
      <w:r w:rsidRPr="00725664">
        <w:rPr>
          <w:lang w:val="en-US"/>
        </w:rPr>
        <w:t>Determination and Validation of Linear and Quadratic Regression Dependencies.</w:t>
      </w:r>
      <w:proofErr w:type="gramEnd"/>
      <w:r w:rsidRPr="00725664">
        <w:rPr>
          <w:lang w:val="en-US"/>
        </w:rPr>
        <w:t xml:space="preserve"> S. Afr. J. Chem., 2016, 69, 166–173, &lt;http://journals.sabinet.co.za/sajchem/&gt;.</w:t>
      </w:r>
    </w:p>
    <w:p w:rsidR="008F437F" w:rsidRPr="00725664" w:rsidRDefault="008F437F" w:rsidP="00B87FA0">
      <w:pPr>
        <w:spacing w:line="360" w:lineRule="auto"/>
        <w:rPr>
          <w:lang w:val="en-US"/>
        </w:rPr>
      </w:pPr>
    </w:p>
    <w:p w:rsidR="008F437F" w:rsidRPr="00725664" w:rsidRDefault="00AF7436" w:rsidP="00B87FA0">
      <w:pPr>
        <w:spacing w:line="360" w:lineRule="auto"/>
        <w:rPr>
          <w:lang w:val="en-US"/>
        </w:rPr>
      </w:pPr>
      <w:proofErr w:type="spellStart"/>
      <w:r w:rsidRPr="00725664">
        <w:rPr>
          <w:lang w:val="en-US"/>
        </w:rPr>
        <w:lastRenderedPageBreak/>
        <w:t>Rostron</w:t>
      </w:r>
      <w:proofErr w:type="spellEnd"/>
      <w:r w:rsidRPr="00725664">
        <w:rPr>
          <w:lang w:val="en-US"/>
        </w:rPr>
        <w:t xml:space="preserve"> PD, Ramsey M</w:t>
      </w:r>
      <w:r w:rsidR="008F437F" w:rsidRPr="00725664">
        <w:rPr>
          <w:lang w:val="en-US"/>
        </w:rPr>
        <w:t xml:space="preserve">H. Quantifying heterogeneity of </w:t>
      </w:r>
      <w:proofErr w:type="gramStart"/>
      <w:r w:rsidR="008F437F" w:rsidRPr="00725664">
        <w:rPr>
          <w:lang w:val="en-US"/>
        </w:rPr>
        <w:t>small  test</w:t>
      </w:r>
      <w:proofErr w:type="gramEnd"/>
      <w:r w:rsidR="008F437F" w:rsidRPr="00725664">
        <w:rPr>
          <w:lang w:val="en-US"/>
        </w:rPr>
        <w:t xml:space="preserve"> portion masses of geological reference materials by PXRF: implications for uncertainty of reference values. </w:t>
      </w:r>
      <w:proofErr w:type="spellStart"/>
      <w:proofErr w:type="gramStart"/>
      <w:r w:rsidR="008F437F" w:rsidRPr="00725664">
        <w:rPr>
          <w:lang w:val="en-US"/>
        </w:rPr>
        <w:t>Geostandards</w:t>
      </w:r>
      <w:proofErr w:type="spellEnd"/>
      <w:r w:rsidR="008F437F" w:rsidRPr="00725664">
        <w:rPr>
          <w:lang w:val="en-US"/>
        </w:rPr>
        <w:t xml:space="preserve"> and </w:t>
      </w:r>
      <w:proofErr w:type="spellStart"/>
      <w:r w:rsidR="008F437F" w:rsidRPr="00725664">
        <w:rPr>
          <w:lang w:val="en-US"/>
        </w:rPr>
        <w:t>Geoanalytical</w:t>
      </w:r>
      <w:proofErr w:type="spellEnd"/>
      <w:r w:rsidR="008F437F" w:rsidRPr="00725664">
        <w:rPr>
          <w:lang w:val="en-US"/>
        </w:rPr>
        <w:t xml:space="preserve"> Research, </w:t>
      </w:r>
      <w:r w:rsidRPr="00725664">
        <w:rPr>
          <w:lang w:val="en-US"/>
        </w:rPr>
        <w:t xml:space="preserve">2017, </w:t>
      </w:r>
      <w:r w:rsidR="008F437F" w:rsidRPr="00725664">
        <w:rPr>
          <w:lang w:val="en-US"/>
        </w:rPr>
        <w:t xml:space="preserve">Vol. 41, </w:t>
      </w:r>
      <w:proofErr w:type="spellStart"/>
      <w:r w:rsidR="008F437F" w:rsidRPr="00725664">
        <w:rPr>
          <w:lang w:val="en-US"/>
        </w:rPr>
        <w:t>Iss</w:t>
      </w:r>
      <w:proofErr w:type="spellEnd"/>
      <w:r w:rsidR="008F437F" w:rsidRPr="00725664">
        <w:rPr>
          <w:lang w:val="en-US"/>
        </w:rPr>
        <w:t>.</w:t>
      </w:r>
      <w:proofErr w:type="gramEnd"/>
      <w:r w:rsidR="008F437F" w:rsidRPr="00725664">
        <w:rPr>
          <w:lang w:val="en-US"/>
        </w:rPr>
        <w:t xml:space="preserve"> 3, 459-473.</w:t>
      </w:r>
    </w:p>
    <w:p w:rsidR="005F2F6D" w:rsidRPr="00725664" w:rsidRDefault="005F2F6D" w:rsidP="00B87FA0">
      <w:pPr>
        <w:spacing w:line="360" w:lineRule="auto"/>
        <w:rPr>
          <w:lang w:val="en-US"/>
        </w:rPr>
      </w:pPr>
    </w:p>
    <w:p w:rsidR="008F437F" w:rsidRPr="00725664" w:rsidRDefault="005F2F6D" w:rsidP="00B87FA0">
      <w:pPr>
        <w:spacing w:line="360" w:lineRule="auto"/>
        <w:rPr>
          <w:lang w:val="en-US"/>
        </w:rPr>
      </w:pPr>
      <w:proofErr w:type="spellStart"/>
      <w:r w:rsidRPr="00725664">
        <w:rPr>
          <w:lang w:val="en-US"/>
        </w:rPr>
        <w:t>Rouillon</w:t>
      </w:r>
      <w:proofErr w:type="spellEnd"/>
      <w:r w:rsidRPr="00725664">
        <w:rPr>
          <w:lang w:val="en-US"/>
        </w:rPr>
        <w:t xml:space="preserve"> M</w:t>
      </w:r>
      <w:r w:rsidR="008F437F" w:rsidRPr="00725664">
        <w:rPr>
          <w:lang w:val="en-US"/>
        </w:rPr>
        <w:t>, Taylor</w:t>
      </w:r>
      <w:r w:rsidRPr="00725664">
        <w:rPr>
          <w:lang w:val="en-US"/>
        </w:rPr>
        <w:t xml:space="preserve"> MP.</w:t>
      </w:r>
      <w:r w:rsidR="008F437F" w:rsidRPr="00725664">
        <w:rPr>
          <w:lang w:val="en-US"/>
        </w:rPr>
        <w:t xml:space="preserve"> </w:t>
      </w:r>
      <w:proofErr w:type="spellStart"/>
      <w:r w:rsidR="008F437F" w:rsidRPr="00725664">
        <w:rPr>
          <w:lang w:val="en-US"/>
        </w:rPr>
        <w:t>Can field</w:t>
      </w:r>
      <w:proofErr w:type="spellEnd"/>
      <w:r w:rsidR="008F437F" w:rsidRPr="00725664">
        <w:rPr>
          <w:lang w:val="en-US"/>
        </w:rPr>
        <w:t xml:space="preserve"> portable X-ray fluorescence (</w:t>
      </w:r>
      <w:proofErr w:type="spellStart"/>
      <w:r w:rsidR="008F437F" w:rsidRPr="00725664">
        <w:rPr>
          <w:lang w:val="en-US"/>
        </w:rPr>
        <w:t>pXRF</w:t>
      </w:r>
      <w:proofErr w:type="spellEnd"/>
      <w:r w:rsidR="008F437F" w:rsidRPr="00725664">
        <w:rPr>
          <w:lang w:val="en-US"/>
        </w:rPr>
        <w:t>) produce high quality data for application in environmental contamination research? Environmental Pollution 214 (2016) 255-264.</w:t>
      </w:r>
    </w:p>
    <w:p w:rsidR="00D665EB" w:rsidRPr="00725664" w:rsidRDefault="00D665EB" w:rsidP="00B87FA0">
      <w:pPr>
        <w:spacing w:line="360" w:lineRule="auto"/>
        <w:rPr>
          <w:lang w:val="en-US"/>
        </w:rPr>
      </w:pPr>
    </w:p>
    <w:p w:rsidR="000B1474" w:rsidRPr="00725664" w:rsidRDefault="000B1474" w:rsidP="00B87FA0">
      <w:pPr>
        <w:spacing w:line="360" w:lineRule="auto"/>
        <w:rPr>
          <w:rFonts w:ascii="TimesNewRomanPSMT" w:hAnsi="TimesNewRomanPSMT" w:cs="TimesNewRomanPSMT"/>
          <w:lang w:val="en-US"/>
        </w:rPr>
      </w:pPr>
      <w:proofErr w:type="gramStart"/>
      <w:r w:rsidRPr="00725664">
        <w:rPr>
          <w:rFonts w:ascii="TimesNewRomanPSMT" w:hAnsi="TimesNewRomanPSMT" w:cs="TimesNewRomanPSMT"/>
          <w:lang w:val="en-US"/>
        </w:rPr>
        <w:t xml:space="preserve">Scott RB, </w:t>
      </w:r>
      <w:proofErr w:type="spellStart"/>
      <w:r w:rsidRPr="00725664">
        <w:rPr>
          <w:rFonts w:ascii="TimesNewRomanPSMT" w:hAnsi="TimesNewRomanPSMT" w:cs="TimesNewRomanPSMT"/>
          <w:lang w:val="en-US"/>
        </w:rPr>
        <w:t>Eekelers</w:t>
      </w:r>
      <w:proofErr w:type="spellEnd"/>
      <w:r w:rsidRPr="00725664">
        <w:rPr>
          <w:rFonts w:ascii="TimesNewRomanPSMT" w:hAnsi="TimesNewRomanPSMT" w:cs="TimesNewRomanPSMT"/>
          <w:lang w:val="en-US"/>
        </w:rPr>
        <w:t xml:space="preserve"> K, Fredericks L, </w:t>
      </w:r>
      <w:proofErr w:type="spellStart"/>
      <w:r w:rsidRPr="00725664">
        <w:rPr>
          <w:rFonts w:ascii="TimesNewRomanPSMT" w:hAnsi="TimesNewRomanPSMT" w:cs="TimesNewRomanPSMT"/>
          <w:lang w:val="en-US"/>
        </w:rPr>
        <w:t>Degryse</w:t>
      </w:r>
      <w:proofErr w:type="spellEnd"/>
      <w:r w:rsidRPr="00725664">
        <w:rPr>
          <w:rFonts w:ascii="TimesNewRomanPSMT" w:hAnsi="TimesNewRomanPSMT" w:cs="TimesNewRomanPSMT"/>
          <w:lang w:val="en-US"/>
        </w:rPr>
        <w:t xml:space="preserve"> P.</w:t>
      </w:r>
      <w:proofErr w:type="gramEnd"/>
      <w:r w:rsidRPr="00725664">
        <w:rPr>
          <w:rFonts w:ascii="TimesNewRomanPSMT" w:hAnsi="TimesNewRomanPSMT" w:cs="TimesNewRomanPSMT"/>
          <w:lang w:val="en-US"/>
        </w:rPr>
        <w:t xml:space="preserve"> A methodology for qualitative </w:t>
      </w:r>
      <w:proofErr w:type="spellStart"/>
      <w:r w:rsidRPr="00725664">
        <w:rPr>
          <w:rFonts w:ascii="TimesNewRomanPSMT" w:hAnsi="TimesNewRomanPSMT" w:cs="TimesNewRomanPSMT"/>
          <w:lang w:val="en-US"/>
        </w:rPr>
        <w:t>archaeometallurgical</w:t>
      </w:r>
      <w:proofErr w:type="spellEnd"/>
      <w:r w:rsidRPr="00725664">
        <w:rPr>
          <w:rFonts w:ascii="TimesNewRomanPSMT" w:hAnsi="TimesNewRomanPSMT" w:cs="TimesNewRomanPSMT"/>
          <w:lang w:val="en-US"/>
        </w:rPr>
        <w:t xml:space="preserve"> fieldwork using a handheld X-ray fluorescence spectrometer, STAR: Science &amp; Technology of Archaeological Research, (2015) 1:2, 70-80.</w:t>
      </w:r>
    </w:p>
    <w:p w:rsidR="000B1474" w:rsidRDefault="000B1474" w:rsidP="00B87FA0">
      <w:pPr>
        <w:spacing w:line="360" w:lineRule="auto"/>
        <w:rPr>
          <w:lang w:val="en-US"/>
        </w:rPr>
      </w:pPr>
    </w:p>
    <w:p w:rsidR="00DC33D5" w:rsidRDefault="00DC33D5" w:rsidP="00DC33D5">
      <w:pPr>
        <w:spacing w:line="360" w:lineRule="auto"/>
        <w:rPr>
          <w:lang w:val="en-US"/>
        </w:rPr>
      </w:pPr>
      <w:proofErr w:type="spellStart"/>
      <w:r>
        <w:rPr>
          <w:lang w:val="en-US"/>
        </w:rPr>
        <w:t>Shugar</w:t>
      </w:r>
      <w:proofErr w:type="spellEnd"/>
      <w:r>
        <w:rPr>
          <w:lang w:val="en-US"/>
        </w:rPr>
        <w:t>, A</w:t>
      </w:r>
      <w:r w:rsidRPr="00272A2D">
        <w:rPr>
          <w:lang w:val="en-US"/>
        </w:rPr>
        <w:t>N. Portable X-ra</w:t>
      </w:r>
      <w:r>
        <w:rPr>
          <w:lang w:val="en-US"/>
        </w:rPr>
        <w:t xml:space="preserve">y fluorescence and archaeology: </w:t>
      </w:r>
      <w:r w:rsidRPr="00272A2D">
        <w:rPr>
          <w:lang w:val="en-US"/>
        </w:rPr>
        <w:t>limitations of the instrument and sugge</w:t>
      </w:r>
      <w:r>
        <w:rPr>
          <w:lang w:val="en-US"/>
        </w:rPr>
        <w:t>sted methods to achieve desired results.</w:t>
      </w:r>
      <w:r w:rsidRPr="00272A2D">
        <w:rPr>
          <w:lang w:val="en-US"/>
        </w:rPr>
        <w:t xml:space="preserve"> </w:t>
      </w:r>
      <w:proofErr w:type="gramStart"/>
      <w:r w:rsidRPr="00272A2D">
        <w:rPr>
          <w:lang w:val="en-US"/>
        </w:rPr>
        <w:t>Archaeological chemistry</w:t>
      </w:r>
      <w:r>
        <w:rPr>
          <w:lang w:val="en-US"/>
        </w:rPr>
        <w:t xml:space="preserve"> VIII, </w:t>
      </w:r>
      <w:proofErr w:type="spellStart"/>
      <w:r>
        <w:rPr>
          <w:lang w:val="en-US"/>
        </w:rPr>
        <w:t>vol</w:t>
      </w:r>
      <w:proofErr w:type="spellEnd"/>
      <w:r>
        <w:rPr>
          <w:lang w:val="en-US"/>
        </w:rPr>
        <w:t xml:space="preserve"> 1147,</w:t>
      </w:r>
      <w:r w:rsidRPr="00272A2D">
        <w:rPr>
          <w:lang w:val="en-US"/>
        </w:rPr>
        <w:t xml:space="preserve"> American Chemical Society Washington D</w:t>
      </w:r>
      <w:r>
        <w:rPr>
          <w:lang w:val="en-US"/>
        </w:rPr>
        <w:t>C (2013) 173-193.</w:t>
      </w:r>
      <w:proofErr w:type="gramEnd"/>
    </w:p>
    <w:p w:rsidR="00DC33D5" w:rsidRDefault="00DC33D5" w:rsidP="00B87FA0">
      <w:pPr>
        <w:spacing w:line="360" w:lineRule="auto"/>
        <w:rPr>
          <w:lang w:val="en-US"/>
        </w:rPr>
      </w:pPr>
    </w:p>
    <w:p w:rsidR="00272A2D" w:rsidRPr="00272A2D" w:rsidRDefault="00272A2D" w:rsidP="00272A2D">
      <w:pPr>
        <w:spacing w:line="360" w:lineRule="auto"/>
        <w:rPr>
          <w:lang w:val="en-US"/>
        </w:rPr>
      </w:pPr>
      <w:proofErr w:type="spellStart"/>
      <w:proofErr w:type="gramStart"/>
      <w:r w:rsidRPr="00657558">
        <w:rPr>
          <w:lang w:val="en-US"/>
        </w:rPr>
        <w:t>Shugar</w:t>
      </w:r>
      <w:proofErr w:type="spellEnd"/>
      <w:r w:rsidRPr="00657558">
        <w:rPr>
          <w:lang w:val="en-US"/>
        </w:rPr>
        <w:t xml:space="preserve"> AN, Mass JL, </w:t>
      </w:r>
      <w:r w:rsidR="00657558">
        <w:rPr>
          <w:lang w:val="en-US"/>
        </w:rPr>
        <w:t>editors.</w:t>
      </w:r>
      <w:proofErr w:type="gramEnd"/>
      <w:r w:rsidRPr="00657558">
        <w:rPr>
          <w:lang w:val="en-US"/>
        </w:rPr>
        <w:t xml:space="preserve"> </w:t>
      </w:r>
      <w:proofErr w:type="gramStart"/>
      <w:r w:rsidRPr="00657558">
        <w:rPr>
          <w:lang w:val="en-US"/>
        </w:rPr>
        <w:t>Handheld</w:t>
      </w:r>
      <w:r>
        <w:rPr>
          <w:lang w:val="en-US"/>
        </w:rPr>
        <w:t xml:space="preserve"> XRF for art and </w:t>
      </w:r>
      <w:r w:rsidRPr="00272A2D">
        <w:rPr>
          <w:lang w:val="en-US"/>
        </w:rPr>
        <w:t>archaeology.</w:t>
      </w:r>
      <w:proofErr w:type="gramEnd"/>
      <w:r w:rsidRPr="00272A2D">
        <w:rPr>
          <w:lang w:val="en-US"/>
        </w:rPr>
        <w:t xml:space="preserve"> </w:t>
      </w:r>
      <w:proofErr w:type="gramStart"/>
      <w:r w:rsidR="007A55B3">
        <w:rPr>
          <w:lang w:val="en-US"/>
        </w:rPr>
        <w:t>Studies in Archaeological Sciences</w:t>
      </w:r>
      <w:r>
        <w:rPr>
          <w:lang w:val="en-US"/>
        </w:rPr>
        <w:t xml:space="preserve"> 3.</w:t>
      </w:r>
      <w:proofErr w:type="gramEnd"/>
      <w:r>
        <w:rPr>
          <w:lang w:val="en-US"/>
        </w:rPr>
        <w:t xml:space="preserve"> </w:t>
      </w:r>
      <w:proofErr w:type="gramStart"/>
      <w:r>
        <w:rPr>
          <w:lang w:val="en-US"/>
        </w:rPr>
        <w:t>Leuven University Press</w:t>
      </w:r>
      <w:r w:rsidRPr="00272A2D">
        <w:rPr>
          <w:lang w:val="en-US"/>
        </w:rPr>
        <w:t xml:space="preserve"> </w:t>
      </w:r>
      <w:r>
        <w:rPr>
          <w:lang w:val="en-US"/>
        </w:rPr>
        <w:t>(</w:t>
      </w:r>
      <w:r w:rsidRPr="00272A2D">
        <w:rPr>
          <w:lang w:val="en-US"/>
        </w:rPr>
        <w:t>2012</w:t>
      </w:r>
      <w:r>
        <w:rPr>
          <w:lang w:val="en-US"/>
        </w:rPr>
        <w:t>)</w:t>
      </w:r>
      <w:r w:rsidRPr="00272A2D">
        <w:rPr>
          <w:lang w:val="en-US"/>
        </w:rPr>
        <w:t>.</w:t>
      </w:r>
      <w:proofErr w:type="gramEnd"/>
    </w:p>
    <w:p w:rsidR="00272A2D" w:rsidRPr="00725664" w:rsidRDefault="00272A2D" w:rsidP="00B87FA0">
      <w:pPr>
        <w:spacing w:line="360" w:lineRule="auto"/>
        <w:rPr>
          <w:lang w:val="en-US"/>
        </w:rPr>
      </w:pPr>
    </w:p>
    <w:p w:rsidR="00D665EB" w:rsidRPr="00725664" w:rsidRDefault="00D665EB"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t xml:space="preserve">Slater JL, </w:t>
      </w:r>
      <w:proofErr w:type="spellStart"/>
      <w:r w:rsidRPr="00725664">
        <w:rPr>
          <w:rFonts w:ascii="TimesNewRomanPSMT" w:hAnsi="TimesNewRomanPSMT" w:cs="TimesNewRomanPSMT"/>
          <w:lang w:val="en-US"/>
        </w:rPr>
        <w:t>Doonan</w:t>
      </w:r>
      <w:proofErr w:type="spellEnd"/>
      <w:r w:rsidRPr="00725664">
        <w:rPr>
          <w:rFonts w:ascii="TimesNewRomanPSMT" w:hAnsi="TimesNewRomanPSMT" w:cs="TimesNewRomanPSMT"/>
          <w:lang w:val="en-US"/>
        </w:rPr>
        <w:t xml:space="preserve"> RCP. </w:t>
      </w:r>
      <w:proofErr w:type="spellStart"/>
      <w:r w:rsidRPr="00725664">
        <w:rPr>
          <w:rFonts w:ascii="TimesNewRomanPSMT" w:hAnsi="TimesNewRomanPSMT" w:cs="TimesNewRomanPSMT"/>
          <w:lang w:val="en-US"/>
        </w:rPr>
        <w:t>Envaluing</w:t>
      </w:r>
      <w:proofErr w:type="spellEnd"/>
      <w:r w:rsidRPr="00725664">
        <w:rPr>
          <w:rFonts w:ascii="TimesNewRomanPSMT" w:hAnsi="TimesNewRomanPSMT" w:cs="TimesNewRomanPSMT"/>
          <w:lang w:val="en-US"/>
        </w:rPr>
        <w:t xml:space="preserve"> past practice: a framework for the spatial analysis of metal production in first millennium BC </w:t>
      </w:r>
      <w:proofErr w:type="spellStart"/>
      <w:r w:rsidRPr="00725664">
        <w:rPr>
          <w:rFonts w:ascii="TimesNewRomanPSMT" w:hAnsi="TimesNewRomanPSMT" w:cs="TimesNewRomanPSMT"/>
          <w:lang w:val="en-US"/>
        </w:rPr>
        <w:t>Britain.Proceedings</w:t>
      </w:r>
      <w:proofErr w:type="spellEnd"/>
      <w:r w:rsidRPr="00725664">
        <w:rPr>
          <w:rFonts w:ascii="TimesNewRomanPSMT" w:hAnsi="TimesNewRomanPSMT" w:cs="TimesNewRomanPSMT"/>
          <w:lang w:val="en-US"/>
        </w:rPr>
        <w:t xml:space="preserve"> of the 39th International Symposium for </w:t>
      </w:r>
      <w:proofErr w:type="spellStart"/>
      <w:r w:rsidRPr="00725664">
        <w:rPr>
          <w:rFonts w:ascii="TimesNewRomanPSMT" w:hAnsi="TimesNewRomanPSMT" w:cs="TimesNewRomanPSMT"/>
          <w:lang w:val="en-US"/>
        </w:rPr>
        <w:t>Archaeometry</w:t>
      </w:r>
      <w:proofErr w:type="spellEnd"/>
      <w:r w:rsidRPr="00725664">
        <w:rPr>
          <w:rFonts w:ascii="TimesNewRomanPSMT" w:hAnsi="TimesNewRomanPSMT" w:cs="TimesNewRomanPSMT"/>
          <w:lang w:val="en-US"/>
        </w:rPr>
        <w:t>, Leuven (2012) 113-119.</w:t>
      </w:r>
    </w:p>
    <w:p w:rsidR="00561374" w:rsidRPr="00725664" w:rsidRDefault="00561374" w:rsidP="00B87FA0">
      <w:pPr>
        <w:spacing w:line="360" w:lineRule="auto"/>
        <w:rPr>
          <w:lang w:val="en-US"/>
        </w:rPr>
      </w:pPr>
    </w:p>
    <w:p w:rsidR="008F437F" w:rsidRPr="00725664" w:rsidRDefault="008F437F" w:rsidP="00B87FA0">
      <w:pPr>
        <w:spacing w:line="360" w:lineRule="auto"/>
        <w:rPr>
          <w:lang w:val="en-US"/>
        </w:rPr>
      </w:pPr>
      <w:r w:rsidRPr="00725664">
        <w:rPr>
          <w:lang w:val="en-US"/>
        </w:rPr>
        <w:t>Speakman</w:t>
      </w:r>
      <w:r w:rsidR="00005E0A" w:rsidRPr="00725664">
        <w:rPr>
          <w:lang w:val="en-US"/>
        </w:rPr>
        <w:t xml:space="preserve"> RJ, </w:t>
      </w:r>
      <w:proofErr w:type="spellStart"/>
      <w:r w:rsidRPr="00725664">
        <w:rPr>
          <w:lang w:val="en-US"/>
        </w:rPr>
        <w:t>Shackley</w:t>
      </w:r>
      <w:proofErr w:type="spellEnd"/>
      <w:r w:rsidR="00005E0A" w:rsidRPr="00725664">
        <w:rPr>
          <w:lang w:val="en-US"/>
        </w:rPr>
        <w:t xml:space="preserve"> MS.</w:t>
      </w:r>
      <w:r w:rsidRPr="00725664">
        <w:rPr>
          <w:lang w:val="en-US"/>
        </w:rPr>
        <w:t xml:space="preserve"> Silo science and portable XRF in archaeology: a response to </w:t>
      </w:r>
      <w:proofErr w:type="spellStart"/>
      <w:r w:rsidRPr="00725664">
        <w:rPr>
          <w:lang w:val="en-US"/>
        </w:rPr>
        <w:t>Frahm</w:t>
      </w:r>
      <w:proofErr w:type="spellEnd"/>
      <w:r w:rsidRPr="00725664">
        <w:rPr>
          <w:lang w:val="en-US"/>
        </w:rPr>
        <w:t>. Journal of Archaeological Science 40 (2013) 1435-1443.</w:t>
      </w:r>
    </w:p>
    <w:p w:rsidR="008F437F" w:rsidRPr="00725664" w:rsidRDefault="008F437F" w:rsidP="00B87FA0">
      <w:pPr>
        <w:spacing w:line="360" w:lineRule="auto"/>
        <w:rPr>
          <w:lang w:val="en-US"/>
        </w:rPr>
      </w:pPr>
    </w:p>
    <w:p w:rsidR="00FF6A06" w:rsidRPr="00725664" w:rsidRDefault="00FF6A06" w:rsidP="00B87FA0">
      <w:pPr>
        <w:spacing w:line="360" w:lineRule="auto"/>
        <w:rPr>
          <w:lang w:val="en-US"/>
        </w:rPr>
      </w:pPr>
      <w:proofErr w:type="gramStart"/>
      <w:r w:rsidRPr="00725664">
        <w:rPr>
          <w:lang w:val="en-US"/>
        </w:rPr>
        <w:lastRenderedPageBreak/>
        <w:t>Speakman</w:t>
      </w:r>
      <w:r w:rsidR="000704C2" w:rsidRPr="00725664">
        <w:rPr>
          <w:lang w:val="en-US"/>
        </w:rPr>
        <w:t xml:space="preserve"> RJ</w:t>
      </w:r>
      <w:r w:rsidRPr="00725664">
        <w:rPr>
          <w:lang w:val="en-US"/>
        </w:rPr>
        <w:t>, Little</w:t>
      </w:r>
      <w:r w:rsidR="000704C2" w:rsidRPr="00725664">
        <w:rPr>
          <w:lang w:val="en-US"/>
        </w:rPr>
        <w:t xml:space="preserve"> NC</w:t>
      </w:r>
      <w:r w:rsidRPr="00725664">
        <w:rPr>
          <w:lang w:val="en-US"/>
        </w:rPr>
        <w:t>, Creel</w:t>
      </w:r>
      <w:r w:rsidR="000704C2" w:rsidRPr="00725664">
        <w:rPr>
          <w:lang w:val="en-US"/>
        </w:rPr>
        <w:t xml:space="preserve"> D</w:t>
      </w:r>
      <w:r w:rsidRPr="00725664">
        <w:rPr>
          <w:lang w:val="en-US"/>
        </w:rPr>
        <w:t>, Miller</w:t>
      </w:r>
      <w:r w:rsidR="000704C2" w:rsidRPr="00725664">
        <w:rPr>
          <w:lang w:val="en-US"/>
        </w:rPr>
        <w:t xml:space="preserve"> MR</w:t>
      </w:r>
      <w:r w:rsidRPr="00725664">
        <w:rPr>
          <w:lang w:val="en-US"/>
        </w:rPr>
        <w:t xml:space="preserve">, </w:t>
      </w:r>
      <w:proofErr w:type="spellStart"/>
      <w:r w:rsidRPr="00725664">
        <w:rPr>
          <w:lang w:val="en-US"/>
        </w:rPr>
        <w:t>Iñañez</w:t>
      </w:r>
      <w:proofErr w:type="spellEnd"/>
      <w:r w:rsidR="000704C2" w:rsidRPr="00725664">
        <w:rPr>
          <w:lang w:val="en-US"/>
        </w:rPr>
        <w:t xml:space="preserve"> JG.</w:t>
      </w:r>
      <w:proofErr w:type="gramEnd"/>
      <w:r w:rsidR="000704C2" w:rsidRPr="00725664">
        <w:rPr>
          <w:lang w:val="en-US"/>
        </w:rPr>
        <w:t xml:space="preserve"> </w:t>
      </w:r>
      <w:r w:rsidRPr="00725664">
        <w:rPr>
          <w:lang w:val="en-US"/>
        </w:rPr>
        <w:t xml:space="preserve">Sourcing ceramics with portable XRF spectrometers? </w:t>
      </w:r>
      <w:proofErr w:type="gramStart"/>
      <w:r w:rsidRPr="00725664">
        <w:rPr>
          <w:lang w:val="en-US"/>
        </w:rPr>
        <w:t>A comparison with INAA</w:t>
      </w:r>
      <w:r w:rsidR="000704C2" w:rsidRPr="00725664">
        <w:rPr>
          <w:lang w:val="en-US"/>
        </w:rPr>
        <w:t xml:space="preserve"> </w:t>
      </w:r>
      <w:r w:rsidRPr="00725664">
        <w:rPr>
          <w:lang w:val="en-US"/>
        </w:rPr>
        <w:t xml:space="preserve">using </w:t>
      </w:r>
      <w:proofErr w:type="spellStart"/>
      <w:r w:rsidRPr="00725664">
        <w:rPr>
          <w:lang w:val="en-US"/>
        </w:rPr>
        <w:t>Mimbres</w:t>
      </w:r>
      <w:proofErr w:type="spellEnd"/>
      <w:r w:rsidRPr="00725664">
        <w:rPr>
          <w:lang w:val="en-US"/>
        </w:rPr>
        <w:t xml:space="preserve"> pottery from the American Southwest.</w:t>
      </w:r>
      <w:proofErr w:type="gramEnd"/>
      <w:r w:rsidRPr="00725664">
        <w:rPr>
          <w:lang w:val="en-US"/>
        </w:rPr>
        <w:t xml:space="preserve"> </w:t>
      </w:r>
      <w:proofErr w:type="gramStart"/>
      <w:r w:rsidRPr="00725664">
        <w:rPr>
          <w:lang w:val="en-US"/>
        </w:rPr>
        <w:t>Journal of Archaeological Science 38 (2011) 3483e3496</w:t>
      </w:r>
      <w:r w:rsidR="005D4913" w:rsidRPr="00725664">
        <w:rPr>
          <w:lang w:val="en-US"/>
        </w:rPr>
        <w:t>.</w:t>
      </w:r>
      <w:proofErr w:type="gramEnd"/>
      <w:r w:rsidR="005D4913" w:rsidRPr="00725664">
        <w:rPr>
          <w:lang w:val="en-US"/>
        </w:rPr>
        <w:t xml:space="preserve"> </w:t>
      </w:r>
    </w:p>
    <w:p w:rsidR="00CA2E06" w:rsidRPr="00725664" w:rsidRDefault="00CA2E06" w:rsidP="00B87FA0">
      <w:pPr>
        <w:spacing w:line="360" w:lineRule="auto"/>
        <w:rPr>
          <w:lang w:val="en-US"/>
        </w:rPr>
      </w:pPr>
    </w:p>
    <w:p w:rsidR="008F437F" w:rsidRPr="00725664" w:rsidRDefault="008F437F" w:rsidP="00B87FA0">
      <w:pPr>
        <w:spacing w:line="360" w:lineRule="auto"/>
        <w:rPr>
          <w:lang w:val="en-US"/>
        </w:rPr>
      </w:pPr>
      <w:proofErr w:type="spellStart"/>
      <w:proofErr w:type="gramStart"/>
      <w:r w:rsidRPr="00725664">
        <w:rPr>
          <w:lang w:val="en-US"/>
        </w:rPr>
        <w:t>Thermo</w:t>
      </w:r>
      <w:proofErr w:type="spellEnd"/>
      <w:r w:rsidRPr="00725664">
        <w:rPr>
          <w:lang w:val="en-US"/>
        </w:rPr>
        <w:t xml:space="preserve"> Scientific</w:t>
      </w:r>
      <w:r w:rsidR="00606300" w:rsidRPr="00725664">
        <w:rPr>
          <w:rFonts w:ascii="TimesNewRomanPSMT" w:hAnsi="TimesNewRomanPSMT" w:cs="TimesNewRomanPSMT"/>
          <w:lang w:val="en-US"/>
        </w:rPr>
        <w:t>.</w:t>
      </w:r>
      <w:proofErr w:type="gramEnd"/>
      <w:r w:rsidR="00606300" w:rsidRPr="00725664">
        <w:rPr>
          <w:rFonts w:ascii="TimesNewRomanPSMT" w:hAnsi="TimesNewRomanPSMT" w:cs="TimesNewRomanPSMT"/>
          <w:lang w:val="en-US"/>
        </w:rPr>
        <w:t xml:space="preserve"> </w:t>
      </w:r>
      <w:proofErr w:type="gramStart"/>
      <w:r w:rsidRPr="00725664">
        <w:rPr>
          <w:lang w:val="en-US"/>
        </w:rPr>
        <w:t xml:space="preserve">Certificate of Analysis, </w:t>
      </w:r>
      <w:proofErr w:type="spellStart"/>
      <w:r w:rsidRPr="00725664">
        <w:rPr>
          <w:lang w:val="en-US"/>
        </w:rPr>
        <w:t>Thermo</w:t>
      </w:r>
      <w:proofErr w:type="spellEnd"/>
      <w:r w:rsidRPr="00725664">
        <w:rPr>
          <w:lang w:val="en-US"/>
        </w:rPr>
        <w:t xml:space="preserve"> Scientific </w:t>
      </w:r>
      <w:proofErr w:type="spellStart"/>
      <w:r w:rsidRPr="00725664">
        <w:rPr>
          <w:lang w:val="en-US"/>
        </w:rPr>
        <w:t>Niton</w:t>
      </w:r>
      <w:proofErr w:type="spellEnd"/>
      <w:r w:rsidRPr="00725664">
        <w:rPr>
          <w:lang w:val="en-US"/>
        </w:rPr>
        <w:t xml:space="preserve"> XRF Analyzers.</w:t>
      </w:r>
      <w:proofErr w:type="gramEnd"/>
      <w:r w:rsidRPr="00725664">
        <w:rPr>
          <w:lang w:val="en-US"/>
        </w:rPr>
        <w:t xml:space="preserve"> </w:t>
      </w:r>
      <w:proofErr w:type="gramStart"/>
      <w:r w:rsidRPr="00725664">
        <w:rPr>
          <w:lang w:val="en-US"/>
        </w:rPr>
        <w:t>Part Number 410-014b</w:t>
      </w:r>
      <w:r w:rsidR="00606300" w:rsidRPr="00725664">
        <w:rPr>
          <w:lang w:val="en-US"/>
        </w:rPr>
        <w:t xml:space="preserve">, </w:t>
      </w:r>
      <w:hyperlink r:id="rId13" w:history="1">
        <w:r w:rsidRPr="00725664">
          <w:rPr>
            <w:rStyle w:val="Hyperlink"/>
            <w:rFonts w:ascii="TimesNewRomanPSMT" w:hAnsi="TimesNewRomanPSMT" w:cs="TimesNewRomanPSMT"/>
            <w:lang w:val="en-US"/>
          </w:rPr>
          <w:t>www.thermoscientific.com/niton</w:t>
        </w:r>
      </w:hyperlink>
      <w:r w:rsidRPr="00725664">
        <w:rPr>
          <w:rStyle w:val="Hyperlink"/>
          <w:rFonts w:ascii="TimesNewRomanPSMT" w:hAnsi="TimesNewRomanPSMT" w:cs="TimesNewRomanPSMT"/>
          <w:lang w:val="en-US"/>
        </w:rPr>
        <w:t xml:space="preserve">, </w:t>
      </w:r>
      <w:proofErr w:type="spellStart"/>
      <w:r w:rsidRPr="00725664">
        <w:rPr>
          <w:lang w:val="en-US"/>
        </w:rPr>
        <w:t>Thermo</w:t>
      </w:r>
      <w:proofErr w:type="spellEnd"/>
      <w:r w:rsidRPr="00725664">
        <w:rPr>
          <w:lang w:val="en-US"/>
        </w:rPr>
        <w:t xml:space="preserve"> Scientific Inc. Boston</w:t>
      </w:r>
      <w:r w:rsidR="00606300" w:rsidRPr="00725664">
        <w:rPr>
          <w:lang w:val="en-US"/>
        </w:rPr>
        <w:t>, 2013</w:t>
      </w:r>
      <w:r w:rsidRPr="00725664">
        <w:rPr>
          <w:lang w:val="en-US"/>
        </w:rPr>
        <w:t>.</w:t>
      </w:r>
      <w:proofErr w:type="gramEnd"/>
    </w:p>
    <w:p w:rsidR="00780D40" w:rsidRPr="00725664" w:rsidRDefault="00780D40" w:rsidP="00B87FA0">
      <w:pPr>
        <w:spacing w:line="360" w:lineRule="auto"/>
        <w:rPr>
          <w:lang w:val="en-US"/>
        </w:rPr>
      </w:pPr>
    </w:p>
    <w:p w:rsidR="00CE0038" w:rsidRPr="00725664" w:rsidRDefault="00780D40" w:rsidP="00B87FA0">
      <w:pPr>
        <w:spacing w:line="360" w:lineRule="auto"/>
        <w:rPr>
          <w:lang w:val="en-US"/>
        </w:rPr>
      </w:pPr>
      <w:r w:rsidRPr="00725664">
        <w:rPr>
          <w:lang w:val="en-US"/>
        </w:rPr>
        <w:t xml:space="preserve">Thomsen V, </w:t>
      </w:r>
      <w:proofErr w:type="spellStart"/>
      <w:r w:rsidRPr="00725664">
        <w:rPr>
          <w:lang w:val="en-US"/>
        </w:rPr>
        <w:t>Schatzlein</w:t>
      </w:r>
      <w:proofErr w:type="spellEnd"/>
      <w:r w:rsidRPr="00725664">
        <w:rPr>
          <w:lang w:val="en-US"/>
        </w:rPr>
        <w:t xml:space="preserve"> S, </w:t>
      </w:r>
      <w:proofErr w:type="spellStart"/>
      <w:r w:rsidRPr="00725664">
        <w:rPr>
          <w:lang w:val="en-US"/>
        </w:rPr>
        <w:t>Mercuro</w:t>
      </w:r>
      <w:proofErr w:type="spellEnd"/>
      <w:r w:rsidRPr="00725664">
        <w:rPr>
          <w:lang w:val="en-US"/>
        </w:rPr>
        <w:t xml:space="preserve"> D.</w:t>
      </w:r>
      <w:r w:rsidR="00CE0038" w:rsidRPr="00725664">
        <w:rPr>
          <w:lang w:val="en-US"/>
        </w:rPr>
        <w:t xml:space="preserve"> Limits of Detection in Spectroscopy. Spectroscopy 18 (12), December 2003, 112-114.</w:t>
      </w:r>
    </w:p>
    <w:p w:rsidR="004A1538" w:rsidRPr="00725664" w:rsidRDefault="004A1538" w:rsidP="00B87FA0">
      <w:pPr>
        <w:spacing w:line="360" w:lineRule="auto"/>
        <w:rPr>
          <w:lang w:val="en-US"/>
        </w:rPr>
      </w:pPr>
    </w:p>
    <w:p w:rsidR="000B1474" w:rsidRPr="00725664" w:rsidRDefault="000B1474" w:rsidP="00B87FA0">
      <w:pPr>
        <w:spacing w:line="360" w:lineRule="auto"/>
        <w:rPr>
          <w:rFonts w:ascii="TimesNewRomanPSMT" w:hAnsi="TimesNewRomanPSMT" w:cs="TimesNewRomanPSMT"/>
          <w:lang w:val="en-US"/>
        </w:rPr>
      </w:pPr>
      <w:proofErr w:type="spellStart"/>
      <w:proofErr w:type="gramStart"/>
      <w:r w:rsidRPr="00725664">
        <w:rPr>
          <w:rFonts w:ascii="TimesNewRomanPSMT" w:hAnsi="TimesNewRomanPSMT" w:cs="TimesNewRomanPSMT"/>
          <w:lang w:val="en-US"/>
        </w:rPr>
        <w:t>Tighe</w:t>
      </w:r>
      <w:proofErr w:type="spellEnd"/>
      <w:r w:rsidRPr="00725664">
        <w:rPr>
          <w:rFonts w:ascii="TimesNewRomanPSMT" w:hAnsi="TimesNewRomanPSMT" w:cs="TimesNewRomanPSMT"/>
          <w:lang w:val="en-US"/>
        </w:rPr>
        <w:t xml:space="preserve"> M, Rogan G, Wilson SC, Grave P, </w:t>
      </w:r>
      <w:proofErr w:type="spellStart"/>
      <w:r w:rsidRPr="00725664">
        <w:rPr>
          <w:rFonts w:ascii="TimesNewRomanPSMT" w:hAnsi="TimesNewRomanPSMT" w:cs="TimesNewRomanPSMT"/>
          <w:lang w:val="en-US"/>
        </w:rPr>
        <w:t>Kealhofer</w:t>
      </w:r>
      <w:proofErr w:type="spellEnd"/>
      <w:r w:rsidRPr="00725664">
        <w:rPr>
          <w:rFonts w:ascii="TimesNewRomanPSMT" w:hAnsi="TimesNewRomanPSMT" w:cs="TimesNewRomanPSMT"/>
          <w:lang w:val="en-US"/>
        </w:rPr>
        <w:t xml:space="preserve"> L, </w:t>
      </w:r>
      <w:proofErr w:type="spellStart"/>
      <w:r w:rsidRPr="00725664">
        <w:rPr>
          <w:rFonts w:ascii="TimesNewRomanPSMT" w:hAnsi="TimesNewRomanPSMT" w:cs="TimesNewRomanPSMT"/>
          <w:lang w:val="en-US"/>
        </w:rPr>
        <w:t>Yukongdi</w:t>
      </w:r>
      <w:proofErr w:type="spellEnd"/>
      <w:r w:rsidRPr="00725664">
        <w:rPr>
          <w:rFonts w:ascii="TimesNewRomanPSMT" w:hAnsi="TimesNewRomanPSMT" w:cs="TimesNewRomanPSMT"/>
          <w:lang w:val="en-US"/>
        </w:rPr>
        <w:t xml:space="preserve"> P.</w:t>
      </w:r>
      <w:proofErr w:type="gramEnd"/>
      <w:r w:rsidRPr="00725664">
        <w:rPr>
          <w:rFonts w:ascii="TimesNewRomanPSMT" w:hAnsi="TimesNewRomanPSMT" w:cs="TimesNewRomanPSMT"/>
          <w:lang w:val="en-US"/>
        </w:rPr>
        <w:t xml:space="preserve"> </w:t>
      </w:r>
      <w:proofErr w:type="gramStart"/>
      <w:r w:rsidRPr="00725664">
        <w:rPr>
          <w:rFonts w:ascii="TimesNewRomanPSMT" w:hAnsi="TimesNewRomanPSMT" w:cs="TimesNewRomanPSMT"/>
          <w:lang w:val="en-US"/>
        </w:rPr>
        <w:t>The potential for portable X-ray fluorescence determination of soil copper at ancient metallurgy sites, and considerations beyond measurements of total concentrations.</w:t>
      </w:r>
      <w:proofErr w:type="gramEnd"/>
      <w:r w:rsidRPr="00725664">
        <w:rPr>
          <w:rFonts w:ascii="TimesNewRomanPSMT" w:hAnsi="TimesNewRomanPSMT" w:cs="TimesNewRomanPSMT"/>
          <w:lang w:val="en-US"/>
        </w:rPr>
        <w:t xml:space="preserve"> Journal of Environmental Management 206 (2018) 373-382.</w:t>
      </w:r>
    </w:p>
    <w:p w:rsidR="000B1474" w:rsidRPr="00725664" w:rsidRDefault="000B1474" w:rsidP="00B87FA0">
      <w:pPr>
        <w:spacing w:line="360" w:lineRule="auto"/>
        <w:rPr>
          <w:lang w:val="en-US"/>
        </w:rPr>
      </w:pPr>
    </w:p>
    <w:p w:rsidR="00FA267C" w:rsidRPr="00725664" w:rsidRDefault="00FA267C" w:rsidP="00B87FA0">
      <w:pPr>
        <w:spacing w:line="360" w:lineRule="auto"/>
        <w:rPr>
          <w:lang w:val="en-US"/>
        </w:rPr>
      </w:pPr>
      <w:proofErr w:type="gramStart"/>
      <w:r w:rsidRPr="00725664">
        <w:rPr>
          <w:lang w:val="en-US"/>
        </w:rPr>
        <w:t>U</w:t>
      </w:r>
      <w:r w:rsidR="00780D40" w:rsidRPr="00725664">
        <w:rPr>
          <w:lang w:val="en-US"/>
        </w:rPr>
        <w:t>S EPA.</w:t>
      </w:r>
      <w:proofErr w:type="gramEnd"/>
      <w:r w:rsidR="00780D40" w:rsidRPr="00725664">
        <w:rPr>
          <w:lang w:val="en-US"/>
        </w:rPr>
        <w:t xml:space="preserve"> </w:t>
      </w:r>
      <w:r w:rsidRPr="00725664">
        <w:rPr>
          <w:lang w:val="en-US"/>
        </w:rPr>
        <w:t>United States Environmental Protection Agency (US EPA), 2004. Method 6200-Field Portable X-ray Fluorescence Spectrometry for the Determination of Elemental Concentrations in Soil and Sediment, pp. 1e32 (accessed 27 08 15). http:// www3.epa.gov/epawaste/hazard/testmethods/sw846/pdfs/6200.pdf.</w:t>
      </w:r>
    </w:p>
    <w:p w:rsidR="00574E88" w:rsidRPr="00725664" w:rsidRDefault="00574E88" w:rsidP="00B87FA0">
      <w:pPr>
        <w:spacing w:line="360" w:lineRule="auto"/>
        <w:rPr>
          <w:rFonts w:ascii="TimesNewRomanPSMT" w:hAnsi="TimesNewRomanPSMT" w:cs="TimesNewRomanPSMT"/>
          <w:lang w:val="en-US"/>
        </w:rPr>
      </w:pPr>
    </w:p>
    <w:p w:rsidR="00574E88" w:rsidRPr="00725664" w:rsidRDefault="00780D40"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t>Webb PC</w:t>
      </w:r>
      <w:r w:rsidR="00574E88" w:rsidRPr="00725664">
        <w:rPr>
          <w:rFonts w:ascii="TimesNewRomanPSMT" w:hAnsi="TimesNewRomanPSMT" w:cs="TimesNewRomanPSMT"/>
          <w:lang w:val="en-US"/>
        </w:rPr>
        <w:t xml:space="preserve">, </w:t>
      </w:r>
      <w:r w:rsidRPr="00725664">
        <w:rPr>
          <w:rFonts w:ascii="TimesNewRomanPSMT" w:hAnsi="TimesNewRomanPSMT" w:cs="TimesNewRomanPSMT"/>
          <w:lang w:val="en-US"/>
        </w:rPr>
        <w:t>Thompson M</w:t>
      </w:r>
      <w:r w:rsidR="00574E88" w:rsidRPr="00725664">
        <w:rPr>
          <w:rFonts w:ascii="TimesNewRomanPSMT" w:hAnsi="TimesNewRomanPSMT" w:cs="TimesNewRomanPSMT"/>
          <w:lang w:val="en-US"/>
        </w:rPr>
        <w:t xml:space="preserve">, </w:t>
      </w:r>
      <w:r w:rsidRPr="00725664">
        <w:rPr>
          <w:rFonts w:ascii="TimesNewRomanPSMT" w:hAnsi="TimesNewRomanPSMT" w:cs="TimesNewRomanPSMT"/>
          <w:lang w:val="en-US"/>
        </w:rPr>
        <w:t xml:space="preserve">Potts PJ, </w:t>
      </w:r>
      <w:r w:rsidR="00574E88" w:rsidRPr="00725664">
        <w:rPr>
          <w:rFonts w:ascii="TimesNewRomanPSMT" w:hAnsi="TimesNewRomanPSMT" w:cs="TimesNewRomanPSMT"/>
          <w:lang w:val="en-US"/>
        </w:rPr>
        <w:t xml:space="preserve">Wilson </w:t>
      </w:r>
      <w:r w:rsidRPr="00725664">
        <w:rPr>
          <w:rFonts w:ascii="TimesNewRomanPSMT" w:hAnsi="TimesNewRomanPSMT" w:cs="TimesNewRomanPSMT"/>
          <w:lang w:val="en-US"/>
        </w:rPr>
        <w:t xml:space="preserve">SA. GeoPT36A – an international proficiency test for analytical geochemistry laboratories – report on round </w:t>
      </w:r>
      <w:r w:rsidR="00574E88" w:rsidRPr="00725664">
        <w:rPr>
          <w:rFonts w:ascii="TimesNewRomanPSMT" w:hAnsi="TimesNewRomanPSMT" w:cs="TimesNewRomanPSMT"/>
          <w:lang w:val="en-US"/>
        </w:rPr>
        <w:t>36A (Metal-rich sediment, SdAR-M2) / January 2015</w:t>
      </w:r>
      <w:r w:rsidRPr="00725664">
        <w:rPr>
          <w:rFonts w:ascii="TimesNewRomanPSMT" w:hAnsi="TimesNewRomanPSMT" w:cs="TimesNewRomanPSMT"/>
          <w:lang w:val="en-US"/>
        </w:rPr>
        <w:t>.</w:t>
      </w:r>
    </w:p>
    <w:p w:rsidR="00B20690" w:rsidRPr="00725664" w:rsidRDefault="00B20690" w:rsidP="00B87FA0">
      <w:pPr>
        <w:spacing w:line="360" w:lineRule="auto"/>
        <w:rPr>
          <w:rFonts w:ascii="TimesNewRomanPSMT" w:hAnsi="TimesNewRomanPSMT" w:cs="TimesNewRomanPSMT"/>
          <w:lang w:val="en-US"/>
        </w:rPr>
      </w:pPr>
    </w:p>
    <w:p w:rsidR="00960EB1" w:rsidRPr="00725664" w:rsidRDefault="00D7118F"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t>Wise</w:t>
      </w:r>
      <w:r w:rsidR="000A4EFA" w:rsidRPr="00725664">
        <w:rPr>
          <w:rFonts w:ascii="TimesNewRomanPSMT" w:hAnsi="TimesNewRomanPSMT" w:cs="TimesNewRomanPSMT"/>
          <w:lang w:val="en-US"/>
        </w:rPr>
        <w:t xml:space="preserve"> SA</w:t>
      </w:r>
      <w:r w:rsidRPr="00725664">
        <w:rPr>
          <w:rFonts w:ascii="TimesNewRomanPSMT" w:hAnsi="TimesNewRomanPSMT" w:cs="TimesNewRomanPSMT"/>
          <w:lang w:val="en-US"/>
        </w:rPr>
        <w:t xml:space="preserve">, </w:t>
      </w:r>
      <w:r w:rsidR="000A4EFA" w:rsidRPr="00725664">
        <w:rPr>
          <w:rFonts w:ascii="TimesNewRomanPSMT" w:hAnsi="TimesNewRomanPSMT" w:cs="TimesNewRomanPSMT"/>
          <w:lang w:val="en-US"/>
        </w:rPr>
        <w:t>Robert L. Watters</w:t>
      </w:r>
      <w:r w:rsidRPr="00725664">
        <w:rPr>
          <w:rFonts w:ascii="TimesNewRomanPSMT" w:hAnsi="TimesNewRomanPSMT" w:cs="TimesNewRomanPSMT"/>
          <w:lang w:val="en-US"/>
        </w:rPr>
        <w:t xml:space="preserve"> </w:t>
      </w:r>
      <w:proofErr w:type="spellStart"/>
      <w:r w:rsidR="000A4EFA" w:rsidRPr="00725664">
        <w:rPr>
          <w:rFonts w:ascii="TimesNewRomanPSMT" w:hAnsi="TimesNewRomanPSMT" w:cs="TimesNewRomanPSMT"/>
          <w:lang w:val="en-US"/>
        </w:rPr>
        <w:t>RLJr</w:t>
      </w:r>
      <w:proofErr w:type="spellEnd"/>
      <w:r w:rsidR="000A4EFA" w:rsidRPr="00725664">
        <w:rPr>
          <w:rFonts w:ascii="TimesNewRomanPSMT" w:hAnsi="TimesNewRomanPSMT" w:cs="TimesNewRomanPSMT"/>
          <w:lang w:val="en-US"/>
        </w:rPr>
        <w:t>.</w:t>
      </w:r>
      <w:r w:rsidR="009E0BB5" w:rsidRPr="00725664">
        <w:rPr>
          <w:rFonts w:ascii="TimesNewRomanPSMT" w:hAnsi="TimesNewRomanPSMT" w:cs="TimesNewRomanPSMT"/>
          <w:lang w:val="en-US"/>
        </w:rPr>
        <w:t xml:space="preserve"> </w:t>
      </w:r>
      <w:r w:rsidRPr="00725664">
        <w:rPr>
          <w:rFonts w:ascii="TimesNewRomanPSMT" w:hAnsi="TimesNewRomanPSMT" w:cs="TimesNewRomanPSMT"/>
          <w:lang w:val="en-US"/>
        </w:rPr>
        <w:t>National Institute of Standards &amp; Technology, Certificate of Analysis, Sta</w:t>
      </w:r>
      <w:r w:rsidR="00A37DA6" w:rsidRPr="00725664">
        <w:rPr>
          <w:rFonts w:ascii="TimesNewRomanPSMT" w:hAnsi="TimesNewRomanPSMT" w:cs="TimesNewRomanPSMT"/>
          <w:lang w:val="en-US"/>
        </w:rPr>
        <w:t xml:space="preserve">ndard Reference Material </w:t>
      </w:r>
      <w:r w:rsidRPr="00725664">
        <w:rPr>
          <w:rFonts w:ascii="TimesNewRomanPSMT" w:hAnsi="TimesNewRomanPSMT" w:cs="TimesNewRomanPSMT"/>
          <w:lang w:val="en-US"/>
        </w:rPr>
        <w:t>2709a, San Joaquin Soil, Baseline Trace Element Concentrations</w:t>
      </w:r>
      <w:r w:rsidR="000A4EFA" w:rsidRPr="00725664">
        <w:rPr>
          <w:rFonts w:ascii="TimesNewRomanPSMT" w:hAnsi="TimesNewRomanPSMT" w:cs="TimesNewRomanPSMT"/>
          <w:lang w:val="en-US"/>
        </w:rPr>
        <w:t>, 2009.</w:t>
      </w:r>
    </w:p>
    <w:p w:rsidR="00A37DA6" w:rsidRPr="00725664" w:rsidRDefault="00A37DA6" w:rsidP="00B87FA0">
      <w:pPr>
        <w:spacing w:line="360" w:lineRule="auto"/>
        <w:rPr>
          <w:rFonts w:ascii="TimesNewRomanPSMT" w:hAnsi="TimesNewRomanPSMT" w:cs="TimesNewRomanPSMT"/>
          <w:lang w:val="en-US"/>
        </w:rPr>
      </w:pPr>
    </w:p>
    <w:p w:rsidR="00BD1AD0" w:rsidRPr="00725664" w:rsidRDefault="000A4EFA"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lastRenderedPageBreak/>
        <w:t xml:space="preserve">Wise SA, Robert L. Watters </w:t>
      </w:r>
      <w:proofErr w:type="spellStart"/>
      <w:r w:rsidRPr="00725664">
        <w:rPr>
          <w:rFonts w:ascii="TimesNewRomanPSMT" w:hAnsi="TimesNewRomanPSMT" w:cs="TimesNewRomanPSMT"/>
          <w:lang w:val="en-US"/>
        </w:rPr>
        <w:t>RLJr</w:t>
      </w:r>
      <w:proofErr w:type="spellEnd"/>
      <w:r w:rsidRPr="00725664">
        <w:rPr>
          <w:rFonts w:ascii="TimesNewRomanPSMT" w:hAnsi="TimesNewRomanPSMT" w:cs="TimesNewRomanPSMT"/>
          <w:lang w:val="en-US"/>
        </w:rPr>
        <w:t xml:space="preserve">. </w:t>
      </w:r>
      <w:r w:rsidR="00960EB1" w:rsidRPr="00725664">
        <w:rPr>
          <w:rFonts w:ascii="TimesNewRomanPSMT" w:hAnsi="TimesNewRomanPSMT" w:cs="TimesNewRomanPSMT"/>
          <w:lang w:val="en-US"/>
        </w:rPr>
        <w:t>National Institute of Standards &amp; Technology, Certificate of Analysis, St</w:t>
      </w:r>
      <w:r w:rsidR="00A37DA6" w:rsidRPr="00725664">
        <w:rPr>
          <w:rFonts w:ascii="TimesNewRomanPSMT" w:hAnsi="TimesNewRomanPSMT" w:cs="TimesNewRomanPSMT"/>
          <w:lang w:val="en-US"/>
        </w:rPr>
        <w:t>andard Reference Material</w:t>
      </w:r>
      <w:r w:rsidR="00960EB1" w:rsidRPr="00725664">
        <w:rPr>
          <w:rFonts w:ascii="TimesNewRomanPSMT" w:hAnsi="TimesNewRomanPSMT" w:cs="TimesNewRomanPSMT"/>
          <w:lang w:val="en-US"/>
        </w:rPr>
        <w:t xml:space="preserve"> 2780, Hard Rock Mine Waste</w:t>
      </w:r>
      <w:r w:rsidRPr="00725664">
        <w:rPr>
          <w:rFonts w:ascii="TimesNewRomanPSMT" w:hAnsi="TimesNewRomanPSMT" w:cs="TimesNewRomanPSMT"/>
          <w:lang w:val="en-US"/>
        </w:rPr>
        <w:t>, 2012.</w:t>
      </w:r>
    </w:p>
    <w:p w:rsidR="000B1474" w:rsidRPr="00725664" w:rsidRDefault="000B1474" w:rsidP="00B87FA0">
      <w:pPr>
        <w:spacing w:line="360" w:lineRule="auto"/>
        <w:rPr>
          <w:rFonts w:ascii="TimesNewRomanPSMT" w:hAnsi="TimesNewRomanPSMT" w:cs="TimesNewRomanPSMT"/>
          <w:lang w:val="en-US"/>
        </w:rPr>
      </w:pPr>
    </w:p>
    <w:p w:rsidR="000B1474" w:rsidRPr="00725664" w:rsidRDefault="000B1474" w:rsidP="00B87FA0">
      <w:pPr>
        <w:spacing w:line="360" w:lineRule="auto"/>
        <w:rPr>
          <w:rFonts w:ascii="TimesNewRomanPSMT" w:hAnsi="TimesNewRomanPSMT" w:cs="TimesNewRomanPSMT"/>
          <w:lang w:val="en-US"/>
        </w:rPr>
      </w:pPr>
      <w:r w:rsidRPr="00725664">
        <w:rPr>
          <w:rFonts w:ascii="TimesNewRomanPSMT" w:hAnsi="TimesNewRomanPSMT" w:cs="TimesNewRomanPSMT"/>
          <w:lang w:val="en-US"/>
        </w:rPr>
        <w:t xml:space="preserve">Young KE, Evans CA, Hodges KV, Bleacher JE, Graff TG. </w:t>
      </w:r>
      <w:proofErr w:type="gramStart"/>
      <w:r w:rsidRPr="00725664">
        <w:rPr>
          <w:rFonts w:ascii="TimesNewRomanPSMT" w:hAnsi="TimesNewRomanPSMT" w:cs="TimesNewRomanPSMT"/>
          <w:lang w:val="en-US"/>
        </w:rPr>
        <w:t>A review of the handheld X-ray fluorescence spectrometer as a tool for field geologic investigations on Earth and in planetary surface exploration.</w:t>
      </w:r>
      <w:proofErr w:type="gramEnd"/>
      <w:r w:rsidRPr="00725664">
        <w:rPr>
          <w:rFonts w:ascii="TimesNewRomanPSMT" w:hAnsi="TimesNewRomanPSMT" w:cs="TimesNewRomanPSMT"/>
          <w:lang w:val="en-US"/>
        </w:rPr>
        <w:t xml:space="preserve"> Applied Geochemistry 72 (2016) 77-87.</w:t>
      </w:r>
    </w:p>
    <w:p w:rsidR="000B1474" w:rsidRPr="00725664" w:rsidRDefault="000B1474" w:rsidP="00B87FA0">
      <w:pPr>
        <w:spacing w:line="360" w:lineRule="auto"/>
        <w:rPr>
          <w:rFonts w:ascii="TimesNewRomanPSMT" w:hAnsi="TimesNewRomanPSMT" w:cs="TimesNewRomanPSMT"/>
          <w:lang w:val="en-US"/>
        </w:rPr>
      </w:pPr>
    </w:p>
    <w:p w:rsidR="000B1474" w:rsidRDefault="000B1474" w:rsidP="00B87FA0">
      <w:pPr>
        <w:spacing w:line="360" w:lineRule="auto"/>
        <w:rPr>
          <w:rFonts w:ascii="TimesNewRomanPSMT" w:hAnsi="TimesNewRomanPSMT" w:cs="TimesNewRomanPSMT"/>
          <w:lang w:val="en-US"/>
        </w:rPr>
      </w:pPr>
      <w:proofErr w:type="spellStart"/>
      <w:r w:rsidRPr="00725664">
        <w:rPr>
          <w:rFonts w:ascii="TimesNewRomanPSMT" w:hAnsi="TimesNewRomanPSMT" w:cs="TimesNewRomanPSMT"/>
          <w:lang w:val="en-US"/>
        </w:rPr>
        <w:t>Zori</w:t>
      </w:r>
      <w:proofErr w:type="spellEnd"/>
      <w:r w:rsidRPr="00725664">
        <w:rPr>
          <w:rFonts w:ascii="TimesNewRomanPSMT" w:hAnsi="TimesNewRomanPSMT" w:cs="TimesNewRomanPSMT"/>
          <w:lang w:val="en-US"/>
        </w:rPr>
        <w:t xml:space="preserve"> C, </w:t>
      </w:r>
      <w:proofErr w:type="spellStart"/>
      <w:r w:rsidRPr="00725664">
        <w:rPr>
          <w:rFonts w:ascii="TimesNewRomanPSMT" w:hAnsi="TimesNewRomanPSMT" w:cs="TimesNewRomanPSMT"/>
          <w:lang w:val="en-US"/>
        </w:rPr>
        <w:t>Tropper</w:t>
      </w:r>
      <w:proofErr w:type="spellEnd"/>
      <w:r w:rsidRPr="00725664">
        <w:rPr>
          <w:rFonts w:ascii="TimesNewRomanPSMT" w:hAnsi="TimesNewRomanPSMT" w:cs="TimesNewRomanPSMT"/>
          <w:lang w:val="en-US"/>
        </w:rPr>
        <w:t xml:space="preserve"> P. Silver lining: evidence for Inka silver refining in northern Chile. Journal of Archaeological Science (2013) 40, Issue 8. 3282-3292.</w:t>
      </w:r>
    </w:p>
    <w:sectPr w:rsidR="000B14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C5" w:rsidRDefault="001632C5" w:rsidP="00B87FA0">
      <w:pPr>
        <w:spacing w:after="0" w:line="240" w:lineRule="auto"/>
      </w:pPr>
      <w:r>
        <w:separator/>
      </w:r>
    </w:p>
  </w:endnote>
  <w:endnote w:type="continuationSeparator" w:id="0">
    <w:p w:rsidR="001632C5" w:rsidRDefault="001632C5"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C5" w:rsidRDefault="001632C5" w:rsidP="00B87FA0">
      <w:pPr>
        <w:spacing w:after="0" w:line="240" w:lineRule="auto"/>
      </w:pPr>
      <w:r>
        <w:separator/>
      </w:r>
    </w:p>
  </w:footnote>
  <w:footnote w:type="continuationSeparator" w:id="0">
    <w:p w:rsidR="001632C5" w:rsidRDefault="001632C5" w:rsidP="00B87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AB"/>
    <w:multiLevelType w:val="hybridMultilevel"/>
    <w:tmpl w:val="C07CD2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7A14DD"/>
    <w:multiLevelType w:val="hybridMultilevel"/>
    <w:tmpl w:val="A276F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584B9D"/>
    <w:multiLevelType w:val="hybridMultilevel"/>
    <w:tmpl w:val="A866F8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3669C6"/>
    <w:multiLevelType w:val="hybridMultilevel"/>
    <w:tmpl w:val="62C8E852"/>
    <w:lvl w:ilvl="0" w:tplc="CF5A3BB0">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Gilb">
    <w15:presenceInfo w15:providerId="None" w15:userId="Hannah Gi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F7"/>
    <w:rsid w:val="0000427C"/>
    <w:rsid w:val="000043E6"/>
    <w:rsid w:val="00005E0A"/>
    <w:rsid w:val="0001158D"/>
    <w:rsid w:val="00014029"/>
    <w:rsid w:val="000148EC"/>
    <w:rsid w:val="00016CA4"/>
    <w:rsid w:val="0001712F"/>
    <w:rsid w:val="00022716"/>
    <w:rsid w:val="00045EC5"/>
    <w:rsid w:val="000466A5"/>
    <w:rsid w:val="00055581"/>
    <w:rsid w:val="00055A45"/>
    <w:rsid w:val="0006059D"/>
    <w:rsid w:val="00062FF2"/>
    <w:rsid w:val="000669AA"/>
    <w:rsid w:val="00067ACC"/>
    <w:rsid w:val="000704C2"/>
    <w:rsid w:val="00073B31"/>
    <w:rsid w:val="00075A96"/>
    <w:rsid w:val="000760D7"/>
    <w:rsid w:val="0008319B"/>
    <w:rsid w:val="000905C0"/>
    <w:rsid w:val="000909B8"/>
    <w:rsid w:val="00094980"/>
    <w:rsid w:val="000954C5"/>
    <w:rsid w:val="00096BE2"/>
    <w:rsid w:val="00097210"/>
    <w:rsid w:val="000A20F0"/>
    <w:rsid w:val="000A4EFA"/>
    <w:rsid w:val="000A63B7"/>
    <w:rsid w:val="000B1474"/>
    <w:rsid w:val="000B5C58"/>
    <w:rsid w:val="000C1ABB"/>
    <w:rsid w:val="000D1249"/>
    <w:rsid w:val="000D1E4A"/>
    <w:rsid w:val="000D5665"/>
    <w:rsid w:val="000D68CD"/>
    <w:rsid w:val="000F28C1"/>
    <w:rsid w:val="000F2A56"/>
    <w:rsid w:val="000F69C9"/>
    <w:rsid w:val="00100164"/>
    <w:rsid w:val="001002A6"/>
    <w:rsid w:val="001002FB"/>
    <w:rsid w:val="00105E8B"/>
    <w:rsid w:val="0010735B"/>
    <w:rsid w:val="00107538"/>
    <w:rsid w:val="00114AB8"/>
    <w:rsid w:val="001177F1"/>
    <w:rsid w:val="00117AD6"/>
    <w:rsid w:val="00127655"/>
    <w:rsid w:val="001305CF"/>
    <w:rsid w:val="00131881"/>
    <w:rsid w:val="00132036"/>
    <w:rsid w:val="00132288"/>
    <w:rsid w:val="00132453"/>
    <w:rsid w:val="001629D7"/>
    <w:rsid w:val="001632C5"/>
    <w:rsid w:val="001640DA"/>
    <w:rsid w:val="0016509E"/>
    <w:rsid w:val="00167DFB"/>
    <w:rsid w:val="001705A5"/>
    <w:rsid w:val="001714D5"/>
    <w:rsid w:val="00171724"/>
    <w:rsid w:val="00171A1E"/>
    <w:rsid w:val="00173129"/>
    <w:rsid w:val="0017484C"/>
    <w:rsid w:val="00176387"/>
    <w:rsid w:val="00186BC3"/>
    <w:rsid w:val="0019062B"/>
    <w:rsid w:val="00193A7E"/>
    <w:rsid w:val="00197C0C"/>
    <w:rsid w:val="001A6534"/>
    <w:rsid w:val="001A6924"/>
    <w:rsid w:val="001B0FDC"/>
    <w:rsid w:val="001B2774"/>
    <w:rsid w:val="001B27E8"/>
    <w:rsid w:val="001C3D81"/>
    <w:rsid w:val="001C67F7"/>
    <w:rsid w:val="001C6942"/>
    <w:rsid w:val="001D3145"/>
    <w:rsid w:val="001D5040"/>
    <w:rsid w:val="001E11AB"/>
    <w:rsid w:val="001E1982"/>
    <w:rsid w:val="001E1A58"/>
    <w:rsid w:val="001E2E2B"/>
    <w:rsid w:val="001E2EE9"/>
    <w:rsid w:val="001E7141"/>
    <w:rsid w:val="001E7366"/>
    <w:rsid w:val="001E74CC"/>
    <w:rsid w:val="001F7F07"/>
    <w:rsid w:val="00201503"/>
    <w:rsid w:val="002051AE"/>
    <w:rsid w:val="00206BC1"/>
    <w:rsid w:val="00207D5F"/>
    <w:rsid w:val="00210E8F"/>
    <w:rsid w:val="002114D8"/>
    <w:rsid w:val="0021389B"/>
    <w:rsid w:val="0021450D"/>
    <w:rsid w:val="00217645"/>
    <w:rsid w:val="00236C65"/>
    <w:rsid w:val="002407C0"/>
    <w:rsid w:val="00242FED"/>
    <w:rsid w:val="002476AD"/>
    <w:rsid w:val="00253F30"/>
    <w:rsid w:val="00262EE7"/>
    <w:rsid w:val="00264A23"/>
    <w:rsid w:val="002654B5"/>
    <w:rsid w:val="00266929"/>
    <w:rsid w:val="0027085C"/>
    <w:rsid w:val="00272A2D"/>
    <w:rsid w:val="00281A7A"/>
    <w:rsid w:val="00282AB9"/>
    <w:rsid w:val="0028614F"/>
    <w:rsid w:val="0029073E"/>
    <w:rsid w:val="002926CD"/>
    <w:rsid w:val="00294DBA"/>
    <w:rsid w:val="0029555A"/>
    <w:rsid w:val="0029660B"/>
    <w:rsid w:val="002A31CC"/>
    <w:rsid w:val="002B23F1"/>
    <w:rsid w:val="002B2B01"/>
    <w:rsid w:val="002B3011"/>
    <w:rsid w:val="002B3DC1"/>
    <w:rsid w:val="002B6164"/>
    <w:rsid w:val="002B7785"/>
    <w:rsid w:val="002C012B"/>
    <w:rsid w:val="002C0166"/>
    <w:rsid w:val="002C1C19"/>
    <w:rsid w:val="002C27CE"/>
    <w:rsid w:val="002C33EA"/>
    <w:rsid w:val="002C6585"/>
    <w:rsid w:val="002C7F05"/>
    <w:rsid w:val="002D08AB"/>
    <w:rsid w:val="002D314A"/>
    <w:rsid w:val="002D4F3A"/>
    <w:rsid w:val="002D68C8"/>
    <w:rsid w:val="002E2BEF"/>
    <w:rsid w:val="002E3A8A"/>
    <w:rsid w:val="002E788F"/>
    <w:rsid w:val="002F004A"/>
    <w:rsid w:val="002F11C5"/>
    <w:rsid w:val="002F1AE0"/>
    <w:rsid w:val="002F5C00"/>
    <w:rsid w:val="0030605C"/>
    <w:rsid w:val="003104F1"/>
    <w:rsid w:val="00312AE7"/>
    <w:rsid w:val="003151C8"/>
    <w:rsid w:val="0032093E"/>
    <w:rsid w:val="00326258"/>
    <w:rsid w:val="00334BCF"/>
    <w:rsid w:val="00335512"/>
    <w:rsid w:val="00337E75"/>
    <w:rsid w:val="00342131"/>
    <w:rsid w:val="00346693"/>
    <w:rsid w:val="00351B2D"/>
    <w:rsid w:val="00352080"/>
    <w:rsid w:val="00352FAE"/>
    <w:rsid w:val="00356011"/>
    <w:rsid w:val="003610D8"/>
    <w:rsid w:val="003613F6"/>
    <w:rsid w:val="00361CF2"/>
    <w:rsid w:val="0036727B"/>
    <w:rsid w:val="003706A7"/>
    <w:rsid w:val="00371933"/>
    <w:rsid w:val="00373821"/>
    <w:rsid w:val="00374B4A"/>
    <w:rsid w:val="00375BB7"/>
    <w:rsid w:val="00386A7A"/>
    <w:rsid w:val="0039448D"/>
    <w:rsid w:val="00396842"/>
    <w:rsid w:val="003A181C"/>
    <w:rsid w:val="003B125C"/>
    <w:rsid w:val="003B16B4"/>
    <w:rsid w:val="003B7BB0"/>
    <w:rsid w:val="003C0FCF"/>
    <w:rsid w:val="003C21A7"/>
    <w:rsid w:val="003C3932"/>
    <w:rsid w:val="003C3AAE"/>
    <w:rsid w:val="003C7432"/>
    <w:rsid w:val="003E25A4"/>
    <w:rsid w:val="003F1CCF"/>
    <w:rsid w:val="00404943"/>
    <w:rsid w:val="00406A78"/>
    <w:rsid w:val="00412B0A"/>
    <w:rsid w:val="00415D8D"/>
    <w:rsid w:val="004167CC"/>
    <w:rsid w:val="0042239D"/>
    <w:rsid w:val="004255BA"/>
    <w:rsid w:val="00425A4F"/>
    <w:rsid w:val="00426A24"/>
    <w:rsid w:val="004330B7"/>
    <w:rsid w:val="00434C52"/>
    <w:rsid w:val="0043610B"/>
    <w:rsid w:val="004378D9"/>
    <w:rsid w:val="004379B0"/>
    <w:rsid w:val="00452AE4"/>
    <w:rsid w:val="00456164"/>
    <w:rsid w:val="004628D2"/>
    <w:rsid w:val="00464A80"/>
    <w:rsid w:val="00466859"/>
    <w:rsid w:val="0046765B"/>
    <w:rsid w:val="00472E50"/>
    <w:rsid w:val="0047500F"/>
    <w:rsid w:val="004802A3"/>
    <w:rsid w:val="004826C8"/>
    <w:rsid w:val="00482D95"/>
    <w:rsid w:val="0048310C"/>
    <w:rsid w:val="0048663F"/>
    <w:rsid w:val="00490897"/>
    <w:rsid w:val="00492994"/>
    <w:rsid w:val="00492C4F"/>
    <w:rsid w:val="004A1538"/>
    <w:rsid w:val="004A1862"/>
    <w:rsid w:val="004A4597"/>
    <w:rsid w:val="004A603D"/>
    <w:rsid w:val="004A65DD"/>
    <w:rsid w:val="004B1FC1"/>
    <w:rsid w:val="004B5EDC"/>
    <w:rsid w:val="004B6C1B"/>
    <w:rsid w:val="004C5B68"/>
    <w:rsid w:val="004C7F85"/>
    <w:rsid w:val="004D40C0"/>
    <w:rsid w:val="004D535D"/>
    <w:rsid w:val="004E157E"/>
    <w:rsid w:val="004E2242"/>
    <w:rsid w:val="004E3688"/>
    <w:rsid w:val="004E3BAA"/>
    <w:rsid w:val="004E457D"/>
    <w:rsid w:val="004E567F"/>
    <w:rsid w:val="004E593C"/>
    <w:rsid w:val="004E5E50"/>
    <w:rsid w:val="004E77AC"/>
    <w:rsid w:val="004F100F"/>
    <w:rsid w:val="004F4202"/>
    <w:rsid w:val="004F4F52"/>
    <w:rsid w:val="004F6210"/>
    <w:rsid w:val="00501022"/>
    <w:rsid w:val="005028D0"/>
    <w:rsid w:val="00505161"/>
    <w:rsid w:val="00511851"/>
    <w:rsid w:val="005119E5"/>
    <w:rsid w:val="00513245"/>
    <w:rsid w:val="005140D7"/>
    <w:rsid w:val="00514F2F"/>
    <w:rsid w:val="00516CF3"/>
    <w:rsid w:val="00520065"/>
    <w:rsid w:val="0053016F"/>
    <w:rsid w:val="00533D01"/>
    <w:rsid w:val="00534E3A"/>
    <w:rsid w:val="0053561E"/>
    <w:rsid w:val="005456AB"/>
    <w:rsid w:val="00547BA2"/>
    <w:rsid w:val="00550886"/>
    <w:rsid w:val="005553A7"/>
    <w:rsid w:val="00555B43"/>
    <w:rsid w:val="00555D36"/>
    <w:rsid w:val="005607A6"/>
    <w:rsid w:val="00561374"/>
    <w:rsid w:val="005634B9"/>
    <w:rsid w:val="00563EA1"/>
    <w:rsid w:val="005714F2"/>
    <w:rsid w:val="00571A32"/>
    <w:rsid w:val="00574E88"/>
    <w:rsid w:val="00576F39"/>
    <w:rsid w:val="005807C7"/>
    <w:rsid w:val="00581F51"/>
    <w:rsid w:val="00584226"/>
    <w:rsid w:val="005854A2"/>
    <w:rsid w:val="00585563"/>
    <w:rsid w:val="00587177"/>
    <w:rsid w:val="0058736A"/>
    <w:rsid w:val="0059054B"/>
    <w:rsid w:val="00593794"/>
    <w:rsid w:val="005949EE"/>
    <w:rsid w:val="00596CDD"/>
    <w:rsid w:val="005974CE"/>
    <w:rsid w:val="005A594D"/>
    <w:rsid w:val="005A6789"/>
    <w:rsid w:val="005C25C4"/>
    <w:rsid w:val="005C7464"/>
    <w:rsid w:val="005D4913"/>
    <w:rsid w:val="005D61A9"/>
    <w:rsid w:val="005E5C34"/>
    <w:rsid w:val="005F00A6"/>
    <w:rsid w:val="005F2F6D"/>
    <w:rsid w:val="005F3E95"/>
    <w:rsid w:val="005F491C"/>
    <w:rsid w:val="005F5FAB"/>
    <w:rsid w:val="005F65C7"/>
    <w:rsid w:val="00606300"/>
    <w:rsid w:val="006068C9"/>
    <w:rsid w:val="00610244"/>
    <w:rsid w:val="0062005D"/>
    <w:rsid w:val="0062154E"/>
    <w:rsid w:val="006233A0"/>
    <w:rsid w:val="006311BE"/>
    <w:rsid w:val="006316F6"/>
    <w:rsid w:val="00636DCF"/>
    <w:rsid w:val="00637AD5"/>
    <w:rsid w:val="00641064"/>
    <w:rsid w:val="006455FC"/>
    <w:rsid w:val="00650DFC"/>
    <w:rsid w:val="00651398"/>
    <w:rsid w:val="006528D2"/>
    <w:rsid w:val="006551A4"/>
    <w:rsid w:val="00656493"/>
    <w:rsid w:val="00657558"/>
    <w:rsid w:val="00657A9F"/>
    <w:rsid w:val="00670C80"/>
    <w:rsid w:val="006741FB"/>
    <w:rsid w:val="00675E14"/>
    <w:rsid w:val="0068028F"/>
    <w:rsid w:val="00680C5A"/>
    <w:rsid w:val="00681B13"/>
    <w:rsid w:val="00683367"/>
    <w:rsid w:val="00683FD4"/>
    <w:rsid w:val="00684A8D"/>
    <w:rsid w:val="0068639F"/>
    <w:rsid w:val="006905D1"/>
    <w:rsid w:val="00692507"/>
    <w:rsid w:val="00697CD7"/>
    <w:rsid w:val="006A18B7"/>
    <w:rsid w:val="006A32CB"/>
    <w:rsid w:val="006A540E"/>
    <w:rsid w:val="006A7AB3"/>
    <w:rsid w:val="006B7D30"/>
    <w:rsid w:val="006C6D0C"/>
    <w:rsid w:val="006C738F"/>
    <w:rsid w:val="006D5ED7"/>
    <w:rsid w:val="006D6197"/>
    <w:rsid w:val="006D68E3"/>
    <w:rsid w:val="006D6EDA"/>
    <w:rsid w:val="006E2232"/>
    <w:rsid w:val="006E4E38"/>
    <w:rsid w:val="006E5D59"/>
    <w:rsid w:val="006E5FAE"/>
    <w:rsid w:val="006F03A2"/>
    <w:rsid w:val="006F35FC"/>
    <w:rsid w:val="006F3F42"/>
    <w:rsid w:val="006F7AA5"/>
    <w:rsid w:val="006F7B5A"/>
    <w:rsid w:val="00713D0F"/>
    <w:rsid w:val="007230D3"/>
    <w:rsid w:val="0072530C"/>
    <w:rsid w:val="00725664"/>
    <w:rsid w:val="0072622E"/>
    <w:rsid w:val="00732405"/>
    <w:rsid w:val="00734C48"/>
    <w:rsid w:val="00735A16"/>
    <w:rsid w:val="00737321"/>
    <w:rsid w:val="00740D07"/>
    <w:rsid w:val="0074136E"/>
    <w:rsid w:val="00745828"/>
    <w:rsid w:val="00747ADF"/>
    <w:rsid w:val="007509DB"/>
    <w:rsid w:val="0075602A"/>
    <w:rsid w:val="007563D8"/>
    <w:rsid w:val="00760E39"/>
    <w:rsid w:val="007620A0"/>
    <w:rsid w:val="0076477D"/>
    <w:rsid w:val="00764CD5"/>
    <w:rsid w:val="0076720C"/>
    <w:rsid w:val="007673A6"/>
    <w:rsid w:val="00770F60"/>
    <w:rsid w:val="00771496"/>
    <w:rsid w:val="00771C51"/>
    <w:rsid w:val="00774C56"/>
    <w:rsid w:val="00776BEA"/>
    <w:rsid w:val="00777B9E"/>
    <w:rsid w:val="00780D40"/>
    <w:rsid w:val="007816A5"/>
    <w:rsid w:val="007831AD"/>
    <w:rsid w:val="007868C6"/>
    <w:rsid w:val="00794A7B"/>
    <w:rsid w:val="007A0CD6"/>
    <w:rsid w:val="007A55B3"/>
    <w:rsid w:val="007A6306"/>
    <w:rsid w:val="007B2317"/>
    <w:rsid w:val="007B64A6"/>
    <w:rsid w:val="007C0A78"/>
    <w:rsid w:val="007C50E5"/>
    <w:rsid w:val="007C7036"/>
    <w:rsid w:val="007D33A5"/>
    <w:rsid w:val="007D72B5"/>
    <w:rsid w:val="007E6C66"/>
    <w:rsid w:val="007F23A1"/>
    <w:rsid w:val="007F47E9"/>
    <w:rsid w:val="007F4ABD"/>
    <w:rsid w:val="007F4EDB"/>
    <w:rsid w:val="0081010D"/>
    <w:rsid w:val="008101D8"/>
    <w:rsid w:val="00810797"/>
    <w:rsid w:val="00814496"/>
    <w:rsid w:val="008166A1"/>
    <w:rsid w:val="0081687C"/>
    <w:rsid w:val="008178D1"/>
    <w:rsid w:val="00817969"/>
    <w:rsid w:val="00824A5C"/>
    <w:rsid w:val="00832B57"/>
    <w:rsid w:val="008345D7"/>
    <w:rsid w:val="00835350"/>
    <w:rsid w:val="00840E5A"/>
    <w:rsid w:val="00854EAA"/>
    <w:rsid w:val="00860E33"/>
    <w:rsid w:val="00861206"/>
    <w:rsid w:val="008630F3"/>
    <w:rsid w:val="00863A28"/>
    <w:rsid w:val="00870B5E"/>
    <w:rsid w:val="008762F4"/>
    <w:rsid w:val="00880EF8"/>
    <w:rsid w:val="008824AC"/>
    <w:rsid w:val="00883D1E"/>
    <w:rsid w:val="0088487C"/>
    <w:rsid w:val="0088502E"/>
    <w:rsid w:val="00891B30"/>
    <w:rsid w:val="00896A5A"/>
    <w:rsid w:val="008A2A20"/>
    <w:rsid w:val="008A3A71"/>
    <w:rsid w:val="008A5352"/>
    <w:rsid w:val="008A6CF1"/>
    <w:rsid w:val="008A7132"/>
    <w:rsid w:val="008C31EF"/>
    <w:rsid w:val="008C38D7"/>
    <w:rsid w:val="008C6340"/>
    <w:rsid w:val="008D3ECB"/>
    <w:rsid w:val="008D4363"/>
    <w:rsid w:val="008E01B9"/>
    <w:rsid w:val="008E0795"/>
    <w:rsid w:val="008E2BFB"/>
    <w:rsid w:val="008E59BF"/>
    <w:rsid w:val="008E7554"/>
    <w:rsid w:val="008E75A8"/>
    <w:rsid w:val="008F2DE6"/>
    <w:rsid w:val="008F437F"/>
    <w:rsid w:val="00901C7A"/>
    <w:rsid w:val="00902128"/>
    <w:rsid w:val="0090550E"/>
    <w:rsid w:val="00905A0A"/>
    <w:rsid w:val="00906407"/>
    <w:rsid w:val="009120F7"/>
    <w:rsid w:val="009217D7"/>
    <w:rsid w:val="00922E29"/>
    <w:rsid w:val="00924D57"/>
    <w:rsid w:val="00932142"/>
    <w:rsid w:val="00933779"/>
    <w:rsid w:val="00952D1B"/>
    <w:rsid w:val="009556DD"/>
    <w:rsid w:val="00960EB1"/>
    <w:rsid w:val="00966551"/>
    <w:rsid w:val="009675B1"/>
    <w:rsid w:val="00973690"/>
    <w:rsid w:val="00974073"/>
    <w:rsid w:val="009909B7"/>
    <w:rsid w:val="009A2009"/>
    <w:rsid w:val="009A7753"/>
    <w:rsid w:val="009B32A5"/>
    <w:rsid w:val="009B608C"/>
    <w:rsid w:val="009C1856"/>
    <w:rsid w:val="009C19D4"/>
    <w:rsid w:val="009C25B4"/>
    <w:rsid w:val="009C3D1D"/>
    <w:rsid w:val="009D332C"/>
    <w:rsid w:val="009D41CA"/>
    <w:rsid w:val="009D75F9"/>
    <w:rsid w:val="009E0BB5"/>
    <w:rsid w:val="009E4C51"/>
    <w:rsid w:val="009E57FD"/>
    <w:rsid w:val="009E7A31"/>
    <w:rsid w:val="009F0262"/>
    <w:rsid w:val="009F1074"/>
    <w:rsid w:val="009F315C"/>
    <w:rsid w:val="009F3551"/>
    <w:rsid w:val="009F5A39"/>
    <w:rsid w:val="009F70C9"/>
    <w:rsid w:val="009F7919"/>
    <w:rsid w:val="00A01ACF"/>
    <w:rsid w:val="00A03839"/>
    <w:rsid w:val="00A04AA4"/>
    <w:rsid w:val="00A05CDA"/>
    <w:rsid w:val="00A10934"/>
    <w:rsid w:val="00A16859"/>
    <w:rsid w:val="00A201B6"/>
    <w:rsid w:val="00A22F97"/>
    <w:rsid w:val="00A24CAC"/>
    <w:rsid w:val="00A269D3"/>
    <w:rsid w:val="00A305B5"/>
    <w:rsid w:val="00A3453B"/>
    <w:rsid w:val="00A374FD"/>
    <w:rsid w:val="00A37DA6"/>
    <w:rsid w:val="00A4068C"/>
    <w:rsid w:val="00A4378D"/>
    <w:rsid w:val="00A4569B"/>
    <w:rsid w:val="00A51207"/>
    <w:rsid w:val="00A55115"/>
    <w:rsid w:val="00A633BD"/>
    <w:rsid w:val="00A64850"/>
    <w:rsid w:val="00A71E5A"/>
    <w:rsid w:val="00A7352D"/>
    <w:rsid w:val="00A75DD6"/>
    <w:rsid w:val="00A805B0"/>
    <w:rsid w:val="00A80C57"/>
    <w:rsid w:val="00A8492E"/>
    <w:rsid w:val="00A9531B"/>
    <w:rsid w:val="00A97BB4"/>
    <w:rsid w:val="00AA2033"/>
    <w:rsid w:val="00AA34FD"/>
    <w:rsid w:val="00AA4AE6"/>
    <w:rsid w:val="00AA69FC"/>
    <w:rsid w:val="00AA709F"/>
    <w:rsid w:val="00AB3472"/>
    <w:rsid w:val="00AB529E"/>
    <w:rsid w:val="00AC27CE"/>
    <w:rsid w:val="00AC2829"/>
    <w:rsid w:val="00AC2845"/>
    <w:rsid w:val="00AC3BED"/>
    <w:rsid w:val="00AC5631"/>
    <w:rsid w:val="00AC61E6"/>
    <w:rsid w:val="00AC7198"/>
    <w:rsid w:val="00AD068A"/>
    <w:rsid w:val="00AD2F19"/>
    <w:rsid w:val="00AD3508"/>
    <w:rsid w:val="00AD4B51"/>
    <w:rsid w:val="00AD7ADA"/>
    <w:rsid w:val="00AE262B"/>
    <w:rsid w:val="00AE58C6"/>
    <w:rsid w:val="00AE7490"/>
    <w:rsid w:val="00AF04A3"/>
    <w:rsid w:val="00AF22CF"/>
    <w:rsid w:val="00AF57EE"/>
    <w:rsid w:val="00AF7436"/>
    <w:rsid w:val="00B00677"/>
    <w:rsid w:val="00B03682"/>
    <w:rsid w:val="00B04784"/>
    <w:rsid w:val="00B051E4"/>
    <w:rsid w:val="00B104F8"/>
    <w:rsid w:val="00B20690"/>
    <w:rsid w:val="00B23340"/>
    <w:rsid w:val="00B23761"/>
    <w:rsid w:val="00B243B8"/>
    <w:rsid w:val="00B3031C"/>
    <w:rsid w:val="00B322B9"/>
    <w:rsid w:val="00B339CA"/>
    <w:rsid w:val="00B3584E"/>
    <w:rsid w:val="00B35E39"/>
    <w:rsid w:val="00B46775"/>
    <w:rsid w:val="00B503BF"/>
    <w:rsid w:val="00B5120F"/>
    <w:rsid w:val="00B5286F"/>
    <w:rsid w:val="00B5391E"/>
    <w:rsid w:val="00B54E1B"/>
    <w:rsid w:val="00B5746B"/>
    <w:rsid w:val="00B643A1"/>
    <w:rsid w:val="00B708A7"/>
    <w:rsid w:val="00B70D42"/>
    <w:rsid w:val="00B764D7"/>
    <w:rsid w:val="00B769FF"/>
    <w:rsid w:val="00B84D6A"/>
    <w:rsid w:val="00B874F7"/>
    <w:rsid w:val="00B87FA0"/>
    <w:rsid w:val="00B930E0"/>
    <w:rsid w:val="00BA113E"/>
    <w:rsid w:val="00BA3013"/>
    <w:rsid w:val="00BA3E50"/>
    <w:rsid w:val="00BB32A9"/>
    <w:rsid w:val="00BB35CE"/>
    <w:rsid w:val="00BB3FB9"/>
    <w:rsid w:val="00BB4575"/>
    <w:rsid w:val="00BB4ABE"/>
    <w:rsid w:val="00BC2A2D"/>
    <w:rsid w:val="00BC4E97"/>
    <w:rsid w:val="00BC4FF1"/>
    <w:rsid w:val="00BC7B29"/>
    <w:rsid w:val="00BD1479"/>
    <w:rsid w:val="00BD1AD0"/>
    <w:rsid w:val="00BD69A3"/>
    <w:rsid w:val="00BD6A73"/>
    <w:rsid w:val="00BE0407"/>
    <w:rsid w:val="00BE0F3A"/>
    <w:rsid w:val="00BF66D1"/>
    <w:rsid w:val="00C00FEB"/>
    <w:rsid w:val="00C117DC"/>
    <w:rsid w:val="00C163F9"/>
    <w:rsid w:val="00C166DD"/>
    <w:rsid w:val="00C16FED"/>
    <w:rsid w:val="00C17033"/>
    <w:rsid w:val="00C207FC"/>
    <w:rsid w:val="00C25089"/>
    <w:rsid w:val="00C26B80"/>
    <w:rsid w:val="00C270B2"/>
    <w:rsid w:val="00C34C9B"/>
    <w:rsid w:val="00C35409"/>
    <w:rsid w:val="00C4243C"/>
    <w:rsid w:val="00C43799"/>
    <w:rsid w:val="00C43A4E"/>
    <w:rsid w:val="00C44BCA"/>
    <w:rsid w:val="00C44F9C"/>
    <w:rsid w:val="00C47B4B"/>
    <w:rsid w:val="00C50780"/>
    <w:rsid w:val="00C52DB4"/>
    <w:rsid w:val="00C7466F"/>
    <w:rsid w:val="00C8795A"/>
    <w:rsid w:val="00C92F21"/>
    <w:rsid w:val="00CA2E06"/>
    <w:rsid w:val="00CA2E14"/>
    <w:rsid w:val="00CA5EE3"/>
    <w:rsid w:val="00CB2411"/>
    <w:rsid w:val="00CB2DE4"/>
    <w:rsid w:val="00CB7F93"/>
    <w:rsid w:val="00CC2CC1"/>
    <w:rsid w:val="00CC2F08"/>
    <w:rsid w:val="00CD0C42"/>
    <w:rsid w:val="00CD3523"/>
    <w:rsid w:val="00CD3F69"/>
    <w:rsid w:val="00CD45C9"/>
    <w:rsid w:val="00CD60FD"/>
    <w:rsid w:val="00CE0038"/>
    <w:rsid w:val="00CF3D42"/>
    <w:rsid w:val="00CF5CCE"/>
    <w:rsid w:val="00D01B26"/>
    <w:rsid w:val="00D047BA"/>
    <w:rsid w:val="00D05743"/>
    <w:rsid w:val="00D07F14"/>
    <w:rsid w:val="00D106FE"/>
    <w:rsid w:val="00D112F7"/>
    <w:rsid w:val="00D13C76"/>
    <w:rsid w:val="00D17BD5"/>
    <w:rsid w:val="00D2021D"/>
    <w:rsid w:val="00D2496D"/>
    <w:rsid w:val="00D24D90"/>
    <w:rsid w:val="00D258E9"/>
    <w:rsid w:val="00D26270"/>
    <w:rsid w:val="00D27E48"/>
    <w:rsid w:val="00D34270"/>
    <w:rsid w:val="00D47DA7"/>
    <w:rsid w:val="00D559C6"/>
    <w:rsid w:val="00D63D92"/>
    <w:rsid w:val="00D665EB"/>
    <w:rsid w:val="00D675F2"/>
    <w:rsid w:val="00D7118F"/>
    <w:rsid w:val="00D7433C"/>
    <w:rsid w:val="00D7570E"/>
    <w:rsid w:val="00D77B8F"/>
    <w:rsid w:val="00D90C27"/>
    <w:rsid w:val="00D93B12"/>
    <w:rsid w:val="00D97C6A"/>
    <w:rsid w:val="00DA2CD1"/>
    <w:rsid w:val="00DC33D5"/>
    <w:rsid w:val="00DC6E95"/>
    <w:rsid w:val="00DD1502"/>
    <w:rsid w:val="00DD1EEB"/>
    <w:rsid w:val="00DD4C7D"/>
    <w:rsid w:val="00DD5DB8"/>
    <w:rsid w:val="00DE2694"/>
    <w:rsid w:val="00DF0138"/>
    <w:rsid w:val="00E038E6"/>
    <w:rsid w:val="00E05076"/>
    <w:rsid w:val="00E12297"/>
    <w:rsid w:val="00E1309C"/>
    <w:rsid w:val="00E20F05"/>
    <w:rsid w:val="00E215A8"/>
    <w:rsid w:val="00E24EB5"/>
    <w:rsid w:val="00E307A2"/>
    <w:rsid w:val="00E43E56"/>
    <w:rsid w:val="00E52E48"/>
    <w:rsid w:val="00E54E20"/>
    <w:rsid w:val="00E62810"/>
    <w:rsid w:val="00E65819"/>
    <w:rsid w:val="00E66B93"/>
    <w:rsid w:val="00E672C0"/>
    <w:rsid w:val="00E718DB"/>
    <w:rsid w:val="00E93584"/>
    <w:rsid w:val="00E9424A"/>
    <w:rsid w:val="00EA00D4"/>
    <w:rsid w:val="00EB0ADB"/>
    <w:rsid w:val="00EB0AFD"/>
    <w:rsid w:val="00EB155B"/>
    <w:rsid w:val="00EB22D8"/>
    <w:rsid w:val="00EB7911"/>
    <w:rsid w:val="00EC0831"/>
    <w:rsid w:val="00EC1EB2"/>
    <w:rsid w:val="00ED3FA5"/>
    <w:rsid w:val="00ED5172"/>
    <w:rsid w:val="00ED7FDD"/>
    <w:rsid w:val="00EF5450"/>
    <w:rsid w:val="00F01896"/>
    <w:rsid w:val="00F06E26"/>
    <w:rsid w:val="00F15653"/>
    <w:rsid w:val="00F20212"/>
    <w:rsid w:val="00F22341"/>
    <w:rsid w:val="00F23212"/>
    <w:rsid w:val="00F3101D"/>
    <w:rsid w:val="00F31C54"/>
    <w:rsid w:val="00F33BA9"/>
    <w:rsid w:val="00F34D12"/>
    <w:rsid w:val="00F37A8F"/>
    <w:rsid w:val="00F4170D"/>
    <w:rsid w:val="00F43965"/>
    <w:rsid w:val="00F44E57"/>
    <w:rsid w:val="00F457D9"/>
    <w:rsid w:val="00F505B8"/>
    <w:rsid w:val="00F567A4"/>
    <w:rsid w:val="00F61A49"/>
    <w:rsid w:val="00F66F9F"/>
    <w:rsid w:val="00F7060C"/>
    <w:rsid w:val="00F72750"/>
    <w:rsid w:val="00F77BEE"/>
    <w:rsid w:val="00F80BC9"/>
    <w:rsid w:val="00F83C4D"/>
    <w:rsid w:val="00F92941"/>
    <w:rsid w:val="00FA117C"/>
    <w:rsid w:val="00FA2424"/>
    <w:rsid w:val="00FA267C"/>
    <w:rsid w:val="00FA5BA1"/>
    <w:rsid w:val="00FA6117"/>
    <w:rsid w:val="00FB1BE1"/>
    <w:rsid w:val="00FB3793"/>
    <w:rsid w:val="00FB4623"/>
    <w:rsid w:val="00FB4635"/>
    <w:rsid w:val="00FB71AA"/>
    <w:rsid w:val="00FC15BA"/>
    <w:rsid w:val="00FC4E9C"/>
    <w:rsid w:val="00FC67EC"/>
    <w:rsid w:val="00FC6900"/>
    <w:rsid w:val="00FD16EF"/>
    <w:rsid w:val="00FD5266"/>
    <w:rsid w:val="00FE5570"/>
    <w:rsid w:val="00FF5515"/>
    <w:rsid w:val="00FF6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563"/>
    <w:pPr>
      <w:ind w:left="720"/>
      <w:contextualSpacing/>
    </w:pPr>
  </w:style>
  <w:style w:type="table" w:styleId="Tabellenraster">
    <w:name w:val="Table Grid"/>
    <w:basedOn w:val="NormaleTabelle"/>
    <w:uiPriority w:val="59"/>
    <w:rsid w:val="002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36E"/>
    <w:pPr>
      <w:autoSpaceDE w:val="0"/>
      <w:autoSpaceDN w:val="0"/>
      <w:adjustRightInd w:val="0"/>
      <w:spacing w:after="0" w:line="240" w:lineRule="auto"/>
    </w:pPr>
    <w:rPr>
      <w:color w:val="000000"/>
    </w:rPr>
  </w:style>
  <w:style w:type="paragraph" w:styleId="Sprechblasentext">
    <w:name w:val="Balloon Text"/>
    <w:basedOn w:val="Standard"/>
    <w:link w:val="SprechblasentextZchn"/>
    <w:uiPriority w:val="99"/>
    <w:semiHidden/>
    <w:unhideWhenUsed/>
    <w:rsid w:val="00952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1B"/>
    <w:rPr>
      <w:rFonts w:ascii="Tahoma" w:hAnsi="Tahoma" w:cs="Tahoma"/>
      <w:sz w:val="16"/>
      <w:szCs w:val="16"/>
    </w:rPr>
  </w:style>
  <w:style w:type="character" w:styleId="Hyperlink">
    <w:name w:val="Hyperlink"/>
    <w:basedOn w:val="Absatz-Standardschriftart"/>
    <w:uiPriority w:val="99"/>
    <w:unhideWhenUsed/>
    <w:rsid w:val="00561374"/>
    <w:rPr>
      <w:color w:val="0000FF" w:themeColor="hyperlink"/>
      <w:u w:val="single"/>
    </w:rPr>
  </w:style>
  <w:style w:type="paragraph" w:styleId="Kopfzeile">
    <w:name w:val="header"/>
    <w:basedOn w:val="Standard"/>
    <w:link w:val="KopfzeileZchn"/>
    <w:uiPriority w:val="99"/>
    <w:unhideWhenUsed/>
    <w:rsid w:val="00B87FA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7FA0"/>
  </w:style>
  <w:style w:type="paragraph" w:styleId="Fuzeile">
    <w:name w:val="footer"/>
    <w:basedOn w:val="Standard"/>
    <w:link w:val="FuzeileZchn"/>
    <w:uiPriority w:val="99"/>
    <w:unhideWhenUsed/>
    <w:rsid w:val="00B87FA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7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563"/>
    <w:pPr>
      <w:ind w:left="720"/>
      <w:contextualSpacing/>
    </w:pPr>
  </w:style>
  <w:style w:type="table" w:styleId="Tabellenraster">
    <w:name w:val="Table Grid"/>
    <w:basedOn w:val="NormaleTabelle"/>
    <w:uiPriority w:val="59"/>
    <w:rsid w:val="002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36E"/>
    <w:pPr>
      <w:autoSpaceDE w:val="0"/>
      <w:autoSpaceDN w:val="0"/>
      <w:adjustRightInd w:val="0"/>
      <w:spacing w:after="0" w:line="240" w:lineRule="auto"/>
    </w:pPr>
    <w:rPr>
      <w:color w:val="000000"/>
    </w:rPr>
  </w:style>
  <w:style w:type="paragraph" w:styleId="Sprechblasentext">
    <w:name w:val="Balloon Text"/>
    <w:basedOn w:val="Standard"/>
    <w:link w:val="SprechblasentextZchn"/>
    <w:uiPriority w:val="99"/>
    <w:semiHidden/>
    <w:unhideWhenUsed/>
    <w:rsid w:val="00952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1B"/>
    <w:rPr>
      <w:rFonts w:ascii="Tahoma" w:hAnsi="Tahoma" w:cs="Tahoma"/>
      <w:sz w:val="16"/>
      <w:szCs w:val="16"/>
    </w:rPr>
  </w:style>
  <w:style w:type="character" w:styleId="Hyperlink">
    <w:name w:val="Hyperlink"/>
    <w:basedOn w:val="Absatz-Standardschriftart"/>
    <w:uiPriority w:val="99"/>
    <w:unhideWhenUsed/>
    <w:rsid w:val="00561374"/>
    <w:rPr>
      <w:color w:val="0000FF" w:themeColor="hyperlink"/>
      <w:u w:val="single"/>
    </w:rPr>
  </w:style>
  <w:style w:type="paragraph" w:styleId="Kopfzeile">
    <w:name w:val="header"/>
    <w:basedOn w:val="Standard"/>
    <w:link w:val="KopfzeileZchn"/>
    <w:uiPriority w:val="99"/>
    <w:unhideWhenUsed/>
    <w:rsid w:val="00B87FA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7FA0"/>
  </w:style>
  <w:style w:type="paragraph" w:styleId="Fuzeile">
    <w:name w:val="footer"/>
    <w:basedOn w:val="Standard"/>
    <w:link w:val="FuzeileZchn"/>
    <w:uiPriority w:val="99"/>
    <w:unhideWhenUsed/>
    <w:rsid w:val="00B87FA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9407">
      <w:bodyDiv w:val="1"/>
      <w:marLeft w:val="0"/>
      <w:marRight w:val="0"/>
      <w:marTop w:val="0"/>
      <w:marBottom w:val="0"/>
      <w:divBdr>
        <w:top w:val="none" w:sz="0" w:space="0" w:color="auto"/>
        <w:left w:val="none" w:sz="0" w:space="0" w:color="auto"/>
        <w:bottom w:val="none" w:sz="0" w:space="0" w:color="auto"/>
        <w:right w:val="none" w:sz="0" w:space="0" w:color="auto"/>
      </w:divBdr>
    </w:div>
    <w:div w:id="502746176">
      <w:bodyDiv w:val="1"/>
      <w:marLeft w:val="0"/>
      <w:marRight w:val="0"/>
      <w:marTop w:val="0"/>
      <w:marBottom w:val="0"/>
      <w:divBdr>
        <w:top w:val="none" w:sz="0" w:space="0" w:color="auto"/>
        <w:left w:val="none" w:sz="0" w:space="0" w:color="auto"/>
        <w:bottom w:val="none" w:sz="0" w:space="0" w:color="auto"/>
        <w:right w:val="none" w:sz="0" w:space="0" w:color="auto"/>
      </w:divBdr>
    </w:div>
    <w:div w:id="661465862">
      <w:bodyDiv w:val="1"/>
      <w:marLeft w:val="0"/>
      <w:marRight w:val="0"/>
      <w:marTop w:val="0"/>
      <w:marBottom w:val="0"/>
      <w:divBdr>
        <w:top w:val="none" w:sz="0" w:space="0" w:color="auto"/>
        <w:left w:val="none" w:sz="0" w:space="0" w:color="auto"/>
        <w:bottom w:val="none" w:sz="0" w:space="0" w:color="auto"/>
        <w:right w:val="none" w:sz="0" w:space="0" w:color="auto"/>
      </w:divBdr>
      <w:divsChild>
        <w:div w:id="1666395138">
          <w:marLeft w:val="0"/>
          <w:marRight w:val="0"/>
          <w:marTop w:val="0"/>
          <w:marBottom w:val="0"/>
          <w:divBdr>
            <w:top w:val="none" w:sz="0" w:space="0" w:color="auto"/>
            <w:left w:val="none" w:sz="0" w:space="0" w:color="auto"/>
            <w:bottom w:val="none" w:sz="0" w:space="0" w:color="auto"/>
            <w:right w:val="none" w:sz="0" w:space="0" w:color="auto"/>
          </w:divBdr>
        </w:div>
        <w:div w:id="1687440333">
          <w:marLeft w:val="0"/>
          <w:marRight w:val="0"/>
          <w:marTop w:val="0"/>
          <w:marBottom w:val="0"/>
          <w:divBdr>
            <w:top w:val="none" w:sz="0" w:space="0" w:color="auto"/>
            <w:left w:val="none" w:sz="0" w:space="0" w:color="auto"/>
            <w:bottom w:val="none" w:sz="0" w:space="0" w:color="auto"/>
            <w:right w:val="none" w:sz="0" w:space="0" w:color="auto"/>
          </w:divBdr>
        </w:div>
      </w:divsChild>
    </w:div>
    <w:div w:id="743071695">
      <w:bodyDiv w:val="1"/>
      <w:marLeft w:val="0"/>
      <w:marRight w:val="0"/>
      <w:marTop w:val="0"/>
      <w:marBottom w:val="0"/>
      <w:divBdr>
        <w:top w:val="none" w:sz="0" w:space="0" w:color="auto"/>
        <w:left w:val="none" w:sz="0" w:space="0" w:color="auto"/>
        <w:bottom w:val="none" w:sz="0" w:space="0" w:color="auto"/>
        <w:right w:val="none" w:sz="0" w:space="0" w:color="auto"/>
      </w:divBdr>
    </w:div>
    <w:div w:id="903249548">
      <w:bodyDiv w:val="1"/>
      <w:marLeft w:val="0"/>
      <w:marRight w:val="0"/>
      <w:marTop w:val="0"/>
      <w:marBottom w:val="0"/>
      <w:divBdr>
        <w:top w:val="none" w:sz="0" w:space="0" w:color="auto"/>
        <w:left w:val="none" w:sz="0" w:space="0" w:color="auto"/>
        <w:bottom w:val="none" w:sz="0" w:space="0" w:color="auto"/>
        <w:right w:val="none" w:sz="0" w:space="0" w:color="auto"/>
      </w:divBdr>
      <w:divsChild>
        <w:div w:id="401804020">
          <w:marLeft w:val="0"/>
          <w:marRight w:val="0"/>
          <w:marTop w:val="0"/>
          <w:marBottom w:val="0"/>
          <w:divBdr>
            <w:top w:val="none" w:sz="0" w:space="0" w:color="auto"/>
            <w:left w:val="none" w:sz="0" w:space="0" w:color="auto"/>
            <w:bottom w:val="none" w:sz="0" w:space="0" w:color="auto"/>
            <w:right w:val="none" w:sz="0" w:space="0" w:color="auto"/>
          </w:divBdr>
        </w:div>
        <w:div w:id="955214257">
          <w:marLeft w:val="0"/>
          <w:marRight w:val="0"/>
          <w:marTop w:val="0"/>
          <w:marBottom w:val="0"/>
          <w:divBdr>
            <w:top w:val="none" w:sz="0" w:space="0" w:color="auto"/>
            <w:left w:val="none" w:sz="0" w:space="0" w:color="auto"/>
            <w:bottom w:val="none" w:sz="0" w:space="0" w:color="auto"/>
            <w:right w:val="none" w:sz="0" w:space="0" w:color="auto"/>
          </w:divBdr>
        </w:div>
        <w:div w:id="1164583793">
          <w:marLeft w:val="0"/>
          <w:marRight w:val="0"/>
          <w:marTop w:val="0"/>
          <w:marBottom w:val="0"/>
          <w:divBdr>
            <w:top w:val="none" w:sz="0" w:space="0" w:color="auto"/>
            <w:left w:val="none" w:sz="0" w:space="0" w:color="auto"/>
            <w:bottom w:val="none" w:sz="0" w:space="0" w:color="auto"/>
            <w:right w:val="none" w:sz="0" w:space="0" w:color="auto"/>
          </w:divBdr>
        </w:div>
        <w:div w:id="955255112">
          <w:marLeft w:val="0"/>
          <w:marRight w:val="0"/>
          <w:marTop w:val="0"/>
          <w:marBottom w:val="0"/>
          <w:divBdr>
            <w:top w:val="none" w:sz="0" w:space="0" w:color="auto"/>
            <w:left w:val="none" w:sz="0" w:space="0" w:color="auto"/>
            <w:bottom w:val="none" w:sz="0" w:space="0" w:color="auto"/>
            <w:right w:val="none" w:sz="0" w:space="0" w:color="auto"/>
          </w:divBdr>
        </w:div>
        <w:div w:id="174923382">
          <w:marLeft w:val="0"/>
          <w:marRight w:val="0"/>
          <w:marTop w:val="0"/>
          <w:marBottom w:val="0"/>
          <w:divBdr>
            <w:top w:val="none" w:sz="0" w:space="0" w:color="auto"/>
            <w:left w:val="none" w:sz="0" w:space="0" w:color="auto"/>
            <w:bottom w:val="none" w:sz="0" w:space="0" w:color="auto"/>
            <w:right w:val="none" w:sz="0" w:space="0" w:color="auto"/>
          </w:divBdr>
        </w:div>
      </w:divsChild>
    </w:div>
    <w:div w:id="985553392">
      <w:bodyDiv w:val="1"/>
      <w:marLeft w:val="0"/>
      <w:marRight w:val="0"/>
      <w:marTop w:val="0"/>
      <w:marBottom w:val="0"/>
      <w:divBdr>
        <w:top w:val="none" w:sz="0" w:space="0" w:color="auto"/>
        <w:left w:val="none" w:sz="0" w:space="0" w:color="auto"/>
        <w:bottom w:val="none" w:sz="0" w:space="0" w:color="auto"/>
        <w:right w:val="none" w:sz="0" w:space="0" w:color="auto"/>
      </w:divBdr>
      <w:divsChild>
        <w:div w:id="1364793220">
          <w:marLeft w:val="0"/>
          <w:marRight w:val="0"/>
          <w:marTop w:val="0"/>
          <w:marBottom w:val="0"/>
          <w:divBdr>
            <w:top w:val="none" w:sz="0" w:space="0" w:color="auto"/>
            <w:left w:val="none" w:sz="0" w:space="0" w:color="auto"/>
            <w:bottom w:val="none" w:sz="0" w:space="0" w:color="auto"/>
            <w:right w:val="none" w:sz="0" w:space="0" w:color="auto"/>
          </w:divBdr>
          <w:divsChild>
            <w:div w:id="1038896359">
              <w:marLeft w:val="0"/>
              <w:marRight w:val="0"/>
              <w:marTop w:val="0"/>
              <w:marBottom w:val="0"/>
              <w:divBdr>
                <w:top w:val="none" w:sz="0" w:space="0" w:color="auto"/>
                <w:left w:val="none" w:sz="0" w:space="0" w:color="auto"/>
                <w:bottom w:val="none" w:sz="0" w:space="0" w:color="auto"/>
                <w:right w:val="none" w:sz="0" w:space="0" w:color="auto"/>
              </w:divBdr>
              <w:divsChild>
                <w:div w:id="1692031090">
                  <w:marLeft w:val="0"/>
                  <w:marRight w:val="0"/>
                  <w:marTop w:val="0"/>
                  <w:marBottom w:val="0"/>
                  <w:divBdr>
                    <w:top w:val="none" w:sz="0" w:space="0" w:color="auto"/>
                    <w:left w:val="none" w:sz="0" w:space="0" w:color="auto"/>
                    <w:bottom w:val="none" w:sz="0" w:space="0" w:color="auto"/>
                    <w:right w:val="none" w:sz="0" w:space="0" w:color="auto"/>
                  </w:divBdr>
                  <w:divsChild>
                    <w:div w:id="920992376">
                      <w:marLeft w:val="0"/>
                      <w:marRight w:val="0"/>
                      <w:marTop w:val="0"/>
                      <w:marBottom w:val="0"/>
                      <w:divBdr>
                        <w:top w:val="none" w:sz="0" w:space="0" w:color="auto"/>
                        <w:left w:val="none" w:sz="0" w:space="0" w:color="auto"/>
                        <w:bottom w:val="none" w:sz="0" w:space="0" w:color="auto"/>
                        <w:right w:val="none" w:sz="0" w:space="0" w:color="auto"/>
                      </w:divBdr>
                    </w:div>
                    <w:div w:id="931015154">
                      <w:marLeft w:val="0"/>
                      <w:marRight w:val="0"/>
                      <w:marTop w:val="0"/>
                      <w:marBottom w:val="0"/>
                      <w:divBdr>
                        <w:top w:val="none" w:sz="0" w:space="0" w:color="auto"/>
                        <w:left w:val="none" w:sz="0" w:space="0" w:color="auto"/>
                        <w:bottom w:val="none" w:sz="0" w:space="0" w:color="auto"/>
                        <w:right w:val="none" w:sz="0" w:space="0" w:color="auto"/>
                      </w:divBdr>
                    </w:div>
                    <w:div w:id="1123958443">
                      <w:marLeft w:val="0"/>
                      <w:marRight w:val="0"/>
                      <w:marTop w:val="0"/>
                      <w:marBottom w:val="0"/>
                      <w:divBdr>
                        <w:top w:val="none" w:sz="0" w:space="0" w:color="auto"/>
                        <w:left w:val="none" w:sz="0" w:space="0" w:color="auto"/>
                        <w:bottom w:val="none" w:sz="0" w:space="0" w:color="auto"/>
                        <w:right w:val="none" w:sz="0" w:space="0" w:color="auto"/>
                      </w:divBdr>
                    </w:div>
                    <w:div w:id="117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886">
      <w:bodyDiv w:val="1"/>
      <w:marLeft w:val="0"/>
      <w:marRight w:val="0"/>
      <w:marTop w:val="0"/>
      <w:marBottom w:val="0"/>
      <w:divBdr>
        <w:top w:val="none" w:sz="0" w:space="0" w:color="auto"/>
        <w:left w:val="none" w:sz="0" w:space="0" w:color="auto"/>
        <w:bottom w:val="none" w:sz="0" w:space="0" w:color="auto"/>
        <w:right w:val="none" w:sz="0" w:space="0" w:color="auto"/>
      </w:divBdr>
    </w:div>
    <w:div w:id="1361053682">
      <w:bodyDiv w:val="1"/>
      <w:marLeft w:val="0"/>
      <w:marRight w:val="0"/>
      <w:marTop w:val="0"/>
      <w:marBottom w:val="0"/>
      <w:divBdr>
        <w:top w:val="none" w:sz="0" w:space="0" w:color="auto"/>
        <w:left w:val="none" w:sz="0" w:space="0" w:color="auto"/>
        <w:bottom w:val="none" w:sz="0" w:space="0" w:color="auto"/>
        <w:right w:val="none" w:sz="0" w:space="0" w:color="auto"/>
      </w:divBdr>
      <w:divsChild>
        <w:div w:id="595333584">
          <w:marLeft w:val="0"/>
          <w:marRight w:val="0"/>
          <w:marTop w:val="0"/>
          <w:marBottom w:val="0"/>
          <w:divBdr>
            <w:top w:val="none" w:sz="0" w:space="0" w:color="auto"/>
            <w:left w:val="none" w:sz="0" w:space="0" w:color="auto"/>
            <w:bottom w:val="none" w:sz="0" w:space="0" w:color="auto"/>
            <w:right w:val="none" w:sz="0" w:space="0" w:color="auto"/>
          </w:divBdr>
        </w:div>
        <w:div w:id="1951431994">
          <w:marLeft w:val="0"/>
          <w:marRight w:val="0"/>
          <w:marTop w:val="0"/>
          <w:marBottom w:val="0"/>
          <w:divBdr>
            <w:top w:val="none" w:sz="0" w:space="0" w:color="auto"/>
            <w:left w:val="none" w:sz="0" w:space="0" w:color="auto"/>
            <w:bottom w:val="none" w:sz="0" w:space="0" w:color="auto"/>
            <w:right w:val="none" w:sz="0" w:space="0" w:color="auto"/>
          </w:divBdr>
        </w:div>
      </w:divsChild>
    </w:div>
    <w:div w:id="1755929803">
      <w:bodyDiv w:val="1"/>
      <w:marLeft w:val="0"/>
      <w:marRight w:val="0"/>
      <w:marTop w:val="0"/>
      <w:marBottom w:val="0"/>
      <w:divBdr>
        <w:top w:val="none" w:sz="0" w:space="0" w:color="auto"/>
        <w:left w:val="none" w:sz="0" w:space="0" w:color="auto"/>
        <w:bottom w:val="none" w:sz="0" w:space="0" w:color="auto"/>
        <w:right w:val="none" w:sz="0" w:space="0" w:color="auto"/>
      </w:divBdr>
      <w:divsChild>
        <w:div w:id="1558517630">
          <w:marLeft w:val="0"/>
          <w:marRight w:val="0"/>
          <w:marTop w:val="0"/>
          <w:marBottom w:val="0"/>
          <w:divBdr>
            <w:top w:val="none" w:sz="0" w:space="0" w:color="auto"/>
            <w:left w:val="none" w:sz="0" w:space="0" w:color="auto"/>
            <w:bottom w:val="none" w:sz="0" w:space="0" w:color="auto"/>
            <w:right w:val="none" w:sz="0" w:space="0" w:color="auto"/>
          </w:divBdr>
        </w:div>
        <w:div w:id="1133905836">
          <w:marLeft w:val="0"/>
          <w:marRight w:val="0"/>
          <w:marTop w:val="0"/>
          <w:marBottom w:val="0"/>
          <w:divBdr>
            <w:top w:val="none" w:sz="0" w:space="0" w:color="auto"/>
            <w:left w:val="none" w:sz="0" w:space="0" w:color="auto"/>
            <w:bottom w:val="none" w:sz="0" w:space="0" w:color="auto"/>
            <w:right w:val="none" w:sz="0" w:space="0" w:color="auto"/>
          </w:divBdr>
        </w:div>
      </w:divsChild>
    </w:div>
    <w:div w:id="1998873138">
      <w:bodyDiv w:val="1"/>
      <w:marLeft w:val="0"/>
      <w:marRight w:val="0"/>
      <w:marTop w:val="0"/>
      <w:marBottom w:val="0"/>
      <w:divBdr>
        <w:top w:val="none" w:sz="0" w:space="0" w:color="auto"/>
        <w:left w:val="none" w:sz="0" w:space="0" w:color="auto"/>
        <w:bottom w:val="none" w:sz="0" w:space="0" w:color="auto"/>
        <w:right w:val="none" w:sz="0" w:space="0" w:color="auto"/>
      </w:divBdr>
      <w:divsChild>
        <w:div w:id="1907180987">
          <w:marLeft w:val="0"/>
          <w:marRight w:val="0"/>
          <w:marTop w:val="0"/>
          <w:marBottom w:val="0"/>
          <w:divBdr>
            <w:top w:val="none" w:sz="0" w:space="0" w:color="auto"/>
            <w:left w:val="none" w:sz="0" w:space="0" w:color="auto"/>
            <w:bottom w:val="none" w:sz="0" w:space="0" w:color="auto"/>
            <w:right w:val="none" w:sz="0" w:space="0" w:color="auto"/>
          </w:divBdr>
          <w:divsChild>
            <w:div w:id="1560633217">
              <w:marLeft w:val="0"/>
              <w:marRight w:val="0"/>
              <w:marTop w:val="0"/>
              <w:marBottom w:val="0"/>
              <w:divBdr>
                <w:top w:val="none" w:sz="0" w:space="0" w:color="auto"/>
                <w:left w:val="none" w:sz="0" w:space="0" w:color="auto"/>
                <w:bottom w:val="none" w:sz="0" w:space="0" w:color="auto"/>
                <w:right w:val="none" w:sz="0" w:space="0" w:color="auto"/>
              </w:divBdr>
              <w:divsChild>
                <w:div w:id="1983998238">
                  <w:marLeft w:val="0"/>
                  <w:marRight w:val="0"/>
                  <w:marTop w:val="0"/>
                  <w:marBottom w:val="0"/>
                  <w:divBdr>
                    <w:top w:val="none" w:sz="0" w:space="0" w:color="auto"/>
                    <w:left w:val="none" w:sz="0" w:space="0" w:color="auto"/>
                    <w:bottom w:val="none" w:sz="0" w:space="0" w:color="auto"/>
                    <w:right w:val="none" w:sz="0" w:space="0" w:color="auto"/>
                  </w:divBdr>
                  <w:divsChild>
                    <w:div w:id="1049455073">
                      <w:marLeft w:val="0"/>
                      <w:marRight w:val="0"/>
                      <w:marTop w:val="0"/>
                      <w:marBottom w:val="0"/>
                      <w:divBdr>
                        <w:top w:val="none" w:sz="0" w:space="0" w:color="auto"/>
                        <w:left w:val="none" w:sz="0" w:space="0" w:color="auto"/>
                        <w:bottom w:val="none" w:sz="0" w:space="0" w:color="auto"/>
                        <w:right w:val="none" w:sz="0" w:space="0" w:color="auto"/>
                      </w:divBdr>
                      <w:divsChild>
                        <w:div w:id="660430906">
                          <w:marLeft w:val="0"/>
                          <w:marRight w:val="0"/>
                          <w:marTop w:val="0"/>
                          <w:marBottom w:val="0"/>
                          <w:divBdr>
                            <w:top w:val="none" w:sz="0" w:space="0" w:color="auto"/>
                            <w:left w:val="none" w:sz="0" w:space="0" w:color="auto"/>
                            <w:bottom w:val="none" w:sz="0" w:space="0" w:color="auto"/>
                            <w:right w:val="none" w:sz="0" w:space="0" w:color="auto"/>
                          </w:divBdr>
                          <w:divsChild>
                            <w:div w:id="741098165">
                              <w:marLeft w:val="0"/>
                              <w:marRight w:val="0"/>
                              <w:marTop w:val="0"/>
                              <w:marBottom w:val="0"/>
                              <w:divBdr>
                                <w:top w:val="none" w:sz="0" w:space="0" w:color="auto"/>
                                <w:left w:val="none" w:sz="0" w:space="0" w:color="auto"/>
                                <w:bottom w:val="none" w:sz="0" w:space="0" w:color="auto"/>
                                <w:right w:val="none" w:sz="0" w:space="0" w:color="auto"/>
                              </w:divBdr>
                              <w:divsChild>
                                <w:div w:id="1430353249">
                                  <w:marLeft w:val="0"/>
                                  <w:marRight w:val="0"/>
                                  <w:marTop w:val="0"/>
                                  <w:marBottom w:val="0"/>
                                  <w:divBdr>
                                    <w:top w:val="none" w:sz="0" w:space="0" w:color="auto"/>
                                    <w:left w:val="none" w:sz="0" w:space="0" w:color="auto"/>
                                    <w:bottom w:val="none" w:sz="0" w:space="0" w:color="auto"/>
                                    <w:right w:val="none" w:sz="0" w:space="0" w:color="auto"/>
                                  </w:divBdr>
                                  <w:divsChild>
                                    <w:div w:id="196285697">
                                      <w:marLeft w:val="0"/>
                                      <w:marRight w:val="0"/>
                                      <w:marTop w:val="0"/>
                                      <w:marBottom w:val="0"/>
                                      <w:divBdr>
                                        <w:top w:val="none" w:sz="0" w:space="0" w:color="auto"/>
                                        <w:left w:val="none" w:sz="0" w:space="0" w:color="auto"/>
                                        <w:bottom w:val="none" w:sz="0" w:space="0" w:color="auto"/>
                                        <w:right w:val="none" w:sz="0" w:space="0" w:color="auto"/>
                                      </w:divBdr>
                                      <w:divsChild>
                                        <w:div w:id="940992393">
                                          <w:marLeft w:val="0"/>
                                          <w:marRight w:val="0"/>
                                          <w:marTop w:val="0"/>
                                          <w:marBottom w:val="0"/>
                                          <w:divBdr>
                                            <w:top w:val="none" w:sz="0" w:space="0" w:color="auto"/>
                                            <w:left w:val="none" w:sz="0" w:space="0" w:color="auto"/>
                                            <w:bottom w:val="none" w:sz="0" w:space="0" w:color="auto"/>
                                            <w:right w:val="none" w:sz="0" w:space="0" w:color="auto"/>
                                          </w:divBdr>
                                          <w:divsChild>
                                            <w:div w:id="296572965">
                                              <w:marLeft w:val="0"/>
                                              <w:marRight w:val="0"/>
                                              <w:marTop w:val="0"/>
                                              <w:marBottom w:val="0"/>
                                              <w:divBdr>
                                                <w:top w:val="none" w:sz="0" w:space="0" w:color="auto"/>
                                                <w:left w:val="none" w:sz="0" w:space="0" w:color="auto"/>
                                                <w:bottom w:val="none" w:sz="0" w:space="0" w:color="auto"/>
                                                <w:right w:val="none" w:sz="0" w:space="0" w:color="auto"/>
                                              </w:divBdr>
                                              <w:divsChild>
                                                <w:div w:id="7175087">
                                                  <w:marLeft w:val="0"/>
                                                  <w:marRight w:val="0"/>
                                                  <w:marTop w:val="0"/>
                                                  <w:marBottom w:val="0"/>
                                                  <w:divBdr>
                                                    <w:top w:val="none" w:sz="0" w:space="0" w:color="auto"/>
                                                    <w:left w:val="none" w:sz="0" w:space="0" w:color="auto"/>
                                                    <w:bottom w:val="none" w:sz="0" w:space="0" w:color="auto"/>
                                                    <w:right w:val="none" w:sz="0" w:space="0" w:color="auto"/>
                                                  </w:divBdr>
                                                  <w:divsChild>
                                                    <w:div w:id="8774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01991">
          <w:marLeft w:val="0"/>
          <w:marRight w:val="0"/>
          <w:marTop w:val="0"/>
          <w:marBottom w:val="0"/>
          <w:divBdr>
            <w:top w:val="none" w:sz="0" w:space="0" w:color="auto"/>
            <w:left w:val="none" w:sz="0" w:space="0" w:color="auto"/>
            <w:bottom w:val="none" w:sz="0" w:space="0" w:color="auto"/>
            <w:right w:val="none" w:sz="0" w:space="0" w:color="auto"/>
          </w:divBdr>
          <w:divsChild>
            <w:div w:id="2051877665">
              <w:marLeft w:val="0"/>
              <w:marRight w:val="0"/>
              <w:marTop w:val="0"/>
              <w:marBottom w:val="0"/>
              <w:divBdr>
                <w:top w:val="none" w:sz="0" w:space="0" w:color="auto"/>
                <w:left w:val="none" w:sz="0" w:space="0" w:color="auto"/>
                <w:bottom w:val="none" w:sz="0" w:space="0" w:color="auto"/>
                <w:right w:val="none" w:sz="0" w:space="0" w:color="auto"/>
              </w:divBdr>
              <w:divsChild>
                <w:div w:id="664673902">
                  <w:marLeft w:val="0"/>
                  <w:marRight w:val="0"/>
                  <w:marTop w:val="0"/>
                  <w:marBottom w:val="0"/>
                  <w:divBdr>
                    <w:top w:val="none" w:sz="0" w:space="0" w:color="auto"/>
                    <w:left w:val="none" w:sz="0" w:space="0" w:color="auto"/>
                    <w:bottom w:val="none" w:sz="0" w:space="0" w:color="auto"/>
                    <w:right w:val="none" w:sz="0" w:space="0" w:color="auto"/>
                  </w:divBdr>
                  <w:divsChild>
                    <w:div w:id="1260866509">
                      <w:marLeft w:val="0"/>
                      <w:marRight w:val="0"/>
                      <w:marTop w:val="0"/>
                      <w:marBottom w:val="0"/>
                      <w:divBdr>
                        <w:top w:val="none" w:sz="0" w:space="0" w:color="auto"/>
                        <w:left w:val="none" w:sz="0" w:space="0" w:color="auto"/>
                        <w:bottom w:val="none" w:sz="0" w:space="0" w:color="auto"/>
                        <w:right w:val="none" w:sz="0" w:space="0" w:color="auto"/>
                      </w:divBdr>
                      <w:divsChild>
                        <w:div w:id="1068069131">
                          <w:marLeft w:val="0"/>
                          <w:marRight w:val="0"/>
                          <w:marTop w:val="0"/>
                          <w:marBottom w:val="0"/>
                          <w:divBdr>
                            <w:top w:val="none" w:sz="0" w:space="0" w:color="auto"/>
                            <w:left w:val="none" w:sz="0" w:space="0" w:color="auto"/>
                            <w:bottom w:val="none" w:sz="0" w:space="0" w:color="auto"/>
                            <w:right w:val="none" w:sz="0" w:space="0" w:color="auto"/>
                          </w:divBdr>
                          <w:divsChild>
                            <w:div w:id="1630697789">
                              <w:marLeft w:val="0"/>
                              <w:marRight w:val="0"/>
                              <w:marTop w:val="0"/>
                              <w:marBottom w:val="0"/>
                              <w:divBdr>
                                <w:top w:val="none" w:sz="0" w:space="0" w:color="auto"/>
                                <w:left w:val="none" w:sz="0" w:space="0" w:color="auto"/>
                                <w:bottom w:val="none" w:sz="0" w:space="0" w:color="auto"/>
                                <w:right w:val="none" w:sz="0" w:space="0" w:color="auto"/>
                              </w:divBdr>
                              <w:divsChild>
                                <w:div w:id="1824156679">
                                  <w:marLeft w:val="0"/>
                                  <w:marRight w:val="0"/>
                                  <w:marTop w:val="0"/>
                                  <w:marBottom w:val="0"/>
                                  <w:divBdr>
                                    <w:top w:val="none" w:sz="0" w:space="0" w:color="auto"/>
                                    <w:left w:val="none" w:sz="0" w:space="0" w:color="auto"/>
                                    <w:bottom w:val="none" w:sz="0" w:space="0" w:color="auto"/>
                                    <w:right w:val="none" w:sz="0" w:space="0" w:color="auto"/>
                                  </w:divBdr>
                                  <w:divsChild>
                                    <w:div w:id="1189835256">
                                      <w:marLeft w:val="0"/>
                                      <w:marRight w:val="0"/>
                                      <w:marTop w:val="0"/>
                                      <w:marBottom w:val="0"/>
                                      <w:divBdr>
                                        <w:top w:val="none" w:sz="0" w:space="0" w:color="auto"/>
                                        <w:left w:val="none" w:sz="0" w:space="0" w:color="auto"/>
                                        <w:bottom w:val="none" w:sz="0" w:space="0" w:color="auto"/>
                                        <w:right w:val="none" w:sz="0" w:space="0" w:color="auto"/>
                                      </w:divBdr>
                                      <w:divsChild>
                                        <w:div w:id="1100643425">
                                          <w:marLeft w:val="0"/>
                                          <w:marRight w:val="0"/>
                                          <w:marTop w:val="0"/>
                                          <w:marBottom w:val="0"/>
                                          <w:divBdr>
                                            <w:top w:val="none" w:sz="0" w:space="0" w:color="auto"/>
                                            <w:left w:val="none" w:sz="0" w:space="0" w:color="auto"/>
                                            <w:bottom w:val="none" w:sz="0" w:space="0" w:color="auto"/>
                                            <w:right w:val="none" w:sz="0" w:space="0" w:color="auto"/>
                                          </w:divBdr>
                                          <w:divsChild>
                                            <w:div w:id="999580590">
                                              <w:marLeft w:val="0"/>
                                              <w:marRight w:val="0"/>
                                              <w:marTop w:val="0"/>
                                              <w:marBottom w:val="0"/>
                                              <w:divBdr>
                                                <w:top w:val="none" w:sz="0" w:space="0" w:color="auto"/>
                                                <w:left w:val="none" w:sz="0" w:space="0" w:color="auto"/>
                                                <w:bottom w:val="none" w:sz="0" w:space="0" w:color="auto"/>
                                                <w:right w:val="none" w:sz="0" w:space="0" w:color="auto"/>
                                              </w:divBdr>
                                              <w:divsChild>
                                                <w:div w:id="504127463">
                                                  <w:marLeft w:val="0"/>
                                                  <w:marRight w:val="0"/>
                                                  <w:marTop w:val="0"/>
                                                  <w:marBottom w:val="0"/>
                                                  <w:divBdr>
                                                    <w:top w:val="none" w:sz="0" w:space="0" w:color="auto"/>
                                                    <w:left w:val="none" w:sz="0" w:space="0" w:color="auto"/>
                                                    <w:bottom w:val="none" w:sz="0" w:space="0" w:color="auto"/>
                                                    <w:right w:val="none" w:sz="0" w:space="0" w:color="auto"/>
                                                  </w:divBdr>
                                                  <w:divsChild>
                                                    <w:div w:id="8748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064265">
          <w:marLeft w:val="0"/>
          <w:marRight w:val="0"/>
          <w:marTop w:val="0"/>
          <w:marBottom w:val="0"/>
          <w:divBdr>
            <w:top w:val="none" w:sz="0" w:space="0" w:color="auto"/>
            <w:left w:val="none" w:sz="0" w:space="0" w:color="auto"/>
            <w:bottom w:val="none" w:sz="0" w:space="0" w:color="auto"/>
            <w:right w:val="none" w:sz="0" w:space="0" w:color="auto"/>
          </w:divBdr>
          <w:divsChild>
            <w:div w:id="823398597">
              <w:marLeft w:val="0"/>
              <w:marRight w:val="0"/>
              <w:marTop w:val="0"/>
              <w:marBottom w:val="0"/>
              <w:divBdr>
                <w:top w:val="none" w:sz="0" w:space="0" w:color="auto"/>
                <w:left w:val="none" w:sz="0" w:space="0" w:color="auto"/>
                <w:bottom w:val="none" w:sz="0" w:space="0" w:color="auto"/>
                <w:right w:val="none" w:sz="0" w:space="0" w:color="auto"/>
              </w:divBdr>
              <w:divsChild>
                <w:div w:id="629281851">
                  <w:marLeft w:val="0"/>
                  <w:marRight w:val="0"/>
                  <w:marTop w:val="0"/>
                  <w:marBottom w:val="0"/>
                  <w:divBdr>
                    <w:top w:val="none" w:sz="0" w:space="0" w:color="auto"/>
                    <w:left w:val="none" w:sz="0" w:space="0" w:color="auto"/>
                    <w:bottom w:val="none" w:sz="0" w:space="0" w:color="auto"/>
                    <w:right w:val="none" w:sz="0" w:space="0" w:color="auto"/>
                  </w:divBdr>
                  <w:divsChild>
                    <w:div w:id="1976443991">
                      <w:marLeft w:val="0"/>
                      <w:marRight w:val="0"/>
                      <w:marTop w:val="0"/>
                      <w:marBottom w:val="0"/>
                      <w:divBdr>
                        <w:top w:val="none" w:sz="0" w:space="0" w:color="auto"/>
                        <w:left w:val="none" w:sz="0" w:space="0" w:color="auto"/>
                        <w:bottom w:val="none" w:sz="0" w:space="0" w:color="auto"/>
                        <w:right w:val="none" w:sz="0" w:space="0" w:color="auto"/>
                      </w:divBdr>
                      <w:divsChild>
                        <w:div w:id="1960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659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67">
          <w:marLeft w:val="0"/>
          <w:marRight w:val="0"/>
          <w:marTop w:val="0"/>
          <w:marBottom w:val="0"/>
          <w:divBdr>
            <w:top w:val="none" w:sz="0" w:space="0" w:color="auto"/>
            <w:left w:val="none" w:sz="0" w:space="0" w:color="auto"/>
            <w:bottom w:val="none" w:sz="0" w:space="0" w:color="auto"/>
            <w:right w:val="none" w:sz="0" w:space="0" w:color="auto"/>
          </w:divBdr>
          <w:divsChild>
            <w:div w:id="1038050429">
              <w:marLeft w:val="0"/>
              <w:marRight w:val="0"/>
              <w:marTop w:val="0"/>
              <w:marBottom w:val="0"/>
              <w:divBdr>
                <w:top w:val="none" w:sz="0" w:space="0" w:color="auto"/>
                <w:left w:val="none" w:sz="0" w:space="0" w:color="auto"/>
                <w:bottom w:val="none" w:sz="0" w:space="0" w:color="auto"/>
                <w:right w:val="none" w:sz="0" w:space="0" w:color="auto"/>
              </w:divBdr>
            </w:div>
            <w:div w:id="10208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rmoscientific.com/nit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44/geochem2013-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liedgeochemis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dpi.com/journal/minerals" TargetMode="External"/><Relationship Id="rId4" Type="http://schemas.microsoft.com/office/2007/relationships/stylesWithEffects" Target="stylesWithEffects.xml"/><Relationship Id="rId9" Type="http://schemas.openxmlformats.org/officeDocument/2006/relationships/hyperlink" Target="http://dx.doi.org/10.1144/geochem2013-198"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5A76-C896-4F5D-BD6A-E5BFDE22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4252</Words>
  <Characters>26789</Characters>
  <Application>Microsoft Office Word</Application>
  <DocSecurity>0</DocSecurity>
  <Lines>223</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DAI</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Steiniger</dc:creator>
  <cp:lastModifiedBy>Daniel Steiniger</cp:lastModifiedBy>
  <cp:revision>19</cp:revision>
  <cp:lastPrinted>2018-10-19T12:16:00Z</cp:lastPrinted>
  <dcterms:created xsi:type="dcterms:W3CDTF">2018-12-31T03:05:00Z</dcterms:created>
  <dcterms:modified xsi:type="dcterms:W3CDTF">2019-03-18T09:06:00Z</dcterms:modified>
</cp:coreProperties>
</file>