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F1" w:rsidRPr="001F5EAF" w:rsidRDefault="005F03E3" w:rsidP="00A036F1">
      <w:pPr>
        <w:pStyle w:val="Heading3"/>
        <w:jc w:val="both"/>
        <w:rPr>
          <w:sz w:val="24"/>
        </w:rPr>
      </w:pPr>
      <w:r w:rsidRPr="001F5EAF">
        <w:t>S</w:t>
      </w:r>
      <w:r w:rsidR="00940938" w:rsidRPr="001F5EAF">
        <w:t>4</w:t>
      </w:r>
      <w:r w:rsidRPr="001F5EAF">
        <w:t xml:space="preserve"> Table.</w:t>
      </w:r>
      <w:r w:rsidR="00A036F1" w:rsidRPr="001F5EAF">
        <w:t xml:space="preserve"> </w:t>
      </w:r>
      <w:r w:rsidR="00A036F1" w:rsidRPr="001F5EAF">
        <w:rPr>
          <w:rFonts w:cs="Arial"/>
          <w:bCs/>
          <w:sz w:val="24"/>
        </w:rPr>
        <w:t>Pairwise comparison between IgG</w:t>
      </w:r>
      <w:r w:rsidR="00A036F1" w:rsidRPr="001F5EAF">
        <w:rPr>
          <w:rFonts w:cs="Arial"/>
          <w:bCs/>
          <w:sz w:val="24"/>
          <w:vertAlign w:val="subscript"/>
        </w:rPr>
        <w:t>1</w:t>
      </w:r>
      <w:r w:rsidR="00A036F1" w:rsidRPr="001F5EAF">
        <w:rPr>
          <w:rFonts w:cs="Arial"/>
          <w:bCs/>
          <w:sz w:val="24"/>
        </w:rPr>
        <w:t xml:space="preserve"> Fc glycosylation traits of </w:t>
      </w:r>
      <w:r w:rsidR="00DA6C46" w:rsidRPr="001F5EAF">
        <w:rPr>
          <w:rFonts w:cs="Arial"/>
          <w:bCs/>
          <w:sz w:val="24"/>
        </w:rPr>
        <w:t>AAV</w:t>
      </w:r>
      <w:r w:rsidR="00A036F1" w:rsidRPr="001F5EAF">
        <w:rPr>
          <w:rFonts w:cs="Arial"/>
          <w:bCs/>
          <w:sz w:val="24"/>
        </w:rPr>
        <w:t xml:space="preserve"> patients and controls, stratified by disease</w:t>
      </w:r>
      <w:r w:rsidR="00A036F1" w:rsidRPr="001F5EAF">
        <w:rPr>
          <w:rFonts w:cs="Arial"/>
          <w:b/>
          <w:bCs/>
          <w:sz w:val="24"/>
        </w:rPr>
        <w:t xml:space="preserve"> </w:t>
      </w:r>
    </w:p>
    <w:tbl>
      <w:tblPr>
        <w:tblW w:w="12699" w:type="dxa"/>
        <w:tblInd w:w="93" w:type="dxa"/>
        <w:tblLook w:val="04A0" w:firstRow="1" w:lastRow="0" w:firstColumn="1" w:lastColumn="0" w:noHBand="0" w:noVBand="1"/>
      </w:tblPr>
      <w:tblGrid>
        <w:gridCol w:w="2815"/>
        <w:gridCol w:w="1649"/>
        <w:gridCol w:w="1311"/>
        <w:gridCol w:w="177"/>
        <w:gridCol w:w="1649"/>
        <w:gridCol w:w="311"/>
        <w:gridCol w:w="1647"/>
        <w:gridCol w:w="1487"/>
        <w:gridCol w:w="1653"/>
      </w:tblGrid>
      <w:tr w:rsidR="001F5EAF" w:rsidRPr="001F5EAF" w:rsidTr="00F604B1">
        <w:trPr>
          <w:trHeight w:val="36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</w:rPr>
            </w:pPr>
          </w:p>
        </w:tc>
        <w:tc>
          <w:tcPr>
            <w:tcW w:w="9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1F5EAF" w:rsidRPr="001F5EAF" w:rsidTr="00F604B1">
        <w:trPr>
          <w:trHeight w:val="36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PR3-ANCA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MPO-ANCA</w:t>
            </w:r>
          </w:p>
        </w:tc>
      </w:tr>
      <w:tr w:rsidR="001F5EAF" w:rsidRPr="001F5EAF" w:rsidTr="00F604B1">
        <w:trPr>
          <w:trHeight w:val="611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Glycosylation traits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Active </w:t>
            </w:r>
            <w:r w:rsidRPr="001F5EAF">
              <w:rPr>
                <w:rFonts w:ascii="Helvetica" w:eastAsia="Times New Roman" w:hAnsi="Helvetica" w:cs="Helvetica"/>
                <w:i/>
                <w:iCs/>
                <w:color w:val="000000" w:themeColor="text1"/>
              </w:rPr>
              <w:t>vs</w:t>
            </w: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 Remission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Active </w:t>
            </w:r>
            <w:r w:rsidRPr="001F5EAF">
              <w:rPr>
                <w:rFonts w:ascii="Helvetica" w:eastAsia="Times New Roman" w:hAnsi="Helvetica" w:cs="Helvetica"/>
                <w:i/>
                <w:iCs/>
                <w:color w:val="000000" w:themeColor="text1"/>
              </w:rPr>
              <w:t>vs</w:t>
            </w: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 Control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Remission </w:t>
            </w:r>
            <w:r w:rsidRPr="001F5EAF">
              <w:rPr>
                <w:rFonts w:ascii="Helvetica" w:eastAsia="Times New Roman" w:hAnsi="Helvetica" w:cs="Helvetica"/>
                <w:i/>
                <w:iCs/>
                <w:color w:val="000000" w:themeColor="text1"/>
              </w:rPr>
              <w:t>vs</w:t>
            </w: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 Control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Active vs Remission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Active vs Control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</w:rPr>
            </w:pPr>
            <w:r w:rsidRPr="001F5EAF">
              <w:rPr>
                <w:rFonts w:ascii="Helvetica" w:eastAsia="Times New Roman" w:hAnsi="Helvetica" w:cs="Helvetica"/>
                <w:color w:val="000000" w:themeColor="text1"/>
              </w:rPr>
              <w:t xml:space="preserve">Remission vs Control </w:t>
            </w:r>
            <w:r w:rsidRPr="001F5EAF">
              <w:rPr>
                <w:rFonts w:ascii="Helvetica" w:eastAsia="Times New Roman" w:hAnsi="Helvetica" w:cs="Helvetica"/>
                <w:color w:val="000000" w:themeColor="text1"/>
                <w:vertAlign w:val="superscript"/>
              </w:rPr>
              <w:t>b</w:t>
            </w:r>
          </w:p>
        </w:tc>
      </w:tr>
      <w:tr w:rsidR="001F5EAF" w:rsidRPr="001F5EAF" w:rsidTr="00F604B1">
        <w:trPr>
          <w:trHeight w:val="49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proofErr w:type="spellStart"/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Galactosylation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0.0027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0.0001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0.1604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0.9800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0.0019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b/>
                <w:bCs/>
                <w:color w:val="000000" w:themeColor="text1"/>
                <w:sz w:val="24"/>
                <w:szCs w:val="24"/>
              </w:rPr>
              <w:t>0.0013</w:t>
            </w:r>
          </w:p>
        </w:tc>
      </w:tr>
      <w:tr w:rsidR="001F5EAF" w:rsidRPr="001F5EAF" w:rsidTr="00F604B1">
        <w:trPr>
          <w:trHeight w:val="49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Sialylation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0.1749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0.1823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0.8350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0.6234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0.1938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0.0696</w:t>
            </w:r>
          </w:p>
        </w:tc>
      </w:tr>
      <w:tr w:rsidR="001F5EAF" w:rsidRPr="001F5EAF" w:rsidTr="00F604B1">
        <w:trPr>
          <w:trHeight w:val="49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proofErr w:type="spellStart"/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Fucosylation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0.1019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0.4413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0.9089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0.1705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0.4618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0.6941</w:t>
            </w:r>
          </w:p>
        </w:tc>
      </w:tr>
      <w:tr w:rsidR="001F5EAF" w:rsidRPr="001F5EAF" w:rsidTr="00F604B1">
        <w:trPr>
          <w:trHeight w:val="49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Bisection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0.6245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0.4726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0.3222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0.1492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0.4825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jc w:val="center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1F5EAF">
              <w:rPr>
                <w:rFonts w:eastAsia="Times New Roman" w:cs="Helvetica"/>
                <w:color w:val="000000" w:themeColor="text1"/>
                <w:sz w:val="24"/>
                <w:szCs w:val="24"/>
              </w:rPr>
              <w:t>0.1232</w:t>
            </w:r>
          </w:p>
        </w:tc>
      </w:tr>
      <w:tr w:rsidR="001F5EAF" w:rsidRPr="001F5EAF" w:rsidTr="00F604B1">
        <w:trPr>
          <w:trHeight w:val="124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F5EA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1F5EAF" w:rsidRPr="001F5EAF" w:rsidTr="00F604B1">
        <w:trPr>
          <w:trHeight w:val="36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F1" w:rsidRPr="001F5EAF" w:rsidRDefault="00A036F1" w:rsidP="00F604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A036F1" w:rsidRPr="001F5EAF" w:rsidRDefault="00A036F1" w:rsidP="00A036F1">
      <w:pPr>
        <w:rPr>
          <w:rFonts w:cs="Arial"/>
          <w:bCs/>
          <w:color w:val="000000" w:themeColor="text1"/>
          <w:sz w:val="24"/>
          <w:szCs w:val="24"/>
        </w:rPr>
      </w:pPr>
      <w:r w:rsidRPr="001F5EAF">
        <w:rPr>
          <w:rFonts w:cs="Arial"/>
          <w:bCs/>
          <w:color w:val="000000" w:themeColor="text1"/>
          <w:sz w:val="24"/>
          <w:szCs w:val="24"/>
          <w:vertAlign w:val="superscript"/>
        </w:rPr>
        <w:t>a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1F5EAF">
        <w:rPr>
          <w:rFonts w:cs="Arial"/>
          <w:bCs/>
          <w:i/>
          <w:color w:val="000000" w:themeColor="text1"/>
          <w:sz w:val="24"/>
          <w:szCs w:val="24"/>
        </w:rPr>
        <w:t>p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values calculated using Wilcoxon matched-pairs signed rank test. </w:t>
      </w:r>
      <w:r w:rsidRPr="001F5EAF">
        <w:rPr>
          <w:rFonts w:cs="Arial"/>
          <w:bCs/>
          <w:i/>
          <w:color w:val="000000" w:themeColor="text1"/>
          <w:sz w:val="24"/>
          <w:szCs w:val="24"/>
        </w:rPr>
        <w:t>p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values &lt; 0.0062 (Bonferroni corrected for 8 tests) are highlighted in bold and considered significant.</w:t>
      </w:r>
    </w:p>
    <w:p w:rsidR="00A036F1" w:rsidRPr="001F5EAF" w:rsidRDefault="00A036F1" w:rsidP="00A036F1">
      <w:pPr>
        <w:rPr>
          <w:rFonts w:cs="Arial"/>
          <w:bCs/>
          <w:color w:val="000000" w:themeColor="text1"/>
          <w:sz w:val="24"/>
          <w:szCs w:val="24"/>
        </w:rPr>
      </w:pPr>
      <w:r w:rsidRPr="001F5EAF">
        <w:rPr>
          <w:rFonts w:cs="Arial"/>
          <w:bCs/>
          <w:color w:val="000000" w:themeColor="text1"/>
          <w:sz w:val="24"/>
          <w:szCs w:val="24"/>
          <w:vertAlign w:val="superscript"/>
        </w:rPr>
        <w:t>b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1F5EAF">
        <w:rPr>
          <w:rFonts w:cs="Arial"/>
          <w:bCs/>
          <w:i/>
          <w:color w:val="000000" w:themeColor="text1"/>
          <w:sz w:val="24"/>
          <w:szCs w:val="24"/>
        </w:rPr>
        <w:t>p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values calculated using two-sided Mann-Whitney test. </w:t>
      </w:r>
      <w:r w:rsidRPr="001F5EAF">
        <w:rPr>
          <w:rFonts w:cs="Arial"/>
          <w:bCs/>
          <w:i/>
          <w:color w:val="000000" w:themeColor="text1"/>
          <w:sz w:val="24"/>
          <w:szCs w:val="24"/>
        </w:rPr>
        <w:t>p</w:t>
      </w:r>
      <w:r w:rsidRPr="001F5EAF">
        <w:rPr>
          <w:rFonts w:cs="Arial"/>
          <w:bCs/>
          <w:color w:val="000000" w:themeColor="text1"/>
          <w:sz w:val="24"/>
          <w:szCs w:val="24"/>
        </w:rPr>
        <w:t xml:space="preserve"> values &lt; 0.0031 (Bonferroni corrected for 16 tests) are highlighted in bold and considered significant.</w:t>
      </w:r>
      <w:bookmarkStart w:id="0" w:name="_GoBack"/>
      <w:bookmarkEnd w:id="0"/>
    </w:p>
    <w:sectPr w:rsidR="00A036F1" w:rsidRPr="001F5EAF" w:rsidSect="00DD2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A3"/>
    <w:rsid w:val="00011233"/>
    <w:rsid w:val="000163F3"/>
    <w:rsid w:val="00030438"/>
    <w:rsid w:val="00030DBA"/>
    <w:rsid w:val="00030E9F"/>
    <w:rsid w:val="00043D84"/>
    <w:rsid w:val="000470CF"/>
    <w:rsid w:val="00050072"/>
    <w:rsid w:val="00057BD9"/>
    <w:rsid w:val="000807B1"/>
    <w:rsid w:val="000A4DA1"/>
    <w:rsid w:val="000A763F"/>
    <w:rsid w:val="000C6871"/>
    <w:rsid w:val="000D4FD1"/>
    <w:rsid w:val="000E09AC"/>
    <w:rsid w:val="000F5574"/>
    <w:rsid w:val="0011369F"/>
    <w:rsid w:val="00114070"/>
    <w:rsid w:val="0012323B"/>
    <w:rsid w:val="001520F0"/>
    <w:rsid w:val="00153BD4"/>
    <w:rsid w:val="001808FA"/>
    <w:rsid w:val="00181CC4"/>
    <w:rsid w:val="00182C58"/>
    <w:rsid w:val="001A4972"/>
    <w:rsid w:val="001B30C6"/>
    <w:rsid w:val="001C1371"/>
    <w:rsid w:val="001D45AB"/>
    <w:rsid w:val="001F132A"/>
    <w:rsid w:val="001F40BF"/>
    <w:rsid w:val="001F5EAF"/>
    <w:rsid w:val="00201EB2"/>
    <w:rsid w:val="002365F1"/>
    <w:rsid w:val="00250875"/>
    <w:rsid w:val="00260AB8"/>
    <w:rsid w:val="00290938"/>
    <w:rsid w:val="002A35FD"/>
    <w:rsid w:val="002B53CA"/>
    <w:rsid w:val="002E45D6"/>
    <w:rsid w:val="002E7C3D"/>
    <w:rsid w:val="002F5C14"/>
    <w:rsid w:val="00314C6E"/>
    <w:rsid w:val="00317A23"/>
    <w:rsid w:val="003274DF"/>
    <w:rsid w:val="00347678"/>
    <w:rsid w:val="00375661"/>
    <w:rsid w:val="00381440"/>
    <w:rsid w:val="00385286"/>
    <w:rsid w:val="00392F3E"/>
    <w:rsid w:val="003936A8"/>
    <w:rsid w:val="00396559"/>
    <w:rsid w:val="00396AB7"/>
    <w:rsid w:val="003D7E90"/>
    <w:rsid w:val="003E2B59"/>
    <w:rsid w:val="00413757"/>
    <w:rsid w:val="0044265E"/>
    <w:rsid w:val="00463BAF"/>
    <w:rsid w:val="004941C5"/>
    <w:rsid w:val="004A65D5"/>
    <w:rsid w:val="004A6644"/>
    <w:rsid w:val="004C235F"/>
    <w:rsid w:val="004C5CE3"/>
    <w:rsid w:val="00523F9A"/>
    <w:rsid w:val="00526CC7"/>
    <w:rsid w:val="005315CC"/>
    <w:rsid w:val="00546502"/>
    <w:rsid w:val="005708C3"/>
    <w:rsid w:val="0057461B"/>
    <w:rsid w:val="00574970"/>
    <w:rsid w:val="00583A8E"/>
    <w:rsid w:val="00585F86"/>
    <w:rsid w:val="00587860"/>
    <w:rsid w:val="005924E8"/>
    <w:rsid w:val="0059321F"/>
    <w:rsid w:val="005A374C"/>
    <w:rsid w:val="005D3218"/>
    <w:rsid w:val="005E027F"/>
    <w:rsid w:val="005E348E"/>
    <w:rsid w:val="005E3AE5"/>
    <w:rsid w:val="005F03E3"/>
    <w:rsid w:val="005F5627"/>
    <w:rsid w:val="00616C86"/>
    <w:rsid w:val="006307FC"/>
    <w:rsid w:val="0063307B"/>
    <w:rsid w:val="00636321"/>
    <w:rsid w:val="00642A4D"/>
    <w:rsid w:val="00676B6A"/>
    <w:rsid w:val="00690A0F"/>
    <w:rsid w:val="0069201F"/>
    <w:rsid w:val="006A4074"/>
    <w:rsid w:val="006B005B"/>
    <w:rsid w:val="006B296B"/>
    <w:rsid w:val="006C4346"/>
    <w:rsid w:val="006E5A8E"/>
    <w:rsid w:val="006E6188"/>
    <w:rsid w:val="006F00FA"/>
    <w:rsid w:val="00705698"/>
    <w:rsid w:val="00716427"/>
    <w:rsid w:val="0072759D"/>
    <w:rsid w:val="00730680"/>
    <w:rsid w:val="00736CF5"/>
    <w:rsid w:val="00766C86"/>
    <w:rsid w:val="00766D55"/>
    <w:rsid w:val="007720EB"/>
    <w:rsid w:val="00780E84"/>
    <w:rsid w:val="007879C5"/>
    <w:rsid w:val="007922E0"/>
    <w:rsid w:val="007D03EA"/>
    <w:rsid w:val="007E0C1A"/>
    <w:rsid w:val="00802BE5"/>
    <w:rsid w:val="008122B0"/>
    <w:rsid w:val="0081573D"/>
    <w:rsid w:val="00822393"/>
    <w:rsid w:val="008223C3"/>
    <w:rsid w:val="00837809"/>
    <w:rsid w:val="00842CB3"/>
    <w:rsid w:val="00850DC4"/>
    <w:rsid w:val="008514EE"/>
    <w:rsid w:val="00870D67"/>
    <w:rsid w:val="00871BB8"/>
    <w:rsid w:val="00877D2A"/>
    <w:rsid w:val="008A0B5A"/>
    <w:rsid w:val="008A3A94"/>
    <w:rsid w:val="008B3B0F"/>
    <w:rsid w:val="008C3090"/>
    <w:rsid w:val="008C56A3"/>
    <w:rsid w:val="008D5F7E"/>
    <w:rsid w:val="008E2761"/>
    <w:rsid w:val="008E49C8"/>
    <w:rsid w:val="00905CA2"/>
    <w:rsid w:val="00907B07"/>
    <w:rsid w:val="009357FB"/>
    <w:rsid w:val="00935A91"/>
    <w:rsid w:val="009373CE"/>
    <w:rsid w:val="00940938"/>
    <w:rsid w:val="00957454"/>
    <w:rsid w:val="00971768"/>
    <w:rsid w:val="009A2127"/>
    <w:rsid w:val="009B1100"/>
    <w:rsid w:val="009C6EE0"/>
    <w:rsid w:val="009D1241"/>
    <w:rsid w:val="009D33D1"/>
    <w:rsid w:val="009E1132"/>
    <w:rsid w:val="009E1E32"/>
    <w:rsid w:val="009E441E"/>
    <w:rsid w:val="009E48B0"/>
    <w:rsid w:val="009F1C70"/>
    <w:rsid w:val="009F36F9"/>
    <w:rsid w:val="009F428B"/>
    <w:rsid w:val="00A01D79"/>
    <w:rsid w:val="00A036F1"/>
    <w:rsid w:val="00A302C7"/>
    <w:rsid w:val="00A36C0E"/>
    <w:rsid w:val="00A7751C"/>
    <w:rsid w:val="00A86183"/>
    <w:rsid w:val="00A95E16"/>
    <w:rsid w:val="00AA0E4E"/>
    <w:rsid w:val="00AB0730"/>
    <w:rsid w:val="00AC3686"/>
    <w:rsid w:val="00AD1BFD"/>
    <w:rsid w:val="00AD7172"/>
    <w:rsid w:val="00B13616"/>
    <w:rsid w:val="00B13746"/>
    <w:rsid w:val="00B25BA7"/>
    <w:rsid w:val="00B2701C"/>
    <w:rsid w:val="00B3433D"/>
    <w:rsid w:val="00B34AF3"/>
    <w:rsid w:val="00B35AA4"/>
    <w:rsid w:val="00B41869"/>
    <w:rsid w:val="00B425B6"/>
    <w:rsid w:val="00B50C7D"/>
    <w:rsid w:val="00B529B2"/>
    <w:rsid w:val="00B55779"/>
    <w:rsid w:val="00B55B55"/>
    <w:rsid w:val="00B574F7"/>
    <w:rsid w:val="00B67444"/>
    <w:rsid w:val="00B76845"/>
    <w:rsid w:val="00B8528B"/>
    <w:rsid w:val="00B86E07"/>
    <w:rsid w:val="00B93495"/>
    <w:rsid w:val="00BB6B42"/>
    <w:rsid w:val="00BD1281"/>
    <w:rsid w:val="00BD5422"/>
    <w:rsid w:val="00C15DAB"/>
    <w:rsid w:val="00C211AF"/>
    <w:rsid w:val="00C25148"/>
    <w:rsid w:val="00C456C7"/>
    <w:rsid w:val="00C76DE1"/>
    <w:rsid w:val="00CD4DA8"/>
    <w:rsid w:val="00CE30B0"/>
    <w:rsid w:val="00D004AB"/>
    <w:rsid w:val="00D16A83"/>
    <w:rsid w:val="00D26463"/>
    <w:rsid w:val="00D5143A"/>
    <w:rsid w:val="00D60077"/>
    <w:rsid w:val="00D624C9"/>
    <w:rsid w:val="00D703C2"/>
    <w:rsid w:val="00D770E8"/>
    <w:rsid w:val="00D874C9"/>
    <w:rsid w:val="00D97294"/>
    <w:rsid w:val="00DA675B"/>
    <w:rsid w:val="00DA686D"/>
    <w:rsid w:val="00DA6C46"/>
    <w:rsid w:val="00DD22D5"/>
    <w:rsid w:val="00DD43A8"/>
    <w:rsid w:val="00DD48DC"/>
    <w:rsid w:val="00E1154D"/>
    <w:rsid w:val="00E33532"/>
    <w:rsid w:val="00E42577"/>
    <w:rsid w:val="00E60180"/>
    <w:rsid w:val="00E60B5F"/>
    <w:rsid w:val="00E64A89"/>
    <w:rsid w:val="00E85086"/>
    <w:rsid w:val="00E93694"/>
    <w:rsid w:val="00EA4F77"/>
    <w:rsid w:val="00ED18E3"/>
    <w:rsid w:val="00ED5D2F"/>
    <w:rsid w:val="00ED77C1"/>
    <w:rsid w:val="00EE58BD"/>
    <w:rsid w:val="00F04747"/>
    <w:rsid w:val="00F06978"/>
    <w:rsid w:val="00F2595E"/>
    <w:rsid w:val="00F36A47"/>
    <w:rsid w:val="00F40022"/>
    <w:rsid w:val="00F40A9D"/>
    <w:rsid w:val="00F43532"/>
    <w:rsid w:val="00F52C18"/>
    <w:rsid w:val="00F604B1"/>
    <w:rsid w:val="00F875BE"/>
    <w:rsid w:val="00FA5299"/>
    <w:rsid w:val="00FB4D5F"/>
    <w:rsid w:val="00FB62EB"/>
    <w:rsid w:val="00FC092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3954-4901-4094-9388-1575451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DA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090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090"/>
    <w:pPr>
      <w:keepNext/>
      <w:keepLines/>
      <w:spacing w:before="240" w:after="2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972"/>
    <w:pPr>
      <w:keepNext/>
      <w:keepLines/>
      <w:spacing w:before="2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90"/>
    <w:rPr>
      <w:rFonts w:eastAsiaTheme="majorEastAsi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090"/>
    <w:rPr>
      <w:rFonts w:eastAsiaTheme="majorEastAsia" w:cstheme="majorBidi"/>
      <w:color w:val="000000" w:themeColor="text1"/>
      <w:sz w:val="32"/>
      <w:szCs w:val="26"/>
    </w:rPr>
  </w:style>
  <w:style w:type="character" w:styleId="Strong">
    <w:name w:val="Strong"/>
    <w:basedOn w:val="DefaultParagraphFont"/>
    <w:uiPriority w:val="22"/>
    <w:qFormat/>
    <w:rsid w:val="00B1374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4972"/>
    <w:rPr>
      <w:rFonts w:eastAsiaTheme="majorEastAsia" w:cstheme="majorBidi"/>
      <w:color w:val="000000" w:themeColor="text1"/>
      <w:sz w:val="2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6AB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6AB7"/>
    <w:rPr>
      <w:rFonts w:ascii="Calibri" w:eastAsiaTheme="minorEastAsia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46"/>
    <w:rPr>
      <w:rFonts w:ascii="Segoe UI" w:eastAsiaTheme="minorEastAsia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DAB"/>
    <w:rPr>
      <w:color w:val="0000FF"/>
      <w:u w:val="single"/>
    </w:rPr>
  </w:style>
  <w:style w:type="character" w:customStyle="1" w:styleId="cit">
    <w:name w:val="cit"/>
    <w:basedOn w:val="DefaultParagraphFont"/>
    <w:rsid w:val="00C1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8785-C60E-45F3-B19B-FE5D5584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Lardinois, Olivier (NIH/NIEHS) [C]</dc:creator>
  <cp:keywords/>
  <dc:description/>
  <cp:lastModifiedBy>Lardinois, Olivier (NIH/NIEHS) [C]</cp:lastModifiedBy>
  <cp:revision>2</cp:revision>
  <cp:lastPrinted>2018-11-19T02:32:00Z</cp:lastPrinted>
  <dcterms:created xsi:type="dcterms:W3CDTF">2019-02-21T21:44:00Z</dcterms:created>
  <dcterms:modified xsi:type="dcterms:W3CDTF">2019-02-21T21:44:00Z</dcterms:modified>
</cp:coreProperties>
</file>