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F24F" w14:textId="5B92CE06" w:rsidR="00782C0F" w:rsidRDefault="00782C0F" w:rsidP="00782C0F">
      <w:pPr>
        <w:jc w:val="both"/>
        <w:rPr>
          <w:rFonts w:cstheme="majorHAnsi"/>
        </w:rPr>
      </w:pPr>
    </w:p>
    <w:tbl>
      <w:tblPr>
        <w:tblW w:w="15881" w:type="dxa"/>
        <w:tblCellMar>
          <w:left w:w="0" w:type="dxa"/>
          <w:right w:w="0" w:type="dxa"/>
        </w:tblCellMar>
        <w:tblLook w:val="04A0" w:firstRow="1" w:lastRow="0" w:firstColumn="1" w:lastColumn="0" w:noHBand="0" w:noVBand="1"/>
      </w:tblPr>
      <w:tblGrid>
        <w:gridCol w:w="8101"/>
        <w:gridCol w:w="960"/>
        <w:gridCol w:w="1580"/>
        <w:gridCol w:w="1340"/>
        <w:gridCol w:w="1180"/>
        <w:gridCol w:w="1180"/>
        <w:gridCol w:w="1540"/>
      </w:tblGrid>
      <w:tr w:rsidR="00782C0F" w14:paraId="4A3AA78E" w14:textId="77777777" w:rsidTr="00CD17F0">
        <w:trPr>
          <w:trHeight w:val="300"/>
        </w:trPr>
        <w:tc>
          <w:tcPr>
            <w:tcW w:w="8101" w:type="dxa"/>
            <w:noWrap/>
            <w:tcMar>
              <w:top w:w="0" w:type="dxa"/>
              <w:left w:w="108" w:type="dxa"/>
              <w:bottom w:w="0" w:type="dxa"/>
              <w:right w:w="108" w:type="dxa"/>
            </w:tcMar>
            <w:vAlign w:val="bottom"/>
          </w:tcPr>
          <w:p w14:paraId="63FCE644" w14:textId="031B00C3" w:rsidR="00E1557D" w:rsidRPr="00A446AE" w:rsidRDefault="00AB7CEC" w:rsidP="00AB7CEC">
            <w:pPr>
              <w:rPr>
                <w:rFonts w:cstheme="majorHAnsi"/>
                <w:b/>
                <w:sz w:val="32"/>
                <w:szCs w:val="32"/>
              </w:rPr>
            </w:pPr>
            <w:r w:rsidRPr="00A446AE">
              <w:rPr>
                <w:rFonts w:cstheme="majorHAnsi"/>
                <w:b/>
                <w:sz w:val="32"/>
                <w:szCs w:val="32"/>
              </w:rPr>
              <w:t xml:space="preserve">S5 Appendix: </w:t>
            </w:r>
            <w:r w:rsidR="00E1557D" w:rsidRPr="00A446AE">
              <w:rPr>
                <w:rFonts w:cstheme="majorHAnsi"/>
                <w:b/>
                <w:sz w:val="32"/>
                <w:szCs w:val="32"/>
              </w:rPr>
              <w:t>Analysis</w:t>
            </w:r>
          </w:p>
          <w:p w14:paraId="781AABA5" w14:textId="77777777" w:rsidR="00E1557D" w:rsidRPr="0035083E" w:rsidRDefault="00E1557D" w:rsidP="00E1557D">
            <w:pPr>
              <w:rPr>
                <w:rFonts w:cstheme="majorHAnsi"/>
              </w:rPr>
            </w:pPr>
          </w:p>
          <w:p w14:paraId="3237DD31" w14:textId="77777777" w:rsidR="00E1557D" w:rsidRPr="0035083E" w:rsidRDefault="00E1557D" w:rsidP="00E1557D">
            <w:pPr>
              <w:jc w:val="both"/>
              <w:rPr>
                <w:rFonts w:cstheme="majorHAnsi"/>
                <w:i/>
              </w:rPr>
            </w:pPr>
            <w:r w:rsidRPr="0035083E">
              <w:rPr>
                <w:rFonts w:cstheme="majorHAnsi"/>
                <w:i/>
              </w:rPr>
              <w:t>Correlation of ITN usage increase with other health system indicators</w:t>
            </w:r>
          </w:p>
          <w:p w14:paraId="242D6B35" w14:textId="77777777" w:rsidR="00E1557D" w:rsidRPr="0035083E" w:rsidRDefault="00E1557D" w:rsidP="00E1557D">
            <w:pPr>
              <w:jc w:val="both"/>
              <w:rPr>
                <w:rFonts w:cstheme="majorHAnsi"/>
              </w:rPr>
            </w:pPr>
          </w:p>
          <w:p w14:paraId="7D7691E3" w14:textId="77777777" w:rsidR="00E1557D" w:rsidRDefault="00E1557D" w:rsidP="00E1557D">
            <w:pPr>
              <w:jc w:val="both"/>
              <w:rPr>
                <w:rFonts w:cstheme="majorHAnsi"/>
              </w:rPr>
            </w:pPr>
            <w:r w:rsidRPr="0035083E">
              <w:rPr>
                <w:rFonts w:cstheme="majorHAnsi"/>
              </w:rPr>
              <w:t xml:space="preserve">Finally, while our analysis uses subnational data on the timing of LLITN distribution, it is important to consider that our estimates could be confounded if the NMCP scaled up LLITN distribution and other interventions to the same provinces in the same months.  We control for health aid investments at the province-month level, so such confounded interventions would need to be specific to domestic organizations in the DRC. Moreover, we can use indicators from the two available DHS rounds to test the correlation between increases in </w:t>
            </w:r>
            <w:proofErr w:type="spellStart"/>
            <w:r w:rsidRPr="0035083E">
              <w:rPr>
                <w:rFonts w:cstheme="majorHAnsi"/>
              </w:rPr>
              <w:t>bednet</w:t>
            </w:r>
            <w:proofErr w:type="spellEnd"/>
            <w:r w:rsidRPr="0035083E">
              <w:rPr>
                <w:rFonts w:cstheme="majorHAnsi"/>
              </w:rPr>
              <w:t xml:space="preserve"> usage and other health system indicators at the province level.  We construct the percentage point growth in children under 5 who slept under an ITN, children who took an ACT if they were feverish in the last two weeks, and children whose mothers sought advice or treatment for them if they were feverish.  The Spearman correlation between the ITN and ACT indicators is 0.37 (p=0.26), and between ITN coverage and seeking of advice or treatment is 0.26 (p=0.43).  These results suggest other interventions were not rolled out in the same geographic and temporal manner as the LLITN campaign, assuaging concerns that our estimates are confounded by these investments.  Nevertheless, we encourage the reader to interpret our estimates of the effect of the LLITN distribution on mortality as representing the effects of the overall program, including any activities (staff training or other investments) that went hand-in-hand with th</w:t>
            </w:r>
            <w:bookmarkStart w:id="0" w:name="_GoBack"/>
            <w:bookmarkEnd w:id="0"/>
            <w:r w:rsidRPr="0035083E">
              <w:rPr>
                <w:rFonts w:cstheme="majorHAnsi"/>
              </w:rPr>
              <w:t>e net distribution.</w:t>
            </w:r>
          </w:p>
          <w:p w14:paraId="5C73AB60" w14:textId="70BAC218" w:rsidR="00782C0F" w:rsidRDefault="00782C0F">
            <w:pPr>
              <w:rPr>
                <w:rFonts w:ascii="Calibri" w:hAnsi="Calibri" w:cs="Calibri"/>
                <w:color w:val="000000"/>
                <w:sz w:val="22"/>
                <w:szCs w:val="22"/>
              </w:rPr>
            </w:pPr>
          </w:p>
        </w:tc>
        <w:tc>
          <w:tcPr>
            <w:tcW w:w="960" w:type="dxa"/>
            <w:noWrap/>
            <w:tcMar>
              <w:top w:w="0" w:type="dxa"/>
              <w:left w:w="108" w:type="dxa"/>
              <w:bottom w:w="0" w:type="dxa"/>
              <w:right w:w="108" w:type="dxa"/>
            </w:tcMar>
            <w:vAlign w:val="bottom"/>
          </w:tcPr>
          <w:p w14:paraId="5C825904" w14:textId="4D8E8CC2" w:rsidR="00782C0F" w:rsidRDefault="00782C0F">
            <w:pPr>
              <w:rPr>
                <w:rFonts w:ascii="Calibri" w:hAnsi="Calibri" w:cs="Calibri"/>
                <w:color w:val="000000"/>
                <w:sz w:val="22"/>
                <w:szCs w:val="22"/>
              </w:rPr>
            </w:pPr>
          </w:p>
        </w:tc>
        <w:tc>
          <w:tcPr>
            <w:tcW w:w="1580" w:type="dxa"/>
            <w:noWrap/>
            <w:tcMar>
              <w:top w:w="0" w:type="dxa"/>
              <w:left w:w="108" w:type="dxa"/>
              <w:bottom w:w="0" w:type="dxa"/>
              <w:right w:w="108" w:type="dxa"/>
            </w:tcMar>
            <w:vAlign w:val="bottom"/>
          </w:tcPr>
          <w:p w14:paraId="0F9DD1D0" w14:textId="5162922C" w:rsidR="00782C0F" w:rsidRDefault="00782C0F">
            <w:pPr>
              <w:rPr>
                <w:rFonts w:ascii="Calibri" w:hAnsi="Calibri" w:cs="Calibri"/>
                <w:color w:val="000000"/>
                <w:sz w:val="22"/>
                <w:szCs w:val="22"/>
              </w:rPr>
            </w:pPr>
          </w:p>
        </w:tc>
        <w:tc>
          <w:tcPr>
            <w:tcW w:w="1340" w:type="dxa"/>
            <w:noWrap/>
            <w:tcMar>
              <w:top w:w="0" w:type="dxa"/>
              <w:left w:w="108" w:type="dxa"/>
              <w:bottom w:w="0" w:type="dxa"/>
              <w:right w:w="108" w:type="dxa"/>
            </w:tcMar>
            <w:vAlign w:val="bottom"/>
          </w:tcPr>
          <w:p w14:paraId="3486C67F" w14:textId="72982223" w:rsidR="00782C0F" w:rsidRDefault="00782C0F">
            <w:pPr>
              <w:rPr>
                <w:rFonts w:ascii="Calibri" w:hAnsi="Calibri" w:cs="Calibri"/>
                <w:color w:val="000000"/>
                <w:sz w:val="22"/>
                <w:szCs w:val="22"/>
              </w:rPr>
            </w:pPr>
          </w:p>
        </w:tc>
        <w:tc>
          <w:tcPr>
            <w:tcW w:w="1180" w:type="dxa"/>
            <w:noWrap/>
            <w:tcMar>
              <w:top w:w="0" w:type="dxa"/>
              <w:left w:w="108" w:type="dxa"/>
              <w:bottom w:w="0" w:type="dxa"/>
              <w:right w:w="108" w:type="dxa"/>
            </w:tcMar>
            <w:vAlign w:val="bottom"/>
          </w:tcPr>
          <w:p w14:paraId="3179B6E0" w14:textId="24808C6E" w:rsidR="00782C0F" w:rsidRDefault="00782C0F">
            <w:pPr>
              <w:rPr>
                <w:rFonts w:ascii="Calibri" w:hAnsi="Calibri" w:cs="Calibri"/>
                <w:color w:val="000000"/>
                <w:sz w:val="22"/>
                <w:szCs w:val="22"/>
              </w:rPr>
            </w:pPr>
          </w:p>
        </w:tc>
        <w:tc>
          <w:tcPr>
            <w:tcW w:w="1180" w:type="dxa"/>
            <w:noWrap/>
            <w:tcMar>
              <w:top w:w="0" w:type="dxa"/>
              <w:left w:w="108" w:type="dxa"/>
              <w:bottom w:w="0" w:type="dxa"/>
              <w:right w:w="108" w:type="dxa"/>
            </w:tcMar>
            <w:vAlign w:val="bottom"/>
          </w:tcPr>
          <w:p w14:paraId="256986D1" w14:textId="1C3B282A" w:rsidR="00782C0F" w:rsidRDefault="00782C0F">
            <w:pPr>
              <w:rPr>
                <w:rFonts w:ascii="Calibri" w:hAnsi="Calibri" w:cs="Calibri"/>
                <w:color w:val="000000"/>
                <w:sz w:val="22"/>
                <w:szCs w:val="22"/>
              </w:rPr>
            </w:pPr>
          </w:p>
        </w:tc>
        <w:tc>
          <w:tcPr>
            <w:tcW w:w="1540" w:type="dxa"/>
            <w:noWrap/>
            <w:tcMar>
              <w:top w:w="0" w:type="dxa"/>
              <w:left w:w="108" w:type="dxa"/>
              <w:bottom w:w="0" w:type="dxa"/>
              <w:right w:w="108" w:type="dxa"/>
            </w:tcMar>
            <w:vAlign w:val="bottom"/>
          </w:tcPr>
          <w:p w14:paraId="5C65D8CA" w14:textId="704EDB2C" w:rsidR="00782C0F" w:rsidRDefault="00782C0F">
            <w:pPr>
              <w:rPr>
                <w:rFonts w:ascii="Calibri" w:hAnsi="Calibri" w:cs="Calibri"/>
                <w:color w:val="000000"/>
                <w:sz w:val="22"/>
                <w:szCs w:val="22"/>
              </w:rPr>
            </w:pPr>
          </w:p>
        </w:tc>
      </w:tr>
      <w:tr w:rsidR="00782C0F" w14:paraId="42EBEE73" w14:textId="77777777" w:rsidTr="00CD17F0">
        <w:trPr>
          <w:trHeight w:val="300"/>
        </w:trPr>
        <w:tc>
          <w:tcPr>
            <w:tcW w:w="8101" w:type="dxa"/>
            <w:noWrap/>
            <w:tcMar>
              <w:top w:w="0" w:type="dxa"/>
              <w:left w:w="108" w:type="dxa"/>
              <w:bottom w:w="0" w:type="dxa"/>
              <w:right w:w="108" w:type="dxa"/>
            </w:tcMar>
            <w:vAlign w:val="bottom"/>
          </w:tcPr>
          <w:p w14:paraId="6CACADD0" w14:textId="4E320031" w:rsidR="005D37A0" w:rsidRDefault="005D37A0" w:rsidP="00530FC4">
            <w:pPr>
              <w:rPr>
                <w:rFonts w:cstheme="majorHAnsi"/>
              </w:rPr>
            </w:pPr>
          </w:p>
          <w:p w14:paraId="697D5530" w14:textId="77777777" w:rsidR="005D37A0" w:rsidRDefault="005D37A0" w:rsidP="00530FC4">
            <w:pPr>
              <w:rPr>
                <w:rFonts w:cstheme="majorHAnsi"/>
              </w:rPr>
            </w:pPr>
          </w:p>
          <w:p w14:paraId="35A51DDD" w14:textId="77777777" w:rsidR="005D37A0" w:rsidRDefault="005D37A0" w:rsidP="00530FC4">
            <w:pPr>
              <w:rPr>
                <w:rFonts w:cstheme="majorHAnsi"/>
              </w:rPr>
            </w:pPr>
          </w:p>
          <w:p w14:paraId="765C51E3" w14:textId="77777777" w:rsidR="005D37A0" w:rsidRDefault="005D37A0" w:rsidP="00530FC4">
            <w:pPr>
              <w:rPr>
                <w:rFonts w:cstheme="majorHAnsi"/>
              </w:rPr>
            </w:pPr>
          </w:p>
          <w:p w14:paraId="7B241E8D" w14:textId="77777777" w:rsidR="005D37A0" w:rsidRDefault="005D37A0" w:rsidP="00530FC4">
            <w:pPr>
              <w:rPr>
                <w:rFonts w:cstheme="majorHAnsi"/>
              </w:rPr>
            </w:pPr>
          </w:p>
          <w:p w14:paraId="4315D07B" w14:textId="77777777" w:rsidR="005D37A0" w:rsidRDefault="005D37A0" w:rsidP="00530FC4">
            <w:pPr>
              <w:rPr>
                <w:rFonts w:cstheme="majorHAnsi"/>
              </w:rPr>
            </w:pPr>
          </w:p>
          <w:p w14:paraId="0F600F8E" w14:textId="77777777" w:rsidR="005D37A0" w:rsidRDefault="005D37A0" w:rsidP="00530FC4">
            <w:pPr>
              <w:rPr>
                <w:rFonts w:cstheme="majorHAnsi"/>
              </w:rPr>
            </w:pPr>
          </w:p>
          <w:p w14:paraId="31BD7B40" w14:textId="77777777" w:rsidR="005D37A0" w:rsidRDefault="005D37A0" w:rsidP="00530FC4">
            <w:pPr>
              <w:rPr>
                <w:rFonts w:cstheme="majorHAnsi"/>
              </w:rPr>
            </w:pPr>
          </w:p>
          <w:p w14:paraId="7CABEE5F" w14:textId="77777777" w:rsidR="005D37A0" w:rsidRDefault="005D37A0" w:rsidP="00530FC4">
            <w:pPr>
              <w:rPr>
                <w:rFonts w:cstheme="majorHAnsi"/>
              </w:rPr>
            </w:pPr>
          </w:p>
          <w:p w14:paraId="6041C3E7" w14:textId="77777777" w:rsidR="005D37A0" w:rsidRDefault="005D37A0" w:rsidP="00530FC4">
            <w:pPr>
              <w:rPr>
                <w:rFonts w:cstheme="majorHAnsi"/>
              </w:rPr>
            </w:pPr>
          </w:p>
          <w:p w14:paraId="2596EF8C" w14:textId="77777777" w:rsidR="005D37A0" w:rsidRDefault="005D37A0" w:rsidP="00530FC4">
            <w:pPr>
              <w:rPr>
                <w:rFonts w:cstheme="majorHAnsi"/>
              </w:rPr>
            </w:pPr>
          </w:p>
          <w:p w14:paraId="3A270604" w14:textId="77777777" w:rsidR="005D37A0" w:rsidRDefault="005D37A0" w:rsidP="00530FC4">
            <w:pPr>
              <w:rPr>
                <w:rFonts w:cstheme="majorHAnsi"/>
              </w:rPr>
            </w:pPr>
          </w:p>
          <w:p w14:paraId="60B9C4EF" w14:textId="77777777" w:rsidR="005D37A0" w:rsidRDefault="005D37A0" w:rsidP="00530FC4">
            <w:pPr>
              <w:rPr>
                <w:rFonts w:cstheme="majorHAnsi"/>
              </w:rPr>
            </w:pPr>
          </w:p>
          <w:p w14:paraId="09B2E505" w14:textId="77777777" w:rsidR="005D37A0" w:rsidRDefault="005D37A0" w:rsidP="00530FC4">
            <w:pPr>
              <w:rPr>
                <w:rFonts w:cstheme="majorHAnsi"/>
              </w:rPr>
            </w:pPr>
          </w:p>
          <w:p w14:paraId="7F3DE1E4" w14:textId="51C4E5DB" w:rsidR="005D37A0" w:rsidRDefault="005D37A0" w:rsidP="00530FC4">
            <w:pPr>
              <w:rPr>
                <w:rFonts w:ascii="Calibri" w:hAnsi="Calibri" w:cs="Calibri"/>
                <w:color w:val="000000"/>
                <w:sz w:val="22"/>
                <w:szCs w:val="22"/>
              </w:rPr>
            </w:pPr>
          </w:p>
        </w:tc>
        <w:tc>
          <w:tcPr>
            <w:tcW w:w="960" w:type="dxa"/>
            <w:noWrap/>
            <w:tcMar>
              <w:top w:w="0" w:type="dxa"/>
              <w:left w:w="108" w:type="dxa"/>
              <w:bottom w:w="0" w:type="dxa"/>
              <w:right w:w="108" w:type="dxa"/>
            </w:tcMar>
            <w:vAlign w:val="bottom"/>
          </w:tcPr>
          <w:p w14:paraId="040FDEF8" w14:textId="397D2F80" w:rsidR="00782C0F" w:rsidRDefault="00782C0F">
            <w:pPr>
              <w:jc w:val="right"/>
              <w:rPr>
                <w:rFonts w:ascii="Calibri" w:hAnsi="Calibri" w:cs="Calibri"/>
                <w:color w:val="000000"/>
                <w:sz w:val="22"/>
                <w:szCs w:val="22"/>
              </w:rPr>
            </w:pPr>
          </w:p>
        </w:tc>
        <w:tc>
          <w:tcPr>
            <w:tcW w:w="1580" w:type="dxa"/>
            <w:noWrap/>
            <w:tcMar>
              <w:top w:w="0" w:type="dxa"/>
              <w:left w:w="108" w:type="dxa"/>
              <w:bottom w:w="0" w:type="dxa"/>
              <w:right w:w="108" w:type="dxa"/>
            </w:tcMar>
            <w:vAlign w:val="bottom"/>
          </w:tcPr>
          <w:p w14:paraId="6FE97C60" w14:textId="55C674D7" w:rsidR="00782C0F" w:rsidRDefault="00782C0F">
            <w:pPr>
              <w:rPr>
                <w:rFonts w:ascii="Calibri" w:hAnsi="Calibri" w:cs="Calibri"/>
                <w:color w:val="000000"/>
                <w:sz w:val="22"/>
                <w:szCs w:val="22"/>
              </w:rPr>
            </w:pPr>
          </w:p>
        </w:tc>
        <w:tc>
          <w:tcPr>
            <w:tcW w:w="1340" w:type="dxa"/>
            <w:noWrap/>
            <w:tcMar>
              <w:top w:w="0" w:type="dxa"/>
              <w:left w:w="108" w:type="dxa"/>
              <w:bottom w:w="0" w:type="dxa"/>
              <w:right w:w="108" w:type="dxa"/>
            </w:tcMar>
            <w:vAlign w:val="bottom"/>
          </w:tcPr>
          <w:p w14:paraId="6B555620" w14:textId="5234FC78" w:rsidR="00782C0F" w:rsidRDefault="00782C0F">
            <w:pPr>
              <w:jc w:val="right"/>
              <w:rPr>
                <w:rFonts w:ascii="Calibri" w:hAnsi="Calibri" w:cs="Calibri"/>
                <w:color w:val="000000"/>
                <w:sz w:val="22"/>
                <w:szCs w:val="22"/>
              </w:rPr>
            </w:pPr>
          </w:p>
        </w:tc>
        <w:tc>
          <w:tcPr>
            <w:tcW w:w="1180" w:type="dxa"/>
            <w:noWrap/>
            <w:tcMar>
              <w:top w:w="0" w:type="dxa"/>
              <w:left w:w="108" w:type="dxa"/>
              <w:bottom w:w="0" w:type="dxa"/>
              <w:right w:w="108" w:type="dxa"/>
            </w:tcMar>
            <w:vAlign w:val="bottom"/>
          </w:tcPr>
          <w:p w14:paraId="43D5EF27" w14:textId="1E19789E" w:rsidR="00782C0F" w:rsidRDefault="00782C0F">
            <w:pPr>
              <w:jc w:val="right"/>
              <w:rPr>
                <w:rFonts w:ascii="Calibri" w:hAnsi="Calibri" w:cs="Calibri"/>
                <w:color w:val="000000"/>
                <w:sz w:val="22"/>
                <w:szCs w:val="22"/>
              </w:rPr>
            </w:pPr>
          </w:p>
        </w:tc>
        <w:tc>
          <w:tcPr>
            <w:tcW w:w="1180" w:type="dxa"/>
            <w:noWrap/>
            <w:tcMar>
              <w:top w:w="0" w:type="dxa"/>
              <w:left w:w="108" w:type="dxa"/>
              <w:bottom w:w="0" w:type="dxa"/>
              <w:right w:w="108" w:type="dxa"/>
            </w:tcMar>
            <w:vAlign w:val="bottom"/>
          </w:tcPr>
          <w:p w14:paraId="014489CE" w14:textId="7BB9B31E" w:rsidR="00782C0F" w:rsidRDefault="00782C0F">
            <w:pPr>
              <w:jc w:val="right"/>
              <w:rPr>
                <w:rFonts w:ascii="Calibri" w:hAnsi="Calibri" w:cs="Calibri"/>
                <w:color w:val="000000"/>
                <w:sz w:val="22"/>
                <w:szCs w:val="22"/>
              </w:rPr>
            </w:pPr>
          </w:p>
        </w:tc>
        <w:tc>
          <w:tcPr>
            <w:tcW w:w="1540" w:type="dxa"/>
            <w:noWrap/>
            <w:tcMar>
              <w:top w:w="0" w:type="dxa"/>
              <w:left w:w="108" w:type="dxa"/>
              <w:bottom w:w="0" w:type="dxa"/>
              <w:right w:w="108" w:type="dxa"/>
            </w:tcMar>
            <w:vAlign w:val="bottom"/>
          </w:tcPr>
          <w:p w14:paraId="3D67671F" w14:textId="4CA547A0" w:rsidR="00782C0F" w:rsidRDefault="00782C0F">
            <w:pPr>
              <w:jc w:val="right"/>
              <w:rPr>
                <w:rFonts w:ascii="Calibri" w:hAnsi="Calibri" w:cs="Calibri"/>
                <w:color w:val="000000"/>
                <w:sz w:val="22"/>
                <w:szCs w:val="22"/>
              </w:rPr>
            </w:pPr>
          </w:p>
        </w:tc>
      </w:tr>
    </w:tbl>
    <w:p w14:paraId="6A2CCB2B" w14:textId="2FA8AFC0" w:rsidR="000D74CE" w:rsidRPr="0035083E" w:rsidRDefault="000D74CE">
      <w:pPr>
        <w:rPr>
          <w:rFonts w:cstheme="majorHAnsi"/>
        </w:rPr>
      </w:pPr>
    </w:p>
    <w:sectPr w:rsidR="000D74CE" w:rsidRPr="0035083E" w:rsidSect="00CD43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CFA"/>
    <w:multiLevelType w:val="hybridMultilevel"/>
    <w:tmpl w:val="8A9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0B37"/>
    <w:multiLevelType w:val="hybridMultilevel"/>
    <w:tmpl w:val="8A9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F093B"/>
    <w:multiLevelType w:val="hybridMultilevel"/>
    <w:tmpl w:val="E30C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95"/>
    <w:rsid w:val="00074D50"/>
    <w:rsid w:val="000D74CE"/>
    <w:rsid w:val="0013300E"/>
    <w:rsid w:val="00133536"/>
    <w:rsid w:val="00136AD7"/>
    <w:rsid w:val="001F3BB1"/>
    <w:rsid w:val="002208C8"/>
    <w:rsid w:val="00220C4A"/>
    <w:rsid w:val="002463E4"/>
    <w:rsid w:val="00265693"/>
    <w:rsid w:val="002822B3"/>
    <w:rsid w:val="00285F01"/>
    <w:rsid w:val="00293115"/>
    <w:rsid w:val="002C1E29"/>
    <w:rsid w:val="0035083E"/>
    <w:rsid w:val="00361865"/>
    <w:rsid w:val="003710FC"/>
    <w:rsid w:val="00375732"/>
    <w:rsid w:val="003F54F0"/>
    <w:rsid w:val="00530FC4"/>
    <w:rsid w:val="00581A06"/>
    <w:rsid w:val="005B4ACB"/>
    <w:rsid w:val="005D37A0"/>
    <w:rsid w:val="005D6C75"/>
    <w:rsid w:val="00607BC1"/>
    <w:rsid w:val="00643FA6"/>
    <w:rsid w:val="00676442"/>
    <w:rsid w:val="007126F3"/>
    <w:rsid w:val="00723117"/>
    <w:rsid w:val="00733D9F"/>
    <w:rsid w:val="007575DC"/>
    <w:rsid w:val="00782C0F"/>
    <w:rsid w:val="0079432E"/>
    <w:rsid w:val="008A5D8F"/>
    <w:rsid w:val="009201BB"/>
    <w:rsid w:val="009527D2"/>
    <w:rsid w:val="00A10C0B"/>
    <w:rsid w:val="00A252FD"/>
    <w:rsid w:val="00A446AE"/>
    <w:rsid w:val="00A765E0"/>
    <w:rsid w:val="00A92B95"/>
    <w:rsid w:val="00AB7CEC"/>
    <w:rsid w:val="00B121F8"/>
    <w:rsid w:val="00B651DF"/>
    <w:rsid w:val="00B721FD"/>
    <w:rsid w:val="00B76798"/>
    <w:rsid w:val="00B961B3"/>
    <w:rsid w:val="00C439BF"/>
    <w:rsid w:val="00CB6D20"/>
    <w:rsid w:val="00CD17F0"/>
    <w:rsid w:val="00CD432B"/>
    <w:rsid w:val="00D06E83"/>
    <w:rsid w:val="00DE7742"/>
    <w:rsid w:val="00E1557D"/>
    <w:rsid w:val="00E263FA"/>
    <w:rsid w:val="00E37932"/>
    <w:rsid w:val="00E46BC9"/>
    <w:rsid w:val="00E609BC"/>
    <w:rsid w:val="00F16824"/>
    <w:rsid w:val="00F60739"/>
    <w:rsid w:val="00F76257"/>
    <w:rsid w:val="00FE22EA"/>
    <w:rsid w:val="00FE294B"/>
    <w:rsid w:val="00FF4443"/>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EF8C6"/>
  <w14:defaultImageDpi w14:val="300"/>
  <w15:docId w15:val="{56C96D43-BB2F-4863-BE99-78F4FD5B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294B"/>
    <w:rPr>
      <w:sz w:val="16"/>
      <w:szCs w:val="16"/>
    </w:rPr>
  </w:style>
  <w:style w:type="paragraph" w:styleId="CommentText">
    <w:name w:val="annotation text"/>
    <w:basedOn w:val="Normal"/>
    <w:link w:val="CommentTextChar"/>
    <w:uiPriority w:val="99"/>
    <w:semiHidden/>
    <w:unhideWhenUsed/>
    <w:rsid w:val="00FE294B"/>
    <w:rPr>
      <w:sz w:val="20"/>
      <w:szCs w:val="20"/>
    </w:rPr>
  </w:style>
  <w:style w:type="character" w:customStyle="1" w:styleId="CommentTextChar">
    <w:name w:val="Comment Text Char"/>
    <w:basedOn w:val="DefaultParagraphFont"/>
    <w:link w:val="CommentText"/>
    <w:uiPriority w:val="99"/>
    <w:semiHidden/>
    <w:rsid w:val="00FE294B"/>
    <w:rPr>
      <w:sz w:val="20"/>
      <w:szCs w:val="20"/>
    </w:rPr>
  </w:style>
  <w:style w:type="paragraph" w:styleId="CommentSubject">
    <w:name w:val="annotation subject"/>
    <w:basedOn w:val="CommentText"/>
    <w:next w:val="CommentText"/>
    <w:link w:val="CommentSubjectChar"/>
    <w:uiPriority w:val="99"/>
    <w:semiHidden/>
    <w:unhideWhenUsed/>
    <w:rsid w:val="00FE294B"/>
    <w:rPr>
      <w:b/>
      <w:bCs/>
    </w:rPr>
  </w:style>
  <w:style w:type="character" w:customStyle="1" w:styleId="CommentSubjectChar">
    <w:name w:val="Comment Subject Char"/>
    <w:basedOn w:val="CommentTextChar"/>
    <w:link w:val="CommentSubject"/>
    <w:uiPriority w:val="99"/>
    <w:semiHidden/>
    <w:rsid w:val="00FE294B"/>
    <w:rPr>
      <w:b/>
      <w:bCs/>
      <w:sz w:val="20"/>
      <w:szCs w:val="20"/>
    </w:rPr>
  </w:style>
  <w:style w:type="paragraph" w:styleId="BalloonText">
    <w:name w:val="Balloon Text"/>
    <w:basedOn w:val="Normal"/>
    <w:link w:val="BalloonTextChar"/>
    <w:uiPriority w:val="99"/>
    <w:semiHidden/>
    <w:unhideWhenUsed/>
    <w:rsid w:val="00FE2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4B"/>
    <w:rPr>
      <w:rFonts w:ascii="Segoe UI" w:hAnsi="Segoe UI" w:cs="Segoe UI"/>
      <w:sz w:val="18"/>
      <w:szCs w:val="18"/>
    </w:rPr>
  </w:style>
  <w:style w:type="paragraph" w:styleId="NormalWeb">
    <w:name w:val="Normal (Web)"/>
    <w:basedOn w:val="Normal"/>
    <w:uiPriority w:val="99"/>
    <w:unhideWhenUsed/>
    <w:rsid w:val="00FE294B"/>
    <w:pPr>
      <w:spacing w:before="100" w:beforeAutospacing="1" w:after="100" w:afterAutospacing="1"/>
    </w:pPr>
    <w:rPr>
      <w:rFonts w:ascii="Times New Roman" w:hAnsi="Times New Roman" w:cs="Times New Roman"/>
    </w:rPr>
  </w:style>
  <w:style w:type="character" w:customStyle="1" w:styleId="element-citation">
    <w:name w:val="element-citation"/>
    <w:basedOn w:val="DefaultParagraphFont"/>
    <w:rsid w:val="00E263FA"/>
  </w:style>
  <w:style w:type="character" w:customStyle="1" w:styleId="ref-journal">
    <w:name w:val="ref-journal"/>
    <w:basedOn w:val="DefaultParagraphFont"/>
    <w:rsid w:val="00E263FA"/>
  </w:style>
  <w:style w:type="character" w:styleId="Hyperlink">
    <w:name w:val="Hyperlink"/>
    <w:basedOn w:val="DefaultParagraphFont"/>
    <w:uiPriority w:val="99"/>
    <w:semiHidden/>
    <w:unhideWhenUsed/>
    <w:rsid w:val="00E263FA"/>
    <w:rPr>
      <w:color w:val="0000FF"/>
      <w:u w:val="single"/>
    </w:rPr>
  </w:style>
  <w:style w:type="character" w:styleId="FollowedHyperlink">
    <w:name w:val="FollowedHyperlink"/>
    <w:basedOn w:val="DefaultParagraphFont"/>
    <w:uiPriority w:val="99"/>
    <w:semiHidden/>
    <w:unhideWhenUsed/>
    <w:rsid w:val="005D6C75"/>
    <w:rPr>
      <w:color w:val="800080" w:themeColor="followedHyperlink"/>
      <w:u w:val="single"/>
    </w:rPr>
  </w:style>
  <w:style w:type="paragraph" w:styleId="ListParagraph">
    <w:name w:val="List Paragraph"/>
    <w:basedOn w:val="Normal"/>
    <w:uiPriority w:val="34"/>
    <w:qFormat/>
    <w:rsid w:val="00E609BC"/>
    <w:pPr>
      <w:ind w:left="720"/>
      <w:contextualSpacing/>
    </w:pPr>
  </w:style>
  <w:style w:type="character" w:styleId="PlaceholderText">
    <w:name w:val="Placeholder Text"/>
    <w:basedOn w:val="DefaultParagraphFont"/>
    <w:uiPriority w:val="99"/>
    <w:semiHidden/>
    <w:rsid w:val="00DE7742"/>
    <w:rPr>
      <w:color w:val="808080"/>
    </w:rPr>
  </w:style>
  <w:style w:type="table" w:styleId="TableGrid">
    <w:name w:val="Table Grid"/>
    <w:basedOn w:val="TableNormal"/>
    <w:uiPriority w:val="59"/>
    <w:rsid w:val="0078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49547">
      <w:bodyDiv w:val="1"/>
      <w:marLeft w:val="0"/>
      <w:marRight w:val="0"/>
      <w:marTop w:val="0"/>
      <w:marBottom w:val="0"/>
      <w:divBdr>
        <w:top w:val="none" w:sz="0" w:space="0" w:color="auto"/>
        <w:left w:val="none" w:sz="0" w:space="0" w:color="auto"/>
        <w:bottom w:val="none" w:sz="0" w:space="0" w:color="auto"/>
        <w:right w:val="none" w:sz="0" w:space="0" w:color="auto"/>
      </w:divBdr>
      <w:divsChild>
        <w:div w:id="1747259901">
          <w:marLeft w:val="0"/>
          <w:marRight w:val="0"/>
          <w:marTop w:val="0"/>
          <w:marBottom w:val="0"/>
          <w:divBdr>
            <w:top w:val="none" w:sz="0" w:space="0" w:color="auto"/>
            <w:left w:val="none" w:sz="0" w:space="0" w:color="auto"/>
            <w:bottom w:val="none" w:sz="0" w:space="0" w:color="auto"/>
            <w:right w:val="none" w:sz="0" w:space="0" w:color="auto"/>
          </w:divBdr>
          <w:divsChild>
            <w:div w:id="1399747862">
              <w:marLeft w:val="0"/>
              <w:marRight w:val="0"/>
              <w:marTop w:val="0"/>
              <w:marBottom w:val="0"/>
              <w:divBdr>
                <w:top w:val="none" w:sz="0" w:space="0" w:color="auto"/>
                <w:left w:val="none" w:sz="0" w:space="0" w:color="auto"/>
                <w:bottom w:val="none" w:sz="0" w:space="0" w:color="auto"/>
                <w:right w:val="none" w:sz="0" w:space="0" w:color="auto"/>
              </w:divBdr>
              <w:divsChild>
                <w:div w:id="1857881477">
                  <w:marLeft w:val="0"/>
                  <w:marRight w:val="0"/>
                  <w:marTop w:val="0"/>
                  <w:marBottom w:val="0"/>
                  <w:divBdr>
                    <w:top w:val="none" w:sz="0" w:space="0" w:color="auto"/>
                    <w:left w:val="none" w:sz="0" w:space="0" w:color="auto"/>
                    <w:bottom w:val="none" w:sz="0" w:space="0" w:color="auto"/>
                    <w:right w:val="none" w:sz="0" w:space="0" w:color="auto"/>
                  </w:divBdr>
                  <w:divsChild>
                    <w:div w:id="16067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5622">
      <w:bodyDiv w:val="1"/>
      <w:marLeft w:val="0"/>
      <w:marRight w:val="0"/>
      <w:marTop w:val="0"/>
      <w:marBottom w:val="0"/>
      <w:divBdr>
        <w:top w:val="none" w:sz="0" w:space="0" w:color="auto"/>
        <w:left w:val="none" w:sz="0" w:space="0" w:color="auto"/>
        <w:bottom w:val="none" w:sz="0" w:space="0" w:color="auto"/>
        <w:right w:val="none" w:sz="0" w:space="0" w:color="auto"/>
      </w:divBdr>
      <w:divsChild>
        <w:div w:id="452871308">
          <w:marLeft w:val="0"/>
          <w:marRight w:val="0"/>
          <w:marTop w:val="0"/>
          <w:marBottom w:val="0"/>
          <w:divBdr>
            <w:top w:val="none" w:sz="0" w:space="0" w:color="auto"/>
            <w:left w:val="none" w:sz="0" w:space="0" w:color="auto"/>
            <w:bottom w:val="none" w:sz="0" w:space="0" w:color="auto"/>
            <w:right w:val="none" w:sz="0" w:space="0" w:color="auto"/>
          </w:divBdr>
          <w:divsChild>
            <w:div w:id="2001273356">
              <w:marLeft w:val="0"/>
              <w:marRight w:val="0"/>
              <w:marTop w:val="0"/>
              <w:marBottom w:val="0"/>
              <w:divBdr>
                <w:top w:val="none" w:sz="0" w:space="0" w:color="auto"/>
                <w:left w:val="none" w:sz="0" w:space="0" w:color="auto"/>
                <w:bottom w:val="none" w:sz="0" w:space="0" w:color="auto"/>
                <w:right w:val="none" w:sz="0" w:space="0" w:color="auto"/>
              </w:divBdr>
              <w:divsChild>
                <w:div w:id="1710757079">
                  <w:marLeft w:val="0"/>
                  <w:marRight w:val="0"/>
                  <w:marTop w:val="0"/>
                  <w:marBottom w:val="0"/>
                  <w:divBdr>
                    <w:top w:val="none" w:sz="0" w:space="0" w:color="auto"/>
                    <w:left w:val="none" w:sz="0" w:space="0" w:color="auto"/>
                    <w:bottom w:val="none" w:sz="0" w:space="0" w:color="auto"/>
                    <w:right w:val="none" w:sz="0" w:space="0" w:color="auto"/>
                  </w:divBdr>
                  <w:divsChild>
                    <w:div w:id="1752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71075">
      <w:bodyDiv w:val="1"/>
      <w:marLeft w:val="0"/>
      <w:marRight w:val="0"/>
      <w:marTop w:val="0"/>
      <w:marBottom w:val="0"/>
      <w:divBdr>
        <w:top w:val="none" w:sz="0" w:space="0" w:color="auto"/>
        <w:left w:val="none" w:sz="0" w:space="0" w:color="auto"/>
        <w:bottom w:val="none" w:sz="0" w:space="0" w:color="auto"/>
        <w:right w:val="none" w:sz="0" w:space="0" w:color="auto"/>
      </w:divBdr>
    </w:div>
    <w:div w:id="181451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Grépin</dc:creator>
  <cp:keywords/>
  <dc:description/>
  <cp:lastModifiedBy>Dolan, Carrie B</cp:lastModifiedBy>
  <cp:revision>3</cp:revision>
  <cp:lastPrinted>2016-09-20T17:06:00Z</cp:lastPrinted>
  <dcterms:created xsi:type="dcterms:W3CDTF">2019-02-14T20:05:00Z</dcterms:created>
  <dcterms:modified xsi:type="dcterms:W3CDTF">2019-02-14T20:13:00Z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id="http://www.zotero.org/styles/the-lancet"/&gt;&lt;hasBiblio/&gt;&lt;format class="21"/&gt;&lt;count citations="9" publications="7"/&gt;&lt;/info&gt;PAPERS2_INFO_END</vt:lpwstr>
  </property>
</Properties>
</file>